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1451070.xml.htm"/>
      <w:bookmarkStart w:id="1" w:name="kswkform4_177145107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Schaper Christopher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AMERICAN INTERNATIONAL GROUP,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1271 AVE OF THE AMERICAS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10020-1304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AMERICAN INTERNATIONAL GROUP, INC.</w:t>
              </w:r>
            </w:hyperlink>
            <w:r>
              <w:rPr/>
              <w:t xml:space="preserve"> [ </w:t>
            </w:r>
            <w:r>
              <w:rPr>
                <w:rFonts w:ascii="Times;serif" w:hAnsi="Times;serif"/>
                <w:color w:val="0000FF"/>
                <w:sz w:val="24"/>
                <w:shd w:fill="FFFFFF" w:val="clear"/>
              </w:rPr>
              <w:t>AIG</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Chief Risk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02/17/2026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06"/>
        <w:gridCol w:w="903"/>
        <w:gridCol w:w="772"/>
        <w:gridCol w:w="600"/>
        <w:gridCol w:w="349"/>
        <w:gridCol w:w="975"/>
        <w:gridCol w:w="457"/>
        <w:gridCol w:w="619"/>
        <w:gridCol w:w="1199"/>
        <w:gridCol w:w="1001"/>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0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0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0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22,845</w:t>
            </w:r>
            <w:r>
              <w:rPr>
                <w:rFonts w:ascii="Times;serif" w:hAnsi="Times;serif"/>
                <w:color w:val="008000"/>
                <w:position w:val="7"/>
                <w:sz w:val="16"/>
                <w:sz w:val="20"/>
                <w:shd w:fill="FFFFFF" w:val="clear"/>
              </w:rPr>
              <w:t>(1)</w:t>
            </w:r>
            <w:r>
              <w:rPr/>
              <w:t xml:space="preserve"> </w:t>
            </w:r>
          </w:p>
        </w:tc>
        <w:tc>
          <w:tcPr>
            <w:tcW w:w="4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103,843</w:t>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0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02/17/2026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5,838</w:t>
            </w:r>
            <w:r>
              <w:rPr>
                <w:rFonts w:ascii="Times;serif" w:hAnsi="Times;serif"/>
                <w:color w:val="008000"/>
                <w:position w:val="7"/>
                <w:sz w:val="16"/>
                <w:sz w:val="20"/>
                <w:shd w:fill="FFFFFF" w:val="clear"/>
              </w:rPr>
              <w:t>(2)</w:t>
            </w:r>
            <w:r>
              <w:rPr/>
              <w:t xml:space="preserve"> </w:t>
            </w:r>
          </w:p>
        </w:tc>
        <w:tc>
          <w:tcPr>
            <w:tcW w:w="4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109,681</w:t>
            </w:r>
            <w:r>
              <w:rPr>
                <w:rFonts w:ascii="Times;serif" w:hAnsi="Times;serif"/>
                <w:color w:val="008000"/>
                <w:position w:val="7"/>
                <w:sz w:val="16"/>
                <w:sz w:val="20"/>
                <w:shd w:fill="FFFFFF" w:val="clear"/>
              </w:rPr>
              <w:t>(3)</w:t>
            </w:r>
            <w:r>
              <w:rPr/>
              <w:t xml:space="preserve"> </w:t>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2026 Stock Options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79.4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21,136</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02/17/2036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21,136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21,136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AIG Compensation and Management Resources Committee's determination on February 17, 2026 as to the amount of performance share units granted in 2023 that were earned based on pre-established performance goals for the three-year performance period ended December 31,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grant of Restricted Stock Units ("RSUs") on February 17, 2026 which will vest ratably over three years on February 17, 2027, February 17, 2028 and February 17, 2029, subject to the reporting person's continued employment. Each RSU represents the contingent right to receive one share of AIG common stock upon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(i) 5,838 2026 RSUs, (ii) 3,962 2025 RSUs, (iii) 6,690 RSUs and (iv) 4,294 2024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the grant of 2026 Stock Options. The 2026 Stock Options will vest ratably over three years on February 17, 2027, February 17, 2028 and February 17, 2029, subject to the reporting person's continued employment through each applicable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Linda B. Kalayjian, by POA from Christopher Schaper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29254" TargetMode="External"/><Relationship Id="rId5" Type="http://schemas.openxmlformats.org/officeDocument/2006/relationships/hyperlink" Target="http://www.sec.gov/cgi-bin/browse-edgar?action=getcompany&amp;CIK=000000527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756</Words>
  <Characters>4090</Characters>
  <CharactersWithSpaces>4768</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