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tm2623943d2_fwp.htm"/>
      <w:bookmarkStart w:id="1" w:name="kstm2623943d2_fwp"/>
      <w:bookmarkEnd w:id="0"/>
      <w:bookmarkEnd w:id="1"/>
      <w:r>
        <w:rPr>
          <w:rFonts w:ascii="Times New Roman;Times;Serif" w:hAnsi="Times New Roman;Times;Serif"/>
          <w:b/>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Free Writing Prospectus dated September 15,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Relating to Preliminary Prospectus Supplement dated September 14,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February 14, 2024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333-277075</w:t>
      </w:r>
    </w:p>
    <w:p>
      <w:pPr>
        <w:pStyle w:val="TextBody"/>
        <w:bidi w:val="0"/>
        <w:ind w:left="0" w:right="0" w:firstLine="8520"/>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2019300" cy="1133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19300" cy="11334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American International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8"/>
        </w:rPr>
        <w:t>1,125,000,000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8"/>
        </w:rPr>
        <w:t xml:space="preserve">625,000,000 4.250% </w:t>
      </w:r>
      <w:r>
        <w:rPr>
          <w:rFonts w:ascii="Times New Roman;Times;Serif" w:hAnsi="Times New Roman;Times;Serif"/>
          <w:b/>
          <w:i w:val="false"/>
          <w:caps/>
          <w:sz w:val="28"/>
        </w:rPr>
        <w:t>Notes Due 2031</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8"/>
        </w:rPr>
        <w:t xml:space="preserve">500,000,000 4.750% </w:t>
      </w:r>
      <w:r>
        <w:rPr>
          <w:rFonts w:ascii="Times New Roman;Times;Serif" w:hAnsi="Times New Roman;Times;Serif"/>
          <w:b/>
          <w:i w:val="false"/>
          <w:caps/>
          <w:sz w:val="28"/>
        </w:rPr>
        <w:t>Notes Due 2036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36"/>
        <w:gridCol w:w="6769"/>
      </w:tblGrid>
      <w:tr>
        <w:trPr/>
        <w:tc>
          <w:tcPr>
            <w:tcW w:w="3436" w:type="dxa"/>
            <w:tcBorders/>
            <w:vAlign w:val="center"/>
          </w:tcPr>
          <w:p>
            <w:pPr>
              <w:pStyle w:val="TableContents"/>
              <w:bidi w:val="0"/>
              <w:spacing w:before="0" w:after="283"/>
              <w:jc w:val="left"/>
              <w:rPr>
                <w:b/>
                <w:sz w:val="20"/>
              </w:rPr>
            </w:pPr>
            <w:r>
              <w:rPr>
                <w:b/>
                <w:sz w:val="20"/>
              </w:rPr>
              <w:t>Issuer:</w:t>
            </w:r>
          </w:p>
        </w:tc>
        <w:tc>
          <w:tcPr>
            <w:tcW w:w="6769" w:type="dxa"/>
            <w:tcBorders/>
            <w:vAlign w:val="center"/>
          </w:tcPr>
          <w:p>
            <w:pPr>
              <w:pStyle w:val="TableContents"/>
              <w:bidi w:val="0"/>
              <w:spacing w:before="0" w:after="283"/>
              <w:jc w:val="left"/>
              <w:rPr>
                <w:sz w:val="20"/>
              </w:rPr>
            </w:pPr>
            <w:r>
              <w:rPr>
                <w:sz w:val="20"/>
              </w:rPr>
              <w:t>American International Group, Inc.</w:t>
            </w:r>
          </w:p>
        </w:tc>
      </w:tr>
      <w:tr>
        <w:trPr/>
        <w:tc>
          <w:tcPr>
            <w:tcW w:w="3436" w:type="dxa"/>
            <w:tcBorders/>
            <w:vAlign w:val="center"/>
          </w:tcPr>
          <w:p>
            <w:pPr>
              <w:pStyle w:val="TableContents"/>
              <w:bidi w:val="0"/>
              <w:spacing w:before="0" w:after="283"/>
              <w:jc w:val="left"/>
              <w:rPr>
                <w:b/>
                <w:sz w:val="20"/>
              </w:rPr>
            </w:pPr>
            <w:r>
              <w:rPr>
                <w:b/>
                <w:sz w:val="20"/>
              </w:rPr>
              <w:t>Offering Format:</w:t>
            </w:r>
          </w:p>
        </w:tc>
        <w:tc>
          <w:tcPr>
            <w:tcW w:w="6769" w:type="dxa"/>
            <w:tcBorders/>
            <w:vAlign w:val="center"/>
          </w:tcPr>
          <w:p>
            <w:pPr>
              <w:pStyle w:val="TableContents"/>
              <w:bidi w:val="0"/>
              <w:spacing w:before="0" w:after="283"/>
              <w:jc w:val="left"/>
              <w:rPr>
                <w:sz w:val="20"/>
              </w:rPr>
            </w:pPr>
            <w:r>
              <w:rPr>
                <w:sz w:val="20"/>
              </w:rPr>
              <w:t xml:space="preserve">SEC Registered </w:t>
            </w:r>
          </w:p>
        </w:tc>
      </w:tr>
      <w:tr>
        <w:trPr/>
        <w:tc>
          <w:tcPr>
            <w:tcW w:w="3436" w:type="dxa"/>
            <w:tcBorders/>
            <w:vAlign w:val="center"/>
          </w:tcPr>
          <w:p>
            <w:pPr>
              <w:pStyle w:val="TableContents"/>
              <w:bidi w:val="0"/>
              <w:spacing w:before="0" w:after="283"/>
              <w:jc w:val="left"/>
              <w:rPr>
                <w:b/>
                <w:sz w:val="20"/>
              </w:rPr>
            </w:pPr>
            <w:r>
              <w:rPr>
                <w:b/>
                <w:sz w:val="20"/>
              </w:rPr>
              <w:t>Securities:</w:t>
            </w:r>
          </w:p>
        </w:tc>
        <w:tc>
          <w:tcPr>
            <w:tcW w:w="676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4.250% Notes Due 2031 (the “2031 Notes”)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4.750% Notes Due 2036 (the “2036 Notes” and, together with the 2031 Notes, the “Notes”)</w:t>
            </w:r>
          </w:p>
        </w:tc>
      </w:tr>
      <w:tr>
        <w:trPr/>
        <w:tc>
          <w:tcPr>
            <w:tcW w:w="3436" w:type="dxa"/>
            <w:tcBorders/>
            <w:vAlign w:val="center"/>
          </w:tcPr>
          <w:p>
            <w:pPr>
              <w:pStyle w:val="TableContents"/>
              <w:bidi w:val="0"/>
              <w:spacing w:before="0" w:after="283"/>
              <w:jc w:val="left"/>
              <w:rPr>
                <w:b/>
                <w:sz w:val="20"/>
              </w:rPr>
            </w:pPr>
            <w:r>
              <w:rPr>
                <w:b/>
                <w:sz w:val="20"/>
              </w:rPr>
              <w:t>Expected Ratings (Moody’s / S&amp;P / Fitch)*:</w:t>
            </w:r>
          </w:p>
        </w:tc>
        <w:tc>
          <w:tcPr>
            <w:tcW w:w="6769" w:type="dxa"/>
            <w:tcBorders/>
            <w:vAlign w:val="center"/>
          </w:tcPr>
          <w:p>
            <w:pPr>
              <w:pStyle w:val="TableContents"/>
              <w:bidi w:val="0"/>
              <w:spacing w:before="0" w:after="283"/>
              <w:jc w:val="left"/>
              <w:rPr>
                <w:sz w:val="20"/>
              </w:rPr>
            </w:pPr>
            <w:r>
              <w:rPr>
                <w:sz w:val="20"/>
              </w:rPr>
              <w:t>Baa1 (stable) / A- (stable) / A- (stable)</w:t>
            </w:r>
          </w:p>
        </w:tc>
      </w:tr>
      <w:tr>
        <w:trPr/>
        <w:tc>
          <w:tcPr>
            <w:tcW w:w="3436" w:type="dxa"/>
            <w:tcBorders/>
            <w:vAlign w:val="center"/>
          </w:tcPr>
          <w:p>
            <w:pPr>
              <w:pStyle w:val="TableContents"/>
              <w:bidi w:val="0"/>
              <w:spacing w:before="0" w:after="283"/>
              <w:jc w:val="left"/>
              <w:rPr>
                <w:b/>
                <w:sz w:val="20"/>
              </w:rPr>
            </w:pPr>
            <w:r>
              <w:rPr>
                <w:b/>
                <w:sz w:val="20"/>
              </w:rPr>
              <w:t>Security Type:</w:t>
            </w:r>
          </w:p>
        </w:tc>
        <w:tc>
          <w:tcPr>
            <w:tcW w:w="6769" w:type="dxa"/>
            <w:tcBorders/>
            <w:vAlign w:val="center"/>
          </w:tcPr>
          <w:p>
            <w:pPr>
              <w:pStyle w:val="TableContents"/>
              <w:bidi w:val="0"/>
              <w:spacing w:before="0" w:after="283"/>
              <w:jc w:val="left"/>
              <w:rPr>
                <w:sz w:val="20"/>
              </w:rPr>
            </w:pPr>
            <w:r>
              <w:rPr>
                <w:sz w:val="20"/>
              </w:rPr>
              <w:t>Senior Unsecured Fixed Rate Notes</w:t>
            </w:r>
          </w:p>
        </w:tc>
      </w:tr>
      <w:tr>
        <w:trPr/>
        <w:tc>
          <w:tcPr>
            <w:tcW w:w="3436" w:type="dxa"/>
            <w:tcBorders/>
            <w:vAlign w:val="center"/>
          </w:tcPr>
          <w:p>
            <w:pPr>
              <w:pStyle w:val="TableContents"/>
              <w:bidi w:val="0"/>
              <w:spacing w:before="0" w:after="283"/>
              <w:jc w:val="left"/>
              <w:rPr>
                <w:b/>
                <w:sz w:val="20"/>
              </w:rPr>
            </w:pPr>
            <w:r>
              <w:rPr>
                <w:b/>
                <w:sz w:val="20"/>
              </w:rPr>
              <w:t>Trade Date:</w:t>
            </w:r>
          </w:p>
        </w:tc>
        <w:tc>
          <w:tcPr>
            <w:tcW w:w="6769" w:type="dxa"/>
            <w:tcBorders/>
            <w:vAlign w:val="center"/>
          </w:tcPr>
          <w:p>
            <w:pPr>
              <w:pStyle w:val="TableContents"/>
              <w:bidi w:val="0"/>
              <w:spacing w:before="0" w:after="283"/>
              <w:jc w:val="left"/>
              <w:rPr>
                <w:sz w:val="20"/>
              </w:rPr>
            </w:pPr>
            <w:r>
              <w:rPr>
                <w:sz w:val="20"/>
              </w:rPr>
              <w:t>September 15, 2026</w:t>
            </w:r>
          </w:p>
        </w:tc>
      </w:tr>
      <w:tr>
        <w:trPr/>
        <w:tc>
          <w:tcPr>
            <w:tcW w:w="3436" w:type="dxa"/>
            <w:tcBorders/>
            <w:vAlign w:val="center"/>
          </w:tcPr>
          <w:p>
            <w:pPr>
              <w:pStyle w:val="TableContents"/>
              <w:bidi w:val="0"/>
              <w:spacing w:before="0" w:after="283"/>
              <w:jc w:val="left"/>
              <w:rPr>
                <w:b/>
                <w:sz w:val="20"/>
              </w:rPr>
            </w:pPr>
            <w:r>
              <w:rPr>
                <w:b/>
                <w:sz w:val="20"/>
              </w:rPr>
              <w:t>Settlement Date**:</w:t>
            </w:r>
          </w:p>
        </w:tc>
        <w:tc>
          <w:tcPr>
            <w:tcW w:w="6769" w:type="dxa"/>
            <w:tcBorders/>
            <w:vAlign w:val="center"/>
          </w:tcPr>
          <w:p>
            <w:pPr>
              <w:pStyle w:val="TableContents"/>
              <w:bidi w:val="0"/>
              <w:spacing w:before="0" w:after="283"/>
              <w:jc w:val="left"/>
              <w:rPr>
                <w:sz w:val="20"/>
              </w:rPr>
            </w:pPr>
            <w:r>
              <w:rPr>
                <w:sz w:val="20"/>
              </w:rPr>
              <w:t>September 24, 2026 (T + 7)</w:t>
            </w:r>
          </w:p>
        </w:tc>
      </w:tr>
      <w:tr>
        <w:trPr/>
        <w:tc>
          <w:tcPr>
            <w:tcW w:w="3436" w:type="dxa"/>
            <w:tcBorders/>
            <w:vAlign w:val="center"/>
          </w:tcPr>
          <w:p>
            <w:pPr>
              <w:pStyle w:val="TableContents"/>
              <w:bidi w:val="0"/>
              <w:spacing w:before="0" w:after="283"/>
              <w:jc w:val="left"/>
              <w:rPr>
                <w:b/>
                <w:sz w:val="20"/>
              </w:rPr>
            </w:pPr>
            <w:r>
              <w:rPr>
                <w:b/>
                <w:sz w:val="20"/>
              </w:rPr>
              <w:t>Settlement:</w:t>
            </w:r>
          </w:p>
        </w:tc>
        <w:tc>
          <w:tcPr>
            <w:tcW w:w="6769" w:type="dxa"/>
            <w:tcBorders/>
            <w:vAlign w:val="center"/>
          </w:tcPr>
          <w:p>
            <w:pPr>
              <w:pStyle w:val="TableContents"/>
              <w:bidi w:val="0"/>
              <w:spacing w:before="0" w:after="283"/>
              <w:jc w:val="left"/>
              <w:rPr>
                <w:sz w:val="20"/>
              </w:rPr>
            </w:pPr>
            <w:r>
              <w:rPr>
                <w:sz w:val="20"/>
              </w:rPr>
              <w:t>Euroclear / Clearstream</w:t>
            </w:r>
          </w:p>
        </w:tc>
      </w:tr>
      <w:tr>
        <w:trPr/>
        <w:tc>
          <w:tcPr>
            <w:tcW w:w="3436" w:type="dxa"/>
            <w:tcBorders/>
            <w:vAlign w:val="center"/>
          </w:tcPr>
          <w:p>
            <w:pPr>
              <w:pStyle w:val="TableContents"/>
              <w:bidi w:val="0"/>
              <w:spacing w:before="0" w:after="283"/>
              <w:jc w:val="left"/>
              <w:rPr>
                <w:b/>
                <w:sz w:val="20"/>
              </w:rPr>
            </w:pPr>
            <w:r>
              <w:rPr>
                <w:b/>
                <w:sz w:val="20"/>
              </w:rPr>
              <w:t>Maturity Date:</w:t>
            </w:r>
          </w:p>
        </w:tc>
        <w:tc>
          <w:tcPr>
            <w:tcW w:w="676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Notes: September 24, 2031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 Notes: September 24, 2036</w:t>
            </w:r>
          </w:p>
        </w:tc>
      </w:tr>
      <w:tr>
        <w:trPr/>
        <w:tc>
          <w:tcPr>
            <w:tcW w:w="3436" w:type="dxa"/>
            <w:tcBorders/>
            <w:vAlign w:val="center"/>
          </w:tcPr>
          <w:p>
            <w:pPr>
              <w:pStyle w:val="TableContents"/>
              <w:bidi w:val="0"/>
              <w:spacing w:before="0" w:after="283"/>
              <w:jc w:val="left"/>
              <w:rPr>
                <w:b/>
                <w:sz w:val="20"/>
              </w:rPr>
            </w:pPr>
            <w:r>
              <w:rPr>
                <w:b/>
                <w:sz w:val="20"/>
              </w:rPr>
              <w:t>Principal Amount:</w:t>
            </w:r>
          </w:p>
        </w:tc>
        <w:tc>
          <w:tcPr>
            <w:tcW w:w="676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Notes: €625,000,000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 Notes: €500,000,000</w:t>
            </w:r>
          </w:p>
        </w:tc>
      </w:tr>
      <w:tr>
        <w:trPr/>
        <w:tc>
          <w:tcPr>
            <w:tcW w:w="3436" w:type="dxa"/>
            <w:tcBorders/>
            <w:vAlign w:val="center"/>
          </w:tcPr>
          <w:p>
            <w:pPr>
              <w:pStyle w:val="TableContents"/>
              <w:bidi w:val="0"/>
              <w:spacing w:before="0" w:after="283"/>
              <w:jc w:val="left"/>
              <w:rPr>
                <w:b/>
                <w:sz w:val="20"/>
              </w:rPr>
            </w:pPr>
            <w:r>
              <w:rPr>
                <w:b/>
                <w:sz w:val="20"/>
              </w:rPr>
              <w:t>Price to Public:</w:t>
            </w:r>
          </w:p>
        </w:tc>
        <w:tc>
          <w:tcPr>
            <w:tcW w:w="676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Notes: 99.660% of principal amount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 Notes: 99.797% of principal amount</w:t>
            </w:r>
          </w:p>
        </w:tc>
      </w:tr>
      <w:tr>
        <w:trPr/>
        <w:tc>
          <w:tcPr>
            <w:tcW w:w="3436" w:type="dxa"/>
            <w:tcBorders/>
            <w:vAlign w:val="center"/>
          </w:tcPr>
          <w:p>
            <w:pPr>
              <w:pStyle w:val="TableContents"/>
              <w:bidi w:val="0"/>
              <w:spacing w:before="0" w:after="283"/>
              <w:jc w:val="left"/>
              <w:rPr>
                <w:b/>
                <w:sz w:val="20"/>
              </w:rPr>
            </w:pPr>
            <w:r>
              <w:rPr>
                <w:b/>
                <w:sz w:val="20"/>
              </w:rPr>
              <w:t>Gross Underwriting Discount:</w:t>
            </w:r>
          </w:p>
        </w:tc>
        <w:tc>
          <w:tcPr>
            <w:tcW w:w="676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Notes: 0.350%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 Notes: 0.450%</w:t>
            </w:r>
          </w:p>
        </w:tc>
      </w:tr>
      <w:tr>
        <w:trPr/>
        <w:tc>
          <w:tcPr>
            <w:tcW w:w="3436" w:type="dxa"/>
            <w:tcBorders/>
            <w:vAlign w:val="center"/>
          </w:tcPr>
          <w:p>
            <w:pPr>
              <w:pStyle w:val="TableContents"/>
              <w:bidi w:val="0"/>
              <w:spacing w:before="0" w:after="283"/>
              <w:jc w:val="left"/>
              <w:rPr>
                <w:b/>
                <w:sz w:val="20"/>
              </w:rPr>
            </w:pPr>
            <w:r>
              <w:rPr>
                <w:b/>
                <w:sz w:val="20"/>
              </w:rPr>
              <w:t>Net Proceeds to Issuer Before Expenses:</w:t>
            </w:r>
          </w:p>
        </w:tc>
        <w:tc>
          <w:tcPr>
            <w:tcW w:w="676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Notes: €620,687,500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 Notes: €496,735,000</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98"/>
        <w:gridCol w:w="7807"/>
      </w:tblGrid>
      <w:tr>
        <w:trPr/>
        <w:tc>
          <w:tcPr>
            <w:tcW w:w="2398" w:type="dxa"/>
            <w:tcBorders/>
            <w:vAlign w:val="center"/>
          </w:tcPr>
          <w:p>
            <w:pPr>
              <w:pStyle w:val="TableContents"/>
              <w:bidi w:val="0"/>
              <w:spacing w:before="0" w:after="283"/>
              <w:jc w:val="left"/>
              <w:rPr>
                <w:b/>
                <w:sz w:val="20"/>
              </w:rPr>
            </w:pPr>
            <w:r>
              <w:rPr>
                <w:b/>
                <w:sz w:val="20"/>
              </w:rPr>
              <w:t>Aggregate Net Proceeds to Issuer Before Expenses:</w:t>
            </w:r>
          </w:p>
        </w:tc>
        <w:tc>
          <w:tcPr>
            <w:tcW w:w="7807" w:type="dxa"/>
            <w:tcBorders/>
            <w:vAlign w:val="center"/>
          </w:tcPr>
          <w:p>
            <w:pPr>
              <w:pStyle w:val="TableContents"/>
              <w:bidi w:val="0"/>
              <w:spacing w:before="0" w:after="283"/>
              <w:jc w:val="left"/>
              <w:rPr/>
            </w:pPr>
            <w:r>
              <w:rPr/>
              <w:t>€</w:t>
            </w:r>
            <w:r>
              <w:rPr>
                <w:sz w:val="20"/>
              </w:rPr>
              <w:t>1,117,422,500</w:t>
            </w:r>
          </w:p>
        </w:tc>
      </w:tr>
      <w:tr>
        <w:trPr/>
        <w:tc>
          <w:tcPr>
            <w:tcW w:w="2398" w:type="dxa"/>
            <w:tcBorders/>
            <w:vAlign w:val="center"/>
          </w:tcPr>
          <w:p>
            <w:pPr>
              <w:pStyle w:val="TableContents"/>
              <w:bidi w:val="0"/>
              <w:spacing w:before="0" w:after="283"/>
              <w:jc w:val="left"/>
              <w:rPr>
                <w:b/>
                <w:sz w:val="20"/>
              </w:rPr>
            </w:pPr>
            <w:r>
              <w:rPr>
                <w:b/>
                <w:sz w:val="20"/>
              </w:rPr>
              <w:t>Spread to Benchmark Bund:</w:t>
            </w:r>
          </w:p>
        </w:tc>
        <w:tc>
          <w:tcPr>
            <w:tcW w:w="7807"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Notes: +99.4 basis points</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 Notes: +123.0 basis points</w:t>
            </w:r>
          </w:p>
        </w:tc>
      </w:tr>
      <w:tr>
        <w:trPr/>
        <w:tc>
          <w:tcPr>
            <w:tcW w:w="2398" w:type="dxa"/>
            <w:tcBorders/>
            <w:vAlign w:val="center"/>
          </w:tcPr>
          <w:p>
            <w:pPr>
              <w:pStyle w:val="TableContents"/>
              <w:bidi w:val="0"/>
              <w:spacing w:before="0" w:after="283"/>
              <w:jc w:val="left"/>
              <w:rPr>
                <w:b/>
                <w:sz w:val="20"/>
              </w:rPr>
            </w:pPr>
            <w:r>
              <w:rPr>
                <w:b/>
                <w:sz w:val="20"/>
              </w:rPr>
              <w:t>Benchmark Bund:</w:t>
            </w:r>
          </w:p>
        </w:tc>
        <w:tc>
          <w:tcPr>
            <w:tcW w:w="7807"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Notes: 0.000% due August 15, 2031</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 Notes: 3.000% due August 15, 2036</w:t>
            </w:r>
          </w:p>
        </w:tc>
      </w:tr>
      <w:tr>
        <w:trPr/>
        <w:tc>
          <w:tcPr>
            <w:tcW w:w="2398" w:type="dxa"/>
            <w:tcBorders/>
            <w:vAlign w:val="center"/>
          </w:tcPr>
          <w:p>
            <w:pPr>
              <w:pStyle w:val="TableContents"/>
              <w:bidi w:val="0"/>
              <w:spacing w:before="0" w:after="283"/>
              <w:jc w:val="left"/>
              <w:rPr>
                <w:b/>
                <w:sz w:val="20"/>
              </w:rPr>
            </w:pPr>
            <w:r>
              <w:rPr>
                <w:b/>
                <w:sz w:val="20"/>
              </w:rPr>
              <w:t>Benchmark Bund Price / Yield:</w:t>
            </w:r>
          </w:p>
        </w:tc>
        <w:tc>
          <w:tcPr>
            <w:tcW w:w="7807"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Notes: €85.130 / 3.333%</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 Notes: €95.490 / 3.546%</w:t>
            </w:r>
          </w:p>
        </w:tc>
      </w:tr>
      <w:tr>
        <w:trPr/>
        <w:tc>
          <w:tcPr>
            <w:tcW w:w="2398" w:type="dxa"/>
            <w:tcBorders/>
            <w:vAlign w:val="center"/>
          </w:tcPr>
          <w:p>
            <w:pPr>
              <w:pStyle w:val="TableContents"/>
              <w:bidi w:val="0"/>
              <w:spacing w:before="0" w:after="283"/>
              <w:jc w:val="left"/>
              <w:rPr>
                <w:b/>
                <w:sz w:val="20"/>
              </w:rPr>
            </w:pPr>
            <w:r>
              <w:rPr>
                <w:b/>
                <w:sz w:val="20"/>
              </w:rPr>
              <w:t>Mid-Swap Yield:</w:t>
            </w:r>
          </w:p>
        </w:tc>
        <w:tc>
          <w:tcPr>
            <w:tcW w:w="7807"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Notes: 3.527%</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 Notes: 3.576%</w:t>
            </w:r>
          </w:p>
        </w:tc>
      </w:tr>
      <w:tr>
        <w:trPr/>
        <w:tc>
          <w:tcPr>
            <w:tcW w:w="2398" w:type="dxa"/>
            <w:tcBorders/>
            <w:vAlign w:val="center"/>
          </w:tcPr>
          <w:p>
            <w:pPr>
              <w:pStyle w:val="TableContents"/>
              <w:bidi w:val="0"/>
              <w:spacing w:before="0" w:after="283"/>
              <w:jc w:val="left"/>
              <w:rPr>
                <w:b/>
                <w:sz w:val="20"/>
              </w:rPr>
            </w:pPr>
            <w:r>
              <w:rPr>
                <w:b/>
                <w:sz w:val="20"/>
              </w:rPr>
              <w:t>Spread to Mid-Swap Yield:</w:t>
            </w:r>
          </w:p>
        </w:tc>
        <w:tc>
          <w:tcPr>
            <w:tcW w:w="7807"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Notes: +80 basis points</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 Notes: +120 basis points</w:t>
            </w:r>
          </w:p>
        </w:tc>
      </w:tr>
      <w:tr>
        <w:trPr/>
        <w:tc>
          <w:tcPr>
            <w:tcW w:w="2398" w:type="dxa"/>
            <w:tcBorders/>
            <w:vAlign w:val="center"/>
          </w:tcPr>
          <w:p>
            <w:pPr>
              <w:pStyle w:val="TableContents"/>
              <w:bidi w:val="0"/>
              <w:spacing w:before="0" w:after="283"/>
              <w:jc w:val="left"/>
              <w:rPr>
                <w:b/>
                <w:sz w:val="20"/>
              </w:rPr>
            </w:pPr>
            <w:r>
              <w:rPr>
                <w:b/>
                <w:sz w:val="20"/>
              </w:rPr>
              <w:t>Coupon:</w:t>
            </w:r>
          </w:p>
        </w:tc>
        <w:tc>
          <w:tcPr>
            <w:tcW w:w="7807"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Notes: 4.250%</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 Notes: 4.750%</w:t>
            </w:r>
          </w:p>
        </w:tc>
      </w:tr>
      <w:tr>
        <w:trPr/>
        <w:tc>
          <w:tcPr>
            <w:tcW w:w="2398" w:type="dxa"/>
            <w:tcBorders/>
            <w:vAlign w:val="center"/>
          </w:tcPr>
          <w:p>
            <w:pPr>
              <w:pStyle w:val="TableContents"/>
              <w:bidi w:val="0"/>
              <w:spacing w:before="0" w:after="283"/>
              <w:jc w:val="left"/>
              <w:rPr>
                <w:b/>
                <w:sz w:val="20"/>
              </w:rPr>
            </w:pPr>
            <w:r>
              <w:rPr>
                <w:b/>
                <w:sz w:val="20"/>
              </w:rPr>
              <w:t xml:space="preserve">Yield to Maturity: </w:t>
            </w:r>
          </w:p>
        </w:tc>
        <w:tc>
          <w:tcPr>
            <w:tcW w:w="7807"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Notes: 4.327%</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 Notes: 4.776%</w:t>
            </w:r>
          </w:p>
        </w:tc>
      </w:tr>
      <w:tr>
        <w:trPr/>
        <w:tc>
          <w:tcPr>
            <w:tcW w:w="2398" w:type="dxa"/>
            <w:tcBorders/>
            <w:vAlign w:val="center"/>
          </w:tcPr>
          <w:p>
            <w:pPr>
              <w:pStyle w:val="TableContents"/>
              <w:bidi w:val="0"/>
              <w:spacing w:before="0" w:after="283"/>
              <w:jc w:val="left"/>
              <w:rPr>
                <w:b/>
                <w:sz w:val="20"/>
              </w:rPr>
            </w:pPr>
            <w:r>
              <w:rPr>
                <w:b/>
                <w:sz w:val="20"/>
              </w:rPr>
              <w:t>Interest Payment Dates:</w:t>
            </w:r>
          </w:p>
        </w:tc>
        <w:tc>
          <w:tcPr>
            <w:tcW w:w="7807" w:type="dxa"/>
            <w:tcBorders/>
            <w:vAlign w:val="center"/>
          </w:tcPr>
          <w:p>
            <w:pPr>
              <w:pStyle w:val="TableContents"/>
              <w:bidi w:val="0"/>
              <w:spacing w:before="0" w:after="283"/>
              <w:jc w:val="left"/>
              <w:rPr>
                <w:sz w:val="20"/>
              </w:rPr>
            </w:pPr>
            <w:r>
              <w:rPr>
                <w:sz w:val="20"/>
              </w:rPr>
              <w:t>Annually on September 24 of each year, commencing September 24, 2027</w:t>
            </w:r>
          </w:p>
        </w:tc>
      </w:tr>
      <w:tr>
        <w:trPr/>
        <w:tc>
          <w:tcPr>
            <w:tcW w:w="2398" w:type="dxa"/>
            <w:tcBorders/>
            <w:vAlign w:val="center"/>
          </w:tcPr>
          <w:p>
            <w:pPr>
              <w:pStyle w:val="TableContents"/>
              <w:bidi w:val="0"/>
              <w:spacing w:before="0" w:after="283"/>
              <w:jc w:val="left"/>
              <w:rPr>
                <w:b/>
                <w:sz w:val="20"/>
              </w:rPr>
            </w:pPr>
            <w:r>
              <w:rPr>
                <w:b/>
                <w:sz w:val="20"/>
              </w:rPr>
              <w:t>Record Date:</w:t>
            </w:r>
          </w:p>
        </w:tc>
        <w:tc>
          <w:tcPr>
            <w:tcW w:w="7807" w:type="dxa"/>
            <w:tcBorders/>
            <w:vAlign w:val="center"/>
          </w:tcPr>
          <w:p>
            <w:pPr>
              <w:pStyle w:val="TableContents"/>
              <w:bidi w:val="0"/>
              <w:spacing w:before="0" w:after="283"/>
              <w:jc w:val="left"/>
              <w:rPr>
                <w:sz w:val="20"/>
              </w:rPr>
            </w:pPr>
            <w:r>
              <w:rPr>
                <w:sz w:val="20"/>
              </w:rPr>
              <w:t>Close of the business day (on which each of Euroclear SA/NV and Clearstream S.A. is open for business) prior to the Interest Payment Date</w:t>
            </w:r>
          </w:p>
        </w:tc>
      </w:tr>
      <w:tr>
        <w:trPr/>
        <w:tc>
          <w:tcPr>
            <w:tcW w:w="2398" w:type="dxa"/>
            <w:tcBorders/>
            <w:vAlign w:val="center"/>
          </w:tcPr>
          <w:p>
            <w:pPr>
              <w:pStyle w:val="TableContents"/>
              <w:bidi w:val="0"/>
              <w:spacing w:before="0" w:after="283"/>
              <w:jc w:val="left"/>
              <w:rPr>
                <w:b/>
                <w:sz w:val="20"/>
              </w:rPr>
            </w:pPr>
            <w:r>
              <w:rPr>
                <w:b/>
                <w:sz w:val="20"/>
              </w:rPr>
              <w:t>Business Day Center(s):</w:t>
            </w:r>
          </w:p>
        </w:tc>
        <w:tc>
          <w:tcPr>
            <w:tcW w:w="7807" w:type="dxa"/>
            <w:tcBorders/>
            <w:vAlign w:val="center"/>
          </w:tcPr>
          <w:p>
            <w:pPr>
              <w:pStyle w:val="TableContents"/>
              <w:bidi w:val="0"/>
              <w:spacing w:before="0" w:after="283"/>
              <w:jc w:val="left"/>
              <w:rPr>
                <w:sz w:val="20"/>
              </w:rPr>
            </w:pPr>
            <w:r>
              <w:rPr>
                <w:sz w:val="20"/>
              </w:rPr>
              <w:t>London, New York, T2 (as TARGET2 successor)</w:t>
            </w:r>
          </w:p>
        </w:tc>
      </w:tr>
      <w:tr>
        <w:trPr/>
        <w:tc>
          <w:tcPr>
            <w:tcW w:w="2398" w:type="dxa"/>
            <w:tcBorders/>
            <w:vAlign w:val="center"/>
          </w:tcPr>
          <w:p>
            <w:pPr>
              <w:pStyle w:val="TableContents"/>
              <w:bidi w:val="0"/>
              <w:spacing w:before="0" w:after="283"/>
              <w:jc w:val="left"/>
              <w:rPr>
                <w:b/>
                <w:sz w:val="20"/>
              </w:rPr>
            </w:pPr>
            <w:r>
              <w:rPr>
                <w:b/>
                <w:sz w:val="20"/>
              </w:rPr>
              <w:t xml:space="preserve">Day Count Convention: </w:t>
            </w:r>
          </w:p>
        </w:tc>
        <w:tc>
          <w:tcPr>
            <w:tcW w:w="7807" w:type="dxa"/>
            <w:tcBorders/>
            <w:vAlign w:val="center"/>
          </w:tcPr>
          <w:p>
            <w:pPr>
              <w:pStyle w:val="TableContents"/>
              <w:bidi w:val="0"/>
              <w:spacing w:before="0" w:after="283"/>
              <w:jc w:val="left"/>
              <w:rPr>
                <w:sz w:val="20"/>
              </w:rPr>
            </w:pPr>
            <w:r>
              <w:rPr>
                <w:sz w:val="20"/>
              </w:rPr>
              <w:t>Actual/Actual (ICMA)</w:t>
            </w:r>
          </w:p>
        </w:tc>
      </w:tr>
      <w:tr>
        <w:trPr/>
        <w:tc>
          <w:tcPr>
            <w:tcW w:w="2398" w:type="dxa"/>
            <w:tcBorders/>
            <w:vAlign w:val="center"/>
          </w:tcPr>
          <w:p>
            <w:pPr>
              <w:pStyle w:val="TableContents"/>
              <w:bidi w:val="0"/>
              <w:spacing w:before="0" w:after="283"/>
              <w:jc w:val="left"/>
              <w:rPr>
                <w:b/>
                <w:sz w:val="20"/>
              </w:rPr>
            </w:pPr>
            <w:r>
              <w:rPr>
                <w:b/>
                <w:sz w:val="20"/>
              </w:rPr>
              <w:t>Denominations:</w:t>
            </w:r>
          </w:p>
        </w:tc>
        <w:tc>
          <w:tcPr>
            <w:tcW w:w="7807" w:type="dxa"/>
            <w:tcBorders/>
            <w:vAlign w:val="center"/>
          </w:tcPr>
          <w:p>
            <w:pPr>
              <w:pStyle w:val="TableContents"/>
              <w:bidi w:val="0"/>
              <w:spacing w:before="0" w:after="283"/>
              <w:jc w:val="left"/>
              <w:rPr/>
            </w:pPr>
            <w:r>
              <w:rPr/>
              <w:t>€</w:t>
            </w:r>
            <w:r>
              <w:rPr>
                <w:sz w:val="20"/>
              </w:rPr>
              <w:t>100,000, with increments of €1,000 thereafter</w:t>
            </w:r>
          </w:p>
        </w:tc>
      </w:tr>
      <w:tr>
        <w:trPr/>
        <w:tc>
          <w:tcPr>
            <w:tcW w:w="2398" w:type="dxa"/>
            <w:tcBorders/>
            <w:vAlign w:val="center"/>
          </w:tcPr>
          <w:p>
            <w:pPr>
              <w:pStyle w:val="TableContents"/>
              <w:bidi w:val="0"/>
              <w:spacing w:before="0" w:after="283"/>
              <w:jc w:val="left"/>
              <w:rPr>
                <w:b/>
                <w:sz w:val="20"/>
              </w:rPr>
            </w:pPr>
            <w:r>
              <w:rPr>
                <w:b/>
                <w:sz w:val="20"/>
              </w:rPr>
              <w:t>Optional Redemption:</w:t>
            </w:r>
          </w:p>
        </w:tc>
        <w:tc>
          <w:tcPr>
            <w:tcW w:w="7807" w:type="dxa"/>
            <w:tcBorders/>
            <w:vAlign w:val="center"/>
          </w:tcPr>
          <w:p>
            <w:pPr>
              <w:pStyle w:val="TableContents"/>
              <w:bidi w:val="0"/>
              <w:spacing w:before="100" w:after="220"/>
              <w:ind w:left="100" w:right="1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Make-whole redemption at any time prior to (i) August 24, 2031, with respect to the 2031 Notes, at a discount rate of Bund + 15 basis points and (ii) June 24, 2036, with respect to the 2036 Notes, at a discount rate of Bund + 20 basis points.</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redemption at any time on or after (i) August 24, 2031, with respect to the 2031 Notes and (ii) June 24, 2036, with respect to the 2036 Notes.</w:t>
            </w:r>
          </w:p>
        </w:tc>
      </w:tr>
      <w:tr>
        <w:trPr/>
        <w:tc>
          <w:tcPr>
            <w:tcW w:w="2398" w:type="dxa"/>
            <w:tcBorders/>
            <w:vAlign w:val="center"/>
          </w:tcPr>
          <w:p>
            <w:pPr>
              <w:pStyle w:val="TableContents"/>
              <w:bidi w:val="0"/>
              <w:spacing w:before="0" w:after="283"/>
              <w:jc w:val="left"/>
              <w:rPr>
                <w:b/>
                <w:sz w:val="20"/>
              </w:rPr>
            </w:pPr>
            <w:r>
              <w:rPr>
                <w:b/>
                <w:sz w:val="20"/>
              </w:rPr>
              <w:t>Tax Redemption:</w:t>
            </w:r>
          </w:p>
        </w:tc>
        <w:tc>
          <w:tcPr>
            <w:tcW w:w="7807" w:type="dxa"/>
            <w:tcBorders/>
            <w:vAlign w:val="center"/>
          </w:tcPr>
          <w:p>
            <w:pPr>
              <w:pStyle w:val="TableContents"/>
              <w:bidi w:val="0"/>
              <w:spacing w:before="0" w:after="283"/>
              <w:jc w:val="left"/>
              <w:rPr>
                <w:sz w:val="20"/>
              </w:rPr>
            </w:pPr>
            <w:r>
              <w:rPr>
                <w:sz w:val="20"/>
              </w:rPr>
              <w:t xml:space="preserve">Par redemption at any time in the event of certain changes affecting U.S. taxation as described under “Description of the Notes — Tax Redemption” in the prospectus supplement. </w:t>
            </w:r>
          </w:p>
        </w:tc>
      </w:tr>
    </w:tbl>
    <w:p>
      <w:pPr>
        <w:pStyle w:val="TextBody"/>
        <w:bidi w:val="0"/>
        <w:spacing w:before="0" w:after="0"/>
        <w:jc w:val="center"/>
        <w:rPr>
          <w:bdr w:val="single" w:sz="8" w:space="1" w:color="000000"/>
        </w:rPr>
      </w:pPr>
      <w:r>
        <w:rPr>
          <w:sz w:val="20"/>
          <w:bdr w:val="single" w:sz="8" w:space="1" w:color="000000"/>
        </w:rPr>
        <w:t>2</w:t>
      </w: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82"/>
        <w:gridCol w:w="8323"/>
      </w:tblGrid>
      <w:tr>
        <w:trPr/>
        <w:tc>
          <w:tcPr>
            <w:tcW w:w="1882" w:type="dxa"/>
            <w:tcBorders/>
            <w:vAlign w:val="center"/>
          </w:tcPr>
          <w:p>
            <w:pPr>
              <w:pStyle w:val="TableContents"/>
              <w:bidi w:val="0"/>
              <w:spacing w:before="0" w:after="283"/>
              <w:jc w:val="left"/>
              <w:rPr>
                <w:b/>
                <w:sz w:val="20"/>
              </w:rPr>
            </w:pPr>
            <w:r>
              <w:rPr>
                <w:b/>
                <w:sz w:val="20"/>
              </w:rPr>
              <w:t>Expected Listing:</w:t>
            </w:r>
          </w:p>
        </w:tc>
        <w:tc>
          <w:tcPr>
            <w:tcW w:w="8323" w:type="dxa"/>
            <w:tcBorders/>
            <w:vAlign w:val="center"/>
          </w:tcPr>
          <w:p>
            <w:pPr>
              <w:pStyle w:val="TableContents"/>
              <w:bidi w:val="0"/>
              <w:spacing w:before="0" w:after="283"/>
              <w:jc w:val="left"/>
              <w:rPr>
                <w:sz w:val="20"/>
              </w:rPr>
            </w:pPr>
            <w:r>
              <w:rPr>
                <w:sz w:val="20"/>
              </w:rPr>
              <w:t>Global Exchange Market of Euronext Dublin</w:t>
            </w:r>
          </w:p>
        </w:tc>
      </w:tr>
      <w:tr>
        <w:trPr/>
        <w:tc>
          <w:tcPr>
            <w:tcW w:w="1882" w:type="dxa"/>
            <w:tcBorders/>
            <w:vAlign w:val="center"/>
          </w:tcPr>
          <w:p>
            <w:pPr>
              <w:pStyle w:val="TableContents"/>
              <w:bidi w:val="0"/>
              <w:spacing w:before="0" w:after="283"/>
              <w:jc w:val="left"/>
              <w:rPr>
                <w:b/>
                <w:sz w:val="20"/>
              </w:rPr>
            </w:pPr>
            <w:r>
              <w:rPr>
                <w:b/>
                <w:sz w:val="20"/>
              </w:rPr>
              <w:t>Common Code / ISIN:</w:t>
            </w:r>
          </w:p>
        </w:tc>
        <w:tc>
          <w:tcPr>
            <w:tcW w:w="8323"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Notes: 351290021 / XS3512900211</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 Notes: 351290234 / XS3512902340</w:t>
            </w:r>
          </w:p>
        </w:tc>
      </w:tr>
      <w:tr>
        <w:trPr/>
        <w:tc>
          <w:tcPr>
            <w:tcW w:w="1882" w:type="dxa"/>
            <w:tcBorders/>
            <w:vAlign w:val="center"/>
          </w:tcPr>
          <w:p>
            <w:pPr>
              <w:pStyle w:val="TableContents"/>
              <w:bidi w:val="0"/>
              <w:spacing w:before="0" w:after="283"/>
              <w:jc w:val="left"/>
              <w:rPr>
                <w:b/>
                <w:sz w:val="20"/>
              </w:rPr>
            </w:pPr>
            <w:r>
              <w:rPr>
                <w:b/>
                <w:sz w:val="20"/>
              </w:rPr>
              <w:t>Joint Book-Running Managers:</w:t>
            </w:r>
          </w:p>
        </w:tc>
        <w:tc>
          <w:tcPr>
            <w:tcW w:w="8323"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AG, London Branch</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plc</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Limited</w:t>
            </w:r>
          </w:p>
        </w:tc>
      </w:tr>
      <w:tr>
        <w:trPr/>
        <w:tc>
          <w:tcPr>
            <w:tcW w:w="1882" w:type="dxa"/>
            <w:tcBorders/>
            <w:vAlign w:val="center"/>
          </w:tcPr>
          <w:p>
            <w:pPr>
              <w:pStyle w:val="TableContents"/>
              <w:bidi w:val="0"/>
              <w:spacing w:before="0" w:after="283"/>
              <w:jc w:val="left"/>
              <w:rPr/>
            </w:pPr>
            <w:r>
              <w:rPr/>
              <w:t> </w:t>
            </w:r>
          </w:p>
        </w:tc>
        <w:tc>
          <w:tcPr>
            <w:tcW w:w="8323"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Bank PLC</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HSBC Bank plc</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Merrill Lynch International</w:t>
            </w:r>
          </w:p>
        </w:tc>
      </w:tr>
      <w:tr>
        <w:trPr/>
        <w:tc>
          <w:tcPr>
            <w:tcW w:w="1882" w:type="dxa"/>
            <w:tcBorders/>
            <w:vAlign w:val="center"/>
          </w:tcPr>
          <w:p>
            <w:pPr>
              <w:pStyle w:val="TableContents"/>
              <w:bidi w:val="0"/>
              <w:spacing w:before="0" w:after="283"/>
              <w:jc w:val="left"/>
              <w:rPr>
                <w:b/>
                <w:sz w:val="20"/>
              </w:rPr>
            </w:pPr>
            <w:r>
              <w:rPr>
                <w:b/>
                <w:sz w:val="20"/>
              </w:rPr>
              <w:t>Co-Managers:</w:t>
            </w:r>
          </w:p>
        </w:tc>
        <w:tc>
          <w:tcPr>
            <w:tcW w:w="8323"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NATIXIS</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Chartered Bank</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ANZ Securities, Inc.</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Europe Limited</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Nova Scotia, London Branch</w:t>
            </w:r>
          </w:p>
        </w:tc>
      </w:tr>
      <w:tr>
        <w:trPr/>
        <w:tc>
          <w:tcPr>
            <w:tcW w:w="1882" w:type="dxa"/>
            <w:tcBorders/>
            <w:vAlign w:val="center"/>
          </w:tcPr>
          <w:p>
            <w:pPr>
              <w:pStyle w:val="TableContents"/>
              <w:bidi w:val="0"/>
              <w:spacing w:before="0" w:after="283"/>
              <w:jc w:val="left"/>
              <w:rPr>
                <w:b/>
                <w:sz w:val="20"/>
              </w:rPr>
            </w:pPr>
            <w:r>
              <w:rPr>
                <w:b/>
                <w:sz w:val="20"/>
              </w:rPr>
              <w:t>Governing Law:</w:t>
            </w:r>
          </w:p>
        </w:tc>
        <w:tc>
          <w:tcPr>
            <w:tcW w:w="8323" w:type="dxa"/>
            <w:tcBorders/>
            <w:vAlign w:val="center"/>
          </w:tcPr>
          <w:p>
            <w:pPr>
              <w:pStyle w:val="TableContents"/>
              <w:bidi w:val="0"/>
              <w:spacing w:before="0" w:after="283"/>
              <w:jc w:val="left"/>
              <w:rPr>
                <w:sz w:val="20"/>
              </w:rPr>
            </w:pPr>
            <w:r>
              <w:rPr>
                <w:sz w:val="20"/>
              </w:rPr>
              <w:t>State of New York</w:t>
            </w:r>
          </w:p>
        </w:tc>
      </w:tr>
      <w:tr>
        <w:trPr/>
        <w:tc>
          <w:tcPr>
            <w:tcW w:w="1882" w:type="dxa"/>
            <w:tcBorders/>
            <w:vAlign w:val="center"/>
          </w:tcPr>
          <w:p>
            <w:pPr>
              <w:pStyle w:val="TableContents"/>
              <w:bidi w:val="0"/>
              <w:spacing w:before="0" w:after="283"/>
              <w:jc w:val="left"/>
              <w:rPr>
                <w:b/>
                <w:sz w:val="20"/>
              </w:rPr>
            </w:pPr>
            <w:r>
              <w:rPr>
                <w:b/>
                <w:sz w:val="20"/>
              </w:rPr>
              <w:t>Form of Note:</w:t>
            </w:r>
          </w:p>
        </w:tc>
        <w:tc>
          <w:tcPr>
            <w:tcW w:w="83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issued only in registered, book-entry form. There will be a Global Note for each series of the Notes (€625,000,000 principal amount with respect to the 2031 Notes and €500,000,000 principal amount with respect to the 2036 Notes) registered in the name of a nominee for Euroclear SA/NV as common safekeeper.</w:t>
            </w:r>
          </w:p>
        </w:tc>
      </w:tr>
      <w:tr>
        <w:trPr/>
        <w:tc>
          <w:tcPr>
            <w:tcW w:w="1882" w:type="dxa"/>
            <w:tcBorders/>
            <w:vAlign w:val="center"/>
          </w:tcPr>
          <w:p>
            <w:pPr>
              <w:pStyle w:val="TableContents"/>
              <w:bidi w:val="0"/>
              <w:spacing w:before="0" w:after="283"/>
              <w:jc w:val="left"/>
              <w:rPr>
                <w:b/>
                <w:sz w:val="20"/>
              </w:rPr>
            </w:pPr>
            <w:r>
              <w:rPr>
                <w:b/>
                <w:sz w:val="20"/>
              </w:rPr>
              <w:t>New Safekeeping Structure:</w:t>
            </w:r>
          </w:p>
        </w:tc>
        <w:tc>
          <w:tcPr>
            <w:tcW w:w="8323" w:type="dxa"/>
            <w:tcBorders/>
            <w:vAlign w:val="center"/>
          </w:tcPr>
          <w:p>
            <w:pPr>
              <w:pStyle w:val="TableContents"/>
              <w:bidi w:val="0"/>
              <w:spacing w:before="0" w:after="283"/>
              <w:jc w:val="left"/>
              <w:rPr>
                <w:sz w:val="20"/>
              </w:rPr>
            </w:pPr>
            <w:r>
              <w:rPr>
                <w:sz w:val="20"/>
              </w:rPr>
              <w:t>Yes, and the Notes are intended to be held in a manner that would allow eligibility as collateral for Eurosystem intra-day credit and monetary policy operations.</w:t>
            </w:r>
          </w:p>
        </w:tc>
      </w:tr>
      <w:tr>
        <w:trPr/>
        <w:tc>
          <w:tcPr>
            <w:tcW w:w="1882" w:type="dxa"/>
            <w:tcBorders/>
            <w:vAlign w:val="center"/>
          </w:tcPr>
          <w:p>
            <w:pPr>
              <w:pStyle w:val="TableContents"/>
              <w:bidi w:val="0"/>
              <w:spacing w:before="0" w:after="283"/>
              <w:jc w:val="left"/>
              <w:rPr>
                <w:b/>
                <w:sz w:val="20"/>
              </w:rPr>
            </w:pPr>
            <w:r>
              <w:rPr>
                <w:b/>
                <w:sz w:val="20"/>
              </w:rPr>
              <w:t>EU MiFID II / UK MiFIR Target Market:</w:t>
            </w:r>
          </w:p>
        </w:tc>
        <w:tc>
          <w:tcPr>
            <w:tcW w:w="8323" w:type="dxa"/>
            <w:tcBorders/>
            <w:vAlign w:val="center"/>
          </w:tcPr>
          <w:p>
            <w:pPr>
              <w:pStyle w:val="TableContents"/>
              <w:bidi w:val="0"/>
              <w:spacing w:before="0" w:after="283"/>
              <w:jc w:val="left"/>
              <w:rPr>
                <w:sz w:val="20"/>
              </w:rPr>
            </w:pPr>
            <w:r>
              <w:rPr>
                <w:sz w:val="20"/>
              </w:rPr>
              <w:t>Manufacturer target market (EU MiFID II / UK MiFIR product governance) is eligible counterparties and professional clients only (all distribution channels).</w:t>
            </w:r>
          </w:p>
        </w:tc>
      </w:tr>
      <w:tr>
        <w:trPr/>
        <w:tc>
          <w:tcPr>
            <w:tcW w:w="1882" w:type="dxa"/>
            <w:tcBorders/>
            <w:vAlign w:val="center"/>
          </w:tcPr>
          <w:p>
            <w:pPr>
              <w:pStyle w:val="TableContents"/>
              <w:bidi w:val="0"/>
              <w:spacing w:before="0" w:after="283"/>
              <w:jc w:val="left"/>
              <w:rPr>
                <w:b/>
                <w:sz w:val="20"/>
              </w:rPr>
            </w:pPr>
            <w:r>
              <w:rPr>
                <w:b/>
                <w:sz w:val="20"/>
              </w:rPr>
              <w:t>EU PRIIPs / UK DISC:</w:t>
            </w:r>
          </w:p>
        </w:tc>
        <w:tc>
          <w:tcPr>
            <w:tcW w:w="8323" w:type="dxa"/>
            <w:tcBorders/>
            <w:vAlign w:val="center"/>
          </w:tcPr>
          <w:p>
            <w:pPr>
              <w:pStyle w:val="TableContents"/>
              <w:bidi w:val="0"/>
              <w:spacing w:before="0" w:after="283"/>
              <w:jc w:val="left"/>
              <w:rPr>
                <w:sz w:val="20"/>
              </w:rPr>
            </w:pPr>
            <w:r>
              <w:rPr>
                <w:sz w:val="20"/>
              </w:rPr>
              <w:t>No EU PRIIPs key information document (KID) or UK DISC disclosure document has been prepared as the Notes are not available to retail investors in the EEA or UK.</w:t>
            </w:r>
          </w:p>
        </w:tc>
      </w:tr>
      <w:tr>
        <w:trPr/>
        <w:tc>
          <w:tcPr>
            <w:tcW w:w="1882" w:type="dxa"/>
            <w:tcBorders/>
            <w:vAlign w:val="center"/>
          </w:tcPr>
          <w:p>
            <w:pPr>
              <w:pStyle w:val="TableContents"/>
              <w:bidi w:val="0"/>
              <w:spacing w:before="0" w:after="283"/>
              <w:jc w:val="left"/>
              <w:rPr>
                <w:b/>
                <w:sz w:val="20"/>
              </w:rPr>
            </w:pPr>
            <w:r>
              <w:rPr>
                <w:b/>
                <w:sz w:val="20"/>
              </w:rPr>
              <w:t>Stabilization:</w:t>
            </w:r>
          </w:p>
        </w:tc>
        <w:tc>
          <w:tcPr>
            <w:tcW w:w="8323" w:type="dxa"/>
            <w:tcBorders/>
            <w:vAlign w:val="center"/>
          </w:tcPr>
          <w:p>
            <w:pPr>
              <w:pStyle w:val="TableContents"/>
              <w:bidi w:val="0"/>
              <w:spacing w:before="0" w:after="283"/>
              <w:jc w:val="left"/>
              <w:rPr>
                <w:sz w:val="20"/>
              </w:rPr>
            </w:pPr>
            <w:r>
              <w:rPr>
                <w:sz w:val="20"/>
              </w:rPr>
              <w:t>Relevant stabilization regulations including FCA/ICMA apply.</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Note: A securities rating is not a recommendation to buy, sell or hold securities and may be subject to revision or withdrawal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issuer expects that delivery of the Notes will be made to investors on or about September 24, 2026, which is the seventh business day following the date of the pricing of the Notes. Under Rule 15c6-1 of the U.S. Securities Exchange Act of 1934, as amended, trades in the secondary market generally are required to settle on the first business day following the date of any contract for sale, unless the parties to a trade expressly agree otherwise. Accordingly, purchasers who wish to trade the Notes on any date prior to the first business day before the settlement date will be required to specify an alternative settlement cycle at the time of the trade to prevent a failed settlement and should consult their own advisers in connection with that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Deutsche Bank AG, London Branch toll-free at +44 207 545 4361, J.P. Morgan Securities plc collect at +44 207 134 2468 (Non-U.S. investors), J.P. Morgan Securities LLC collect at +1-212-834-4533 (U.S. investors), BNP PARIBAS toll-free at +1 800-854-5674 or Citigroup Global Markets Limited toll-free at +1 800-831-9146.</w:t>
      </w:r>
    </w:p>
    <w:p>
      <w:pPr>
        <w:pStyle w:val="TextBody"/>
        <w:bidi w:val="0"/>
        <w:spacing w:before="0" w:after="0"/>
        <w:ind w:left="0" w:right="0" w:hanging="0"/>
        <w:jc w:val="center"/>
        <w:rPr>
          <w:bdr w:val="single" w:sz="8" w:space="1" w:color="000000"/>
        </w:rPr>
      </w:pPr>
      <w:r>
        <w:rPr>
          <w:sz w:val="20"/>
          <w:bdr w:val="single" w:sz="8" w:space="1" w:color="000000"/>
        </w:rPr>
        <w:t>3</w:t>
      </w: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965</Words>
  <Characters>5138</Characters>
  <CharactersWithSpaces>6010</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