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92370"/>
                    </a:xfrm>
                    <a:prstGeom prst="rect">
                      <a:avLst/>
                    </a:prstGeom>
                    <a:noFill/>
                  </pic:spPr>
                </pic:pic>
              </a:graphicData>
            </a:graphic>
          </wp:anchor>
        </w:drawing>
      </w:r>
    </w:p>
    <w:p>
      <w:pPr>
        <w:spacing w:after="0" w:line="1232"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Dandridge Edward Lee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20"/>
        <w:spacing w:after="0" w:line="342" w:lineRule="auto"/>
        <w:rPr>
          <w:sz w:val="20"/>
          <w:szCs w:val="20"/>
          <w:color w:val="auto"/>
        </w:rPr>
      </w:pPr>
      <w:r>
        <w:rPr>
          <w:rFonts w:ascii="Times New Roman" w:cs="Times New Roman" w:eastAsia="Times New Roman" w:hAnsi="Times New Roman"/>
          <w:sz w:val="17"/>
          <w:szCs w:val="17"/>
          <w:color w:val="0000FF"/>
        </w:rPr>
        <w:t>C/O AMERICAN INTERNATIONAL GROUP, INC. 1271 AVE OF THE AMERICAS</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10020-1304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AMERICAN INTERNATIONAL GROUP,</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3"/>
            <w:vMerge w:val="restart"/>
          </w:tcPr>
          <w:p>
            <w:pPr>
              <w:spacing w:after="0" w:line="21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3760" w:type="dxa"/>
            <w:vAlign w:val="bottom"/>
            <w:gridSpan w:val="3"/>
            <w:vMerge w:val="continue"/>
          </w:tcPr>
          <w:p>
            <w:pPr>
              <w:spacing w:after="0"/>
              <w:rPr>
                <w:sz w:val="7"/>
                <w:szCs w:val="7"/>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6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540"/>
              <w:spacing w:after="0" w:line="181" w:lineRule="exact"/>
              <w:rPr>
                <w:sz w:val="20"/>
                <w:szCs w:val="20"/>
                <w:color w:val="auto"/>
              </w:rPr>
            </w:pPr>
            <w:r>
              <w:rPr>
                <w:rFonts w:ascii="Times New Roman" w:cs="Times New Roman" w:eastAsia="Times New Roman" w:hAnsi="Times New Roman"/>
                <w:sz w:val="17"/>
                <w:szCs w:val="17"/>
                <w:color w:val="0000FF"/>
              </w:rPr>
              <w:t>EVP, Chief Marketing &amp; Comms</w:t>
            </w:r>
          </w:p>
        </w:tc>
        <w:tc>
          <w:tcPr>
            <w:tcW w:w="0" w:type="dxa"/>
            <w:vAlign w:val="bottom"/>
          </w:tcPr>
          <w:p>
            <w:pPr>
              <w:spacing w:after="0"/>
              <w:rPr>
                <w:sz w:val="1"/>
                <w:szCs w:val="1"/>
                <w:color w:val="auto"/>
              </w:rPr>
            </w:pPr>
          </w:p>
        </w:tc>
      </w:tr>
      <w:tr>
        <w:trPr>
          <w:trHeight w:val="217"/>
        </w:trPr>
        <w:tc>
          <w:tcPr>
            <w:tcW w:w="3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1" w:lineRule="exact"/>
        <w:rPr>
          <w:sz w:val="20"/>
          <w:szCs w:val="20"/>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10/16/2025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2,811</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0.0000</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10,878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10/16/2025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w w:val="91"/>
              </w:rPr>
              <w:t>1,436</w:t>
            </w:r>
            <w:r>
              <w:rPr>
                <w:rFonts w:ascii="Times New Roman" w:cs="Times New Roman" w:eastAsia="Times New Roman" w:hAnsi="Times New Roman"/>
                <w:sz w:val="21"/>
                <w:szCs w:val="21"/>
                <w:color w:val="008000"/>
                <w:w w:val="91"/>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77.02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9,442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w w:val="98"/>
              </w:rPr>
              <w:t>5. Number of</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Sign-on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10/16/2025</w:t>
            </w:r>
          </w:p>
        </w:tc>
        <w:tc>
          <w:tcPr>
            <w:tcW w:w="112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2"/>
              </w:rPr>
              <w:t>2,811</w:t>
            </w:r>
            <w:r>
              <w:rPr>
                <w:rFonts w:ascii="Times New Roman" w:cs="Times New Roman" w:eastAsia="Times New Roman" w:hAnsi="Times New Roman"/>
                <w:sz w:val="21"/>
                <w:szCs w:val="21"/>
                <w:color w:val="008000"/>
                <w:w w:val="92"/>
                <w:vertAlign w:val="superscript"/>
              </w:rPr>
              <w:t>(1)</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2,811</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2,813</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8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second tranche of Sign-on Restricted Stock Units ("RSUs") granted on October 16, 2023 that vested on October 16, 2025. The remaining RSUs will vest on the third anniversary of the grant date, subject to Mr. Dandridge's continued employment through such date, and will be settled in shares of AIG Common Stock.</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convert to AIG Common Stock on a 1-to-1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for the payment of taxes in connection with the settlement in AIG Common Stock of the Sign-on RSUs that vested on October 16, 2025.</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/s/ Linda B. Kalayjian, by POA </w:t>
      </w:r>
      <w:r>
        <w:rPr>
          <w:rFonts w:ascii="Times New Roman" w:cs="Times New Roman" w:eastAsia="Times New Roman" w:hAnsi="Times New Roman"/>
          <w:sz w:val="33"/>
          <w:szCs w:val="33"/>
          <w:color w:val="0000FF"/>
          <w:vertAlign w:val="subscript"/>
        </w:rPr>
        <w:t>10/17/2025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6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from Edward Lee Dandridge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223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64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015" TargetMode="External"/><Relationship Id="rId14" Type="http://schemas.openxmlformats.org/officeDocument/2006/relationships/hyperlink" Target="http://www.sec.gov/cgi-bin/browse-edgar?action=getcompany&amp;CIK=00000052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2025-10-17T15:19:15Z</dcterms:created>
  <dcterms:modified xsi:type="dcterms:W3CDTF">2025-10-17T15:19:15Z</dcterms:modified>
</cp:coreProperties>
</file>