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t>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ind w:left="1340" w:hanging="202"/>
        <w:spacing w:after="0"/>
        <w:tabs>
          <w:tab w:leader="none" w:pos="13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 the quarterly period ended September 30, 2026</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OR</w:t>
      </w:r>
    </w:p>
    <w:p>
      <w:pPr>
        <w:spacing w:after="0" w:line="194" w:lineRule="exact"/>
        <w:rPr>
          <w:sz w:val="24"/>
          <w:szCs w:val="24"/>
          <w:color w:val="auto"/>
        </w:rPr>
      </w:pPr>
    </w:p>
    <w:p>
      <w:pPr>
        <w:ind w:left="1340" w:hanging="200"/>
        <w:spacing w:after="0"/>
        <w:tabs>
          <w:tab w:leader="none" w:pos="13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180"/>
          </w:cols>
          <w:pgMar w:left="320" w:top="1440" w:right="399" w:bottom="1440" w:gutter="0" w:footer="0" w:header="0"/>
        </w:sectPr>
      </w:pPr>
    </w:p>
    <w:p>
      <w:pPr>
        <w:spacing w:after="0" w:line="102" w:lineRule="exact"/>
        <w:rPr>
          <w:sz w:val="24"/>
          <w:szCs w:val="24"/>
          <w:color w:val="auto"/>
        </w:rPr>
      </w:pPr>
    </w:p>
    <w:p>
      <w:pPr>
        <w:ind w:left="3980"/>
        <w:spacing w:after="0"/>
        <w:rPr>
          <w:sz w:val="20"/>
          <w:szCs w:val="20"/>
          <w:color w:val="auto"/>
        </w:rPr>
      </w:pPr>
      <w:r>
        <w:rPr>
          <w:rFonts w:ascii="Arial" w:cs="Arial" w:eastAsia="Arial" w:hAnsi="Arial"/>
          <w:sz w:val="17"/>
          <w:szCs w:val="17"/>
          <w:b w:val="1"/>
          <w:bCs w:val="1"/>
          <w:color w:val="auto"/>
        </w:rPr>
        <w:t>For the transition period from</w:t>
      </w:r>
    </w:p>
    <w:p>
      <w:pPr>
        <w:spacing w:after="0" w:line="61" w:lineRule="exact"/>
        <w:rPr>
          <w:sz w:val="24"/>
          <w:szCs w:val="24"/>
          <w:color w:val="auto"/>
        </w:rPr>
      </w:pPr>
    </w:p>
    <w:p>
      <w:pPr>
        <w:ind w:left="4300"/>
        <w:spacing w:after="0"/>
        <w:rPr>
          <w:sz w:val="20"/>
          <w:szCs w:val="20"/>
          <w:color w:val="auto"/>
        </w:rPr>
      </w:pPr>
      <w:r>
        <w:rPr>
          <w:rFonts w:ascii="Arial" w:cs="Arial" w:eastAsia="Arial" w:hAnsi="Arial"/>
          <w:sz w:val="17"/>
          <w:szCs w:val="17"/>
          <w:b w:val="1"/>
          <w:bCs w:val="1"/>
          <w:color w:val="auto"/>
        </w:rPr>
        <w:t>Commission File Number 1-8787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69850</wp:posOffset>
            </wp:positionV>
            <wp:extent cx="1088390"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8390" cy="497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467" w:lineRule="exact"/>
        <w:rPr>
          <w:sz w:val="24"/>
          <w:szCs w:val="24"/>
          <w:color w:val="auto"/>
        </w:rPr>
      </w:pPr>
    </w:p>
    <w:p>
      <w:pPr>
        <w:sectPr>
          <w:pgSz w:w="11900" w:h="16838" w:orient="portrait"/>
          <w:cols w:equalWidth="0" w:num="2">
            <w:col w:w="6940" w:space="160"/>
            <w:col w:w="4080"/>
          </w:cols>
          <w:pgMar w:left="320" w:top="1440" w:right="3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American International Group, Inc.</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8" w:lineRule="exact"/>
        <w:rPr>
          <w:sz w:val="24"/>
          <w:szCs w:val="24"/>
          <w:color w:val="auto"/>
        </w:rPr>
      </w:pPr>
    </w:p>
    <w:tbl>
      <w:tblPr>
        <w:tblLayout w:type="fixed"/>
        <w:tblInd w:w="1460" w:type="dxa"/>
        <w:tblCellMar>
          <w:top w:w="0" w:type="dxa"/>
          <w:left w:w="0" w:type="dxa"/>
          <w:bottom w:w="0" w:type="dxa"/>
          <w:right w:w="0" w:type="dxa"/>
        </w:tblCellMar>
      </w:tblPr>
      <w:tr>
        <w:trPr>
          <w:trHeight w:val="235"/>
        </w:trPr>
        <w:tc>
          <w:tcPr>
            <w:tcW w:w="7060" w:type="dxa"/>
            <w:vAlign w:val="bottom"/>
          </w:tcPr>
          <w:p>
            <w:pPr>
              <w:spacing w:after="0"/>
              <w:rPr>
                <w:sz w:val="20"/>
                <w:szCs w:val="20"/>
                <w:color w:val="auto"/>
              </w:rPr>
            </w:pPr>
            <w:r>
              <w:rPr>
                <w:rFonts w:ascii="Arial" w:cs="Arial" w:eastAsia="Arial" w:hAnsi="Arial"/>
                <w:sz w:val="17"/>
                <w:szCs w:val="17"/>
                <w:b w:val="1"/>
                <w:bCs w:val="1"/>
                <w:color w:val="auto"/>
              </w:rPr>
              <w:t>Delaware</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13-2592361</w:t>
            </w:r>
          </w:p>
        </w:tc>
      </w:tr>
      <w:tr>
        <w:trPr>
          <w:trHeight w:val="152"/>
        </w:trPr>
        <w:tc>
          <w:tcPr>
            <w:tcW w:w="7060" w:type="dxa"/>
            <w:vAlign w:val="bottom"/>
          </w:tcPr>
          <w:p>
            <w:pPr>
              <w:spacing w:after="0" w:line="152" w:lineRule="exact"/>
              <w:rPr>
                <w:sz w:val="20"/>
                <w:szCs w:val="20"/>
                <w:color w:val="auto"/>
              </w:rPr>
            </w:pPr>
            <w:r>
              <w:rPr>
                <w:rFonts w:ascii="Arial" w:cs="Arial" w:eastAsia="Arial" w:hAnsi="Arial"/>
                <w:sz w:val="14"/>
                <w:szCs w:val="14"/>
                <w:color w:val="auto"/>
              </w:rPr>
              <w:t>(State or other jurisdiction of</w:t>
            </w:r>
          </w:p>
        </w:tc>
        <w:tc>
          <w:tcPr>
            <w:tcW w:w="1260" w:type="dxa"/>
            <w:vAlign w:val="bottom"/>
          </w:tcPr>
          <w:p>
            <w:pPr>
              <w:jc w:val="right"/>
              <w:spacing w:after="0" w:line="152" w:lineRule="exact"/>
              <w:rPr>
                <w:sz w:val="20"/>
                <w:szCs w:val="20"/>
                <w:color w:val="auto"/>
              </w:rPr>
            </w:pPr>
            <w:r>
              <w:rPr>
                <w:rFonts w:ascii="Arial" w:cs="Arial" w:eastAsia="Arial" w:hAnsi="Arial"/>
                <w:sz w:val="14"/>
                <w:szCs w:val="14"/>
                <w:color w:val="auto"/>
              </w:rPr>
              <w:t>(I.R.S. Employer</w:t>
            </w:r>
          </w:p>
        </w:tc>
      </w:tr>
      <w:tr>
        <w:trPr>
          <w:trHeight w:val="190"/>
        </w:trPr>
        <w:tc>
          <w:tcPr>
            <w:tcW w:w="706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1260" w:type="dxa"/>
            <w:vAlign w:val="bottom"/>
          </w:tcPr>
          <w:p>
            <w:pPr>
              <w:jc w:val="right"/>
              <w:spacing w:after="0"/>
              <w:rPr>
                <w:sz w:val="20"/>
                <w:szCs w:val="20"/>
                <w:color w:val="auto"/>
              </w:rPr>
            </w:pPr>
            <w:r>
              <w:rPr>
                <w:rFonts w:ascii="Arial" w:cs="Arial" w:eastAsia="Arial" w:hAnsi="Arial"/>
                <w:sz w:val="14"/>
                <w:szCs w:val="14"/>
                <w:color w:val="auto"/>
              </w:rPr>
              <w:t>Identification No.)</w:t>
            </w:r>
          </w:p>
        </w:tc>
      </w:tr>
      <w:tr>
        <w:trPr>
          <w:trHeight w:val="441"/>
        </w:trPr>
        <w:tc>
          <w:tcPr>
            <w:tcW w:w="7060" w:type="dxa"/>
            <w:vAlign w:val="bottom"/>
          </w:tcPr>
          <w:p>
            <w:pPr>
              <w:spacing w:after="0"/>
              <w:rPr>
                <w:sz w:val="20"/>
                <w:szCs w:val="20"/>
                <w:color w:val="auto"/>
              </w:rPr>
            </w:pPr>
            <w:r>
              <w:rPr>
                <w:rFonts w:ascii="Arial" w:cs="Arial" w:eastAsia="Arial" w:hAnsi="Arial"/>
                <w:sz w:val="17"/>
                <w:szCs w:val="17"/>
                <w:b w:val="1"/>
                <w:bCs w:val="1"/>
                <w:color w:val="auto"/>
              </w:rPr>
              <w:t>1271 Avenue of the Americas, New York, New York</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10020</w:t>
            </w:r>
          </w:p>
        </w:tc>
      </w:tr>
      <w:tr>
        <w:trPr>
          <w:trHeight w:val="198"/>
        </w:trPr>
        <w:tc>
          <w:tcPr>
            <w:tcW w:w="7060" w:type="dxa"/>
            <w:vAlign w:val="bottom"/>
          </w:tcPr>
          <w:p>
            <w:pPr>
              <w:spacing w:after="0"/>
              <w:rPr>
                <w:sz w:val="20"/>
                <w:szCs w:val="20"/>
                <w:color w:val="auto"/>
              </w:rPr>
            </w:pPr>
            <w:r>
              <w:rPr>
                <w:rFonts w:ascii="Arial" w:cs="Arial" w:eastAsia="Arial" w:hAnsi="Arial"/>
                <w:sz w:val="14"/>
                <w:szCs w:val="14"/>
                <w:color w:val="auto"/>
              </w:rPr>
              <w:t>(Address of principal executive offices)</w:t>
            </w:r>
          </w:p>
        </w:tc>
        <w:tc>
          <w:tcPr>
            <w:tcW w:w="1260" w:type="dxa"/>
            <w:vAlign w:val="bottom"/>
          </w:tcPr>
          <w:p>
            <w:pPr>
              <w:jc w:val="right"/>
              <w:spacing w:after="0"/>
              <w:rPr>
                <w:sz w:val="20"/>
                <w:szCs w:val="20"/>
                <w:color w:val="auto"/>
              </w:rPr>
            </w:pPr>
            <w:r>
              <w:rPr>
                <w:rFonts w:ascii="Arial" w:cs="Arial" w:eastAsia="Arial" w:hAnsi="Arial"/>
                <w:sz w:val="14"/>
                <w:szCs w:val="14"/>
                <w:color w:val="auto"/>
              </w:rPr>
              <w:t>(Zip Code)</w:t>
            </w:r>
          </w:p>
        </w:tc>
      </w:tr>
      <w:tr>
        <w:trPr>
          <w:trHeight w:val="423"/>
        </w:trPr>
        <w:tc>
          <w:tcPr>
            <w:tcW w:w="7060" w:type="dxa"/>
            <w:vAlign w:val="bottom"/>
          </w:tcPr>
          <w:p>
            <w:pPr>
              <w:ind w:left="1420"/>
              <w:spacing w:after="0"/>
              <w:rPr>
                <w:sz w:val="20"/>
                <w:szCs w:val="20"/>
                <w:color w:val="auto"/>
              </w:rPr>
            </w:pPr>
            <w:r>
              <w:rPr>
                <w:rFonts w:ascii="Arial" w:cs="Arial" w:eastAsia="Arial" w:hAnsi="Arial"/>
                <w:sz w:val="17"/>
                <w:szCs w:val="17"/>
                <w:b w:val="1"/>
                <w:bCs w:val="1"/>
                <w:color w:val="auto"/>
              </w:rPr>
              <w:t>Registrant’s telephone number, including area code: (212) 770-7000</w:t>
            </w:r>
          </w:p>
        </w:tc>
        <w:tc>
          <w:tcPr>
            <w:tcW w:w="1260" w:type="dxa"/>
            <w:vAlign w:val="bottom"/>
          </w:tcPr>
          <w:p>
            <w:pPr>
              <w:spacing w:after="0"/>
              <w:rPr>
                <w:sz w:val="24"/>
                <w:szCs w:val="24"/>
                <w:color w:val="auto"/>
              </w:rPr>
            </w:pPr>
          </w:p>
        </w:tc>
      </w:tr>
      <w:tr>
        <w:trPr>
          <w:trHeight w:val="239"/>
        </w:trPr>
        <w:tc>
          <w:tcPr>
            <w:tcW w:w="7060" w:type="dxa"/>
            <w:vAlign w:val="bottom"/>
          </w:tcPr>
          <w:p>
            <w:pPr>
              <w:ind w:left="368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spacing w:after="0"/>
              <w:rPr>
                <w:sz w:val="20"/>
                <w:szCs w:val="20"/>
                <w:color w:val="auto"/>
              </w:rPr>
            </w:pPr>
          </w:p>
        </w:tc>
      </w:tr>
    </w:tbl>
    <w:p>
      <w:pPr>
        <w:spacing w:after="0" w:line="88" w:lineRule="exact"/>
        <w:rPr>
          <w:sz w:val="24"/>
          <w:szCs w:val="24"/>
          <w:color w:val="auto"/>
        </w:rPr>
      </w:pPr>
    </w:p>
    <w:p>
      <w:pPr>
        <w:ind w:left="260"/>
        <w:spacing w:after="0"/>
        <w:rPr>
          <w:sz w:val="20"/>
          <w:szCs w:val="20"/>
          <w:color w:val="auto"/>
        </w:rPr>
      </w:pPr>
      <w:r>
        <w:rPr>
          <w:rFonts w:ascii="Arial" w:cs="Arial" w:eastAsia="Arial" w:hAnsi="Arial"/>
          <w:sz w:val="16"/>
          <w:szCs w:val="16"/>
          <w:color w:val="auto"/>
        </w:rPr>
        <w:t>Securities registered pursuant to Section 12(b) of the Securities Exchange Act of 1934:</w:t>
      </w:r>
    </w:p>
    <w:p>
      <w:pPr>
        <w:spacing w:after="0" w:line="130" w:lineRule="exact"/>
        <w:rPr>
          <w:sz w:val="24"/>
          <w:szCs w:val="24"/>
          <w:color w:val="auto"/>
        </w:rPr>
      </w:pPr>
    </w:p>
    <w:tbl>
      <w:tblPr>
        <w:tblLayout w:type="fixed"/>
        <w:tblInd w:w="200" w:type="dxa"/>
        <w:tblCellMar>
          <w:top w:w="0" w:type="dxa"/>
          <w:left w:w="0" w:type="dxa"/>
          <w:bottom w:w="0" w:type="dxa"/>
          <w:right w:w="0" w:type="dxa"/>
        </w:tblCellMar>
      </w:tblPr>
      <w:tr>
        <w:trPr>
          <w:trHeight w:val="172"/>
        </w:trPr>
        <w:tc>
          <w:tcPr>
            <w:tcW w:w="5220" w:type="dxa"/>
            <w:vAlign w:val="bottom"/>
            <w:gridSpan w:val="2"/>
          </w:tcPr>
          <w:p>
            <w:pPr>
              <w:spacing w:after="0"/>
              <w:rPr>
                <w:sz w:val="20"/>
                <w:szCs w:val="20"/>
                <w:color w:val="auto"/>
              </w:rPr>
            </w:pPr>
            <w:r>
              <w:rPr>
                <w:rFonts w:ascii="Arial" w:cs="Arial" w:eastAsia="Arial" w:hAnsi="Arial"/>
                <w:sz w:val="15"/>
                <w:szCs w:val="15"/>
                <w:color w:val="auto"/>
              </w:rPr>
              <w:t>Title of each class</w:t>
            </w:r>
          </w:p>
        </w:tc>
        <w:tc>
          <w:tcPr>
            <w:tcW w:w="1860" w:type="dxa"/>
            <w:vAlign w:val="bottom"/>
            <w:gridSpan w:val="2"/>
          </w:tcPr>
          <w:p>
            <w:pPr>
              <w:spacing w:after="0"/>
              <w:rPr>
                <w:sz w:val="20"/>
                <w:szCs w:val="20"/>
                <w:color w:val="auto"/>
              </w:rPr>
            </w:pPr>
            <w:r>
              <w:rPr>
                <w:rFonts w:ascii="Arial" w:cs="Arial" w:eastAsia="Arial" w:hAnsi="Arial"/>
                <w:sz w:val="15"/>
                <w:szCs w:val="15"/>
                <w:color w:val="auto"/>
              </w:rPr>
              <w:t>Trading Symbol</w:t>
            </w:r>
          </w:p>
        </w:tc>
        <w:tc>
          <w:tcPr>
            <w:tcW w:w="3020" w:type="dxa"/>
            <w:vAlign w:val="bottom"/>
          </w:tcPr>
          <w:p>
            <w:pPr>
              <w:jc w:val="center"/>
              <w:spacing w:after="0"/>
              <w:rPr>
                <w:sz w:val="20"/>
                <w:szCs w:val="20"/>
                <w:color w:val="auto"/>
              </w:rPr>
            </w:pPr>
            <w:r>
              <w:rPr>
                <w:rFonts w:ascii="Arial" w:cs="Arial" w:eastAsia="Arial" w:hAnsi="Arial"/>
                <w:sz w:val="15"/>
                <w:szCs w:val="15"/>
                <w:color w:val="auto"/>
              </w:rPr>
              <w:t>Name of each exchange on which registered</w:t>
            </w:r>
          </w:p>
        </w:tc>
      </w:tr>
      <w:tr>
        <w:trPr>
          <w:trHeight w:val="20"/>
        </w:trPr>
        <w:tc>
          <w:tcPr>
            <w:tcW w:w="12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198"/>
        </w:trPr>
        <w:tc>
          <w:tcPr>
            <w:tcW w:w="5220" w:type="dxa"/>
            <w:vAlign w:val="bottom"/>
            <w:gridSpan w:val="2"/>
          </w:tcPr>
          <w:p>
            <w:pPr>
              <w:spacing w:after="0"/>
              <w:rPr>
                <w:sz w:val="20"/>
                <w:szCs w:val="20"/>
                <w:color w:val="auto"/>
              </w:rPr>
            </w:pPr>
            <w:r>
              <w:rPr>
                <w:rFonts w:ascii="Arial" w:cs="Arial" w:eastAsia="Arial" w:hAnsi="Arial"/>
                <w:sz w:val="13"/>
                <w:szCs w:val="13"/>
                <w:color w:val="auto"/>
              </w:rPr>
              <w:t>Common Stock, Par Value $2.50 Per Share</w:t>
            </w:r>
          </w:p>
        </w:tc>
        <w:tc>
          <w:tcPr>
            <w:tcW w:w="1860" w:type="dxa"/>
            <w:vAlign w:val="bottom"/>
            <w:gridSpan w:val="2"/>
          </w:tcPr>
          <w:p>
            <w:pPr>
              <w:spacing w:after="0"/>
              <w:rPr>
                <w:sz w:val="20"/>
                <w:szCs w:val="20"/>
                <w:color w:val="auto"/>
              </w:rPr>
            </w:pPr>
            <w:r>
              <w:rPr>
                <w:rFonts w:ascii="Arial" w:cs="Arial" w:eastAsia="Arial" w:hAnsi="Arial"/>
                <w:sz w:val="13"/>
                <w:szCs w:val="13"/>
                <w:color w:val="auto"/>
              </w:rPr>
              <w:t>AIG</w:t>
            </w:r>
          </w:p>
        </w:tc>
        <w:tc>
          <w:tcPr>
            <w:tcW w:w="3020" w:type="dxa"/>
            <w:vAlign w:val="bottom"/>
          </w:tcPr>
          <w:p>
            <w:pPr>
              <w:jc w:val="center"/>
              <w:spacing w:after="0"/>
              <w:rPr>
                <w:sz w:val="20"/>
                <w:szCs w:val="20"/>
                <w:color w:val="auto"/>
              </w:rPr>
            </w:pPr>
            <w:r>
              <w:rPr>
                <w:rFonts w:ascii="Arial" w:cs="Arial" w:eastAsia="Arial" w:hAnsi="Arial"/>
                <w:sz w:val="13"/>
                <w:szCs w:val="13"/>
                <w:color w:val="auto"/>
              </w:rPr>
              <w:t>New York Stock Exchange</w:t>
            </w:r>
          </w:p>
        </w:tc>
      </w:tr>
    </w:tbl>
    <w:p>
      <w:pPr>
        <w:spacing w:after="0" w:line="187" w:lineRule="exact"/>
        <w:rPr>
          <w:sz w:val="24"/>
          <w:szCs w:val="24"/>
          <w:color w:val="auto"/>
        </w:rPr>
      </w:pPr>
    </w:p>
    <w:p>
      <w:pPr>
        <w:jc w:val="both"/>
        <w:ind w:right="400"/>
        <w:spacing w:after="0" w:line="18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160"/>
        <w:spacing w:after="0" w:line="18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440" w:right="399" w:bottom="1440" w:gutter="0" w:footer="0" w:header="0"/>
          <w:type w:val="continuous"/>
        </w:sectPr>
      </w:pPr>
    </w:p>
    <w:p>
      <w:pPr>
        <w:spacing w:after="0" w:line="83"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1" w:lineRule="exact"/>
        <w:rPr>
          <w:sz w:val="24"/>
          <w:szCs w:val="24"/>
          <w:color w:val="auto"/>
        </w:rPr>
      </w:pPr>
    </w:p>
    <w:p>
      <w:pPr>
        <w:sectPr>
          <w:pgSz w:w="11900" w:h="16838" w:orient="portrait"/>
          <w:cols w:equalWidth="0" w:num="2">
            <w:col w:w="7980" w:space="720"/>
            <w:col w:w="2480"/>
          </w:cols>
          <w:pgMar w:left="320" w:top="1440" w:right="399" w:bottom="1440" w:gutter="0" w:footer="0" w:header="0"/>
          <w:type w:val="continuous"/>
        </w:sectPr>
      </w:pPr>
    </w:p>
    <w:p>
      <w:pPr>
        <w:ind w:right="80"/>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214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29, 2026, there were 518,438,878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1252DE"/>
        </w:rPr>
        <w:t>AMERICAN INTERNATIONAL GROUP, INC.</w:t>
      </w:r>
    </w:p>
    <w:p>
      <w:pPr>
        <w:spacing w:after="0" w:line="20" w:lineRule="exact"/>
        <w:rPr>
          <w:sz w:val="20"/>
          <w:szCs w:val="20"/>
          <w:color w:val="auto"/>
        </w:rPr>
      </w:pPr>
    </w:p>
    <w:p>
      <w:pPr>
        <w:ind w:right="1800"/>
        <w:spacing w:after="0" w:line="277" w:lineRule="auto"/>
        <w:rPr>
          <w:sz w:val="20"/>
          <w:szCs w:val="20"/>
          <w:color w:val="auto"/>
        </w:rPr>
      </w:pPr>
      <w:r>
        <w:rPr>
          <w:rFonts w:ascii="Arial" w:cs="Arial" w:eastAsia="Arial" w:hAnsi="Arial"/>
          <w:sz w:val="20"/>
          <w:szCs w:val="20"/>
          <w:b w:val="1"/>
          <w:bCs w:val="1"/>
          <w:color w:val="1252DE"/>
        </w:rPr>
        <w:t>QUARTERLY REPORT ON FORM 10-Q FOR THE QUARTERLY PERIOD ENDED SEPTEMBER 30, 2026 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27"/>
          <w:szCs w:val="27"/>
          <w:b w:val="1"/>
          <w:bCs w:val="1"/>
          <w:color w:val="001871"/>
        </w:rPr>
        <w:t>FORM 10-Q</w:t>
      </w:r>
    </w:p>
    <w:p>
      <w:pPr>
        <w:spacing w:after="0" w:line="48" w:lineRule="exact"/>
        <w:rPr>
          <w:sz w:val="20"/>
          <w:szCs w:val="20"/>
          <w:color w:val="auto"/>
        </w:rPr>
      </w:pPr>
    </w:p>
    <w:p>
      <w:pPr>
        <w:ind w:left="20"/>
        <w:spacing w:after="0"/>
        <w:tabs>
          <w:tab w:leader="none" w:pos="1220" w:val="left"/>
          <w:tab w:leader="none" w:pos="10820" w:val="left"/>
        </w:tabs>
        <w:rPr>
          <w:sz w:val="20"/>
          <w:szCs w:val="20"/>
          <w:color w:val="auto"/>
        </w:rPr>
      </w:pPr>
      <w:r>
        <w:rPr>
          <w:rFonts w:ascii="Arial" w:cs="Arial" w:eastAsia="Arial" w:hAnsi="Arial"/>
          <w:sz w:val="14"/>
          <w:szCs w:val="14"/>
          <w:color w:val="auto"/>
        </w:rPr>
        <w:t>Item Number</w:t>
      </w:r>
      <w:r>
        <w:rPr>
          <w:sz w:val="20"/>
          <w:szCs w:val="20"/>
          <w:color w:val="auto"/>
        </w:rPr>
        <w:tab/>
      </w:r>
      <w:r>
        <w:rPr>
          <w:rFonts w:ascii="Arial" w:cs="Arial" w:eastAsia="Arial" w:hAnsi="Arial"/>
          <w:sz w:val="14"/>
          <w:szCs w:val="14"/>
          <w:color w:val="auto"/>
        </w:rPr>
        <w:t>Description</w:t>
      </w:r>
      <w:r>
        <w:rPr>
          <w:sz w:val="20"/>
          <w:szCs w:val="20"/>
          <w:color w:val="auto"/>
        </w:rPr>
        <w:tab/>
      </w: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871"/>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2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1352DE"/>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2290445</wp:posOffset>
            </wp:positionV>
            <wp:extent cx="8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2290445</wp:posOffset>
            </wp:positionV>
            <wp:extent cx="8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2290445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2290445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2290445</wp:posOffset>
            </wp:positionV>
            <wp:extent cx="8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2290445</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2290445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2290445</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2290445</wp:posOffset>
            </wp:positionV>
            <wp:extent cx="8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2290445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2290445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2290445</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2290445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2290445</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2290445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2290445</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2290445</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2290445</wp:posOffset>
            </wp:positionV>
            <wp:extent cx="8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2290445</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2290445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2290445</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2290445</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2290445</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2290445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2290445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2290445</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2290445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2290445</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2290445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2290445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2290445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2290445</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6"/>
          <w:szCs w:val="16"/>
          <w:color w:val="1352DE"/>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1778000</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1778000</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1778000</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1778000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1778000</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1778000</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1778000</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1778000</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1778000</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1778000</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1778000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1778000</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1778000</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1778000</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1778000</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1778000</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1778000</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1778000</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1778000</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1778000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1778000</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1778000</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1778000</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1778000</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1778000</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1778000</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1778000</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1778000</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1778000</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1778000</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1778000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20955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20955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20955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20955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20955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20955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20955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20955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20955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20955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20955</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20955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20955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20955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20955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20955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20955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20955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20955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20955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20955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20955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20955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20955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20955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20955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20955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20955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20955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20955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20955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6"/>
          <w:szCs w:val="16"/>
          <w:color w:val="1352DE"/>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20955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20955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20955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20955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20955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20955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20955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20955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20955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20955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20955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20955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20955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20955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20955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20955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20955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20955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20955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20955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20955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20955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20955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20955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20955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20955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20955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20955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20955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20955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20955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1352DE"/>
        </w:rPr>
        <w:t>ITEM 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360" w:type="dxa"/>
            <w:vAlign w:val="bottom"/>
            <w:gridSpan w:val="3"/>
          </w:tcPr>
          <w:p>
            <w:pPr>
              <w:spacing w:after="0"/>
              <w:rPr>
                <w:sz w:val="20"/>
                <w:szCs w:val="20"/>
                <w:color w:val="auto"/>
              </w:rPr>
            </w:pPr>
            <w:r>
              <w:rPr>
                <w:rFonts w:ascii="Arial" w:cs="Arial" w:eastAsia="Arial" w:hAnsi="Arial"/>
                <w:sz w:val="16"/>
                <w:szCs w:val="16"/>
                <w:b w:val="1"/>
                <w:bCs w:val="1"/>
                <w:color w:val="001871"/>
              </w:rPr>
              <w:t>Financial Statements</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1871"/>
              </w:rPr>
              <w:t>2</w:t>
            </w:r>
          </w:p>
        </w:tc>
      </w:tr>
      <w:tr>
        <w:trPr>
          <w:trHeight w:val="215"/>
        </w:trPr>
        <w:tc>
          <w:tcPr>
            <w:tcW w:w="1240" w:type="dxa"/>
            <w:vAlign w:val="bottom"/>
            <w:gridSpan w:val="2"/>
          </w:tcPr>
          <w:p>
            <w:pPr>
              <w:spacing w:after="0"/>
              <w:rPr>
                <w:sz w:val="20"/>
                <w:szCs w:val="20"/>
                <w:color w:val="auto"/>
              </w:rPr>
            </w:pPr>
            <w:r>
              <w:rPr>
                <w:rFonts w:ascii="Arial" w:cs="Arial" w:eastAsia="Arial" w:hAnsi="Arial"/>
                <w:sz w:val="16"/>
                <w:szCs w:val="16"/>
                <w:color w:val="auto"/>
              </w:rPr>
              <w:t>Note 1.</w:t>
            </w:r>
          </w:p>
        </w:tc>
        <w:tc>
          <w:tcPr>
            <w:tcW w:w="7120" w:type="dxa"/>
            <w:vAlign w:val="bottom"/>
          </w:tcPr>
          <w:p>
            <w:pPr>
              <w:ind w:left="160"/>
              <w:spacing w:after="0"/>
              <w:rPr>
                <w:sz w:val="20"/>
                <w:szCs w:val="20"/>
                <w:color w:val="auto"/>
              </w:rPr>
            </w:pPr>
            <w:r>
              <w:rPr>
                <w:rFonts w:ascii="Arial" w:cs="Arial" w:eastAsia="Arial" w:hAnsi="Arial"/>
                <w:sz w:val="16"/>
                <w:szCs w:val="16"/>
                <w:color w:val="auto"/>
              </w:rPr>
              <w:t>Basis of Presentation</w:t>
            </w:r>
          </w:p>
        </w:tc>
        <w:tc>
          <w:tcPr>
            <w:tcW w:w="16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2.</w:t>
            </w:r>
          </w:p>
        </w:tc>
        <w:tc>
          <w:tcPr>
            <w:tcW w:w="7120" w:type="dxa"/>
            <w:vAlign w:val="bottom"/>
          </w:tcPr>
          <w:p>
            <w:pPr>
              <w:ind w:left="160"/>
              <w:spacing w:after="0"/>
              <w:rPr>
                <w:sz w:val="20"/>
                <w:szCs w:val="20"/>
                <w:color w:val="auto"/>
              </w:rPr>
            </w:pPr>
            <w:r>
              <w:rPr>
                <w:rFonts w:ascii="Arial" w:cs="Arial" w:eastAsia="Arial" w:hAnsi="Arial"/>
                <w:sz w:val="16"/>
                <w:szCs w:val="16"/>
                <w:color w:val="auto"/>
              </w:rPr>
              <w:t>Summary of Significant Accounting Policies</w:t>
            </w: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3.</w:t>
            </w:r>
          </w:p>
        </w:tc>
        <w:tc>
          <w:tcPr>
            <w:tcW w:w="7120" w:type="dxa"/>
            <w:vAlign w:val="bottom"/>
          </w:tcPr>
          <w:p>
            <w:pPr>
              <w:ind w:left="160"/>
              <w:spacing w:after="0"/>
              <w:rPr>
                <w:sz w:val="20"/>
                <w:szCs w:val="20"/>
                <w:color w:val="auto"/>
              </w:rPr>
            </w:pPr>
            <w:r>
              <w:rPr>
                <w:rFonts w:ascii="Arial" w:cs="Arial" w:eastAsia="Arial" w:hAnsi="Arial"/>
                <w:sz w:val="16"/>
                <w:szCs w:val="16"/>
                <w:color w:val="auto"/>
              </w:rPr>
              <w:t>Segment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4.</w:t>
            </w:r>
          </w:p>
        </w:tc>
        <w:tc>
          <w:tcPr>
            <w:tcW w:w="7120" w:type="dxa"/>
            <w:vAlign w:val="bottom"/>
          </w:tcPr>
          <w:p>
            <w:pPr>
              <w:ind w:left="160"/>
              <w:spacing w:after="0"/>
              <w:rPr>
                <w:sz w:val="20"/>
                <w:szCs w:val="20"/>
                <w:color w:val="auto"/>
              </w:rPr>
            </w:pPr>
            <w:r>
              <w:rPr>
                <w:rFonts w:ascii="Arial" w:cs="Arial" w:eastAsia="Arial" w:hAnsi="Arial"/>
                <w:sz w:val="16"/>
                <w:szCs w:val="16"/>
                <w:color w:val="auto"/>
              </w:rPr>
              <w:t>Fair Value Measurements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1240" w:type="dxa"/>
            <w:vAlign w:val="bottom"/>
            <w:gridSpan w:val="2"/>
          </w:tcPr>
          <w:p>
            <w:pPr>
              <w:spacing w:after="0"/>
              <w:rPr>
                <w:sz w:val="20"/>
                <w:szCs w:val="20"/>
                <w:color w:val="auto"/>
              </w:rPr>
            </w:pPr>
            <w:r>
              <w:rPr>
                <w:rFonts w:ascii="Arial" w:cs="Arial" w:eastAsia="Arial" w:hAnsi="Arial"/>
                <w:sz w:val="16"/>
                <w:szCs w:val="16"/>
                <w:color w:val="auto"/>
              </w:rPr>
              <w:t>Note 5.</w:t>
            </w:r>
          </w:p>
        </w:tc>
        <w:tc>
          <w:tcPr>
            <w:tcW w:w="7120" w:type="dxa"/>
            <w:vAlign w:val="bottom"/>
          </w:tcPr>
          <w:p>
            <w:pPr>
              <w:ind w:left="160"/>
              <w:spacing w:after="0"/>
              <w:rPr>
                <w:sz w:val="20"/>
                <w:szCs w:val="20"/>
                <w:color w:val="auto"/>
              </w:rPr>
            </w:pPr>
            <w:r>
              <w:rPr>
                <w:rFonts w:ascii="Arial" w:cs="Arial" w:eastAsia="Arial" w:hAnsi="Arial"/>
                <w:sz w:val="16"/>
                <w:szCs w:val="16"/>
                <w:color w:val="auto"/>
              </w:rPr>
              <w:t>Investments</w:t>
            </w: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6.</w:t>
            </w:r>
          </w:p>
        </w:tc>
        <w:tc>
          <w:tcPr>
            <w:tcW w:w="7120" w:type="dxa"/>
            <w:vAlign w:val="bottom"/>
          </w:tcPr>
          <w:p>
            <w:pPr>
              <w:ind w:left="160"/>
              <w:spacing w:after="0"/>
              <w:rPr>
                <w:sz w:val="20"/>
                <w:szCs w:val="20"/>
                <w:color w:val="auto"/>
              </w:rPr>
            </w:pPr>
            <w:r>
              <w:rPr>
                <w:rFonts w:ascii="Arial" w:cs="Arial" w:eastAsia="Arial" w:hAnsi="Arial"/>
                <w:sz w:val="16"/>
                <w:szCs w:val="16"/>
                <w:color w:val="auto"/>
              </w:rPr>
              <w:t>Lending Activities</w:t>
            </w: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0"/>
        </w:trPr>
        <w:tc>
          <w:tcPr>
            <w:tcW w:w="1240" w:type="dxa"/>
            <w:vAlign w:val="bottom"/>
            <w:gridSpan w:val="2"/>
          </w:tcPr>
          <w:p>
            <w:pPr>
              <w:spacing w:after="0"/>
              <w:rPr>
                <w:sz w:val="20"/>
                <w:szCs w:val="20"/>
                <w:color w:val="auto"/>
              </w:rPr>
            </w:pPr>
            <w:r>
              <w:rPr>
                <w:rFonts w:ascii="Arial" w:cs="Arial" w:eastAsia="Arial" w:hAnsi="Arial"/>
                <w:sz w:val="16"/>
                <w:szCs w:val="16"/>
                <w:color w:val="auto"/>
              </w:rPr>
              <w:t>Note 7.</w:t>
            </w:r>
          </w:p>
        </w:tc>
        <w:tc>
          <w:tcPr>
            <w:tcW w:w="7120" w:type="dxa"/>
            <w:vAlign w:val="bottom"/>
          </w:tcPr>
          <w:p>
            <w:pPr>
              <w:ind w:left="160"/>
              <w:spacing w:after="0"/>
              <w:rPr>
                <w:sz w:val="20"/>
                <w:szCs w:val="20"/>
                <w:color w:val="auto"/>
              </w:rPr>
            </w:pPr>
            <w:r>
              <w:rPr>
                <w:rFonts w:ascii="Arial" w:cs="Arial" w:eastAsia="Arial" w:hAnsi="Arial"/>
                <w:sz w:val="16"/>
                <w:szCs w:val="16"/>
                <w:color w:val="auto"/>
              </w:rPr>
              <w:t>Reinsurance</w:t>
            </w: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29"/>
        </w:trPr>
        <w:tc>
          <w:tcPr>
            <w:tcW w:w="1240" w:type="dxa"/>
            <w:vAlign w:val="bottom"/>
            <w:gridSpan w:val="2"/>
          </w:tcPr>
          <w:p>
            <w:pPr>
              <w:spacing w:after="0"/>
              <w:rPr>
                <w:sz w:val="20"/>
                <w:szCs w:val="20"/>
                <w:color w:val="auto"/>
              </w:rPr>
            </w:pPr>
            <w:r>
              <w:rPr>
                <w:rFonts w:ascii="Arial" w:cs="Arial" w:eastAsia="Arial" w:hAnsi="Arial"/>
                <w:sz w:val="16"/>
                <w:szCs w:val="16"/>
                <w:color w:val="auto"/>
              </w:rPr>
              <w:t>Note 8.</w:t>
            </w:r>
          </w:p>
        </w:tc>
        <w:tc>
          <w:tcPr>
            <w:tcW w:w="7120" w:type="dxa"/>
            <w:vAlign w:val="bottom"/>
          </w:tcPr>
          <w:p>
            <w:pPr>
              <w:ind w:left="160"/>
              <w:spacing w:after="0"/>
              <w:rPr>
                <w:sz w:val="20"/>
                <w:szCs w:val="20"/>
                <w:color w:val="auto"/>
              </w:rPr>
            </w:pPr>
            <w:r>
              <w:rPr>
                <w:rFonts w:ascii="Arial" w:cs="Arial" w:eastAsia="Arial" w:hAnsi="Arial"/>
                <w:sz w:val="16"/>
                <w:szCs w:val="16"/>
                <w:color w:val="auto"/>
              </w:rPr>
              <w:t>Deferred Policy Acquisition Costs</w:t>
            </w:r>
          </w:p>
        </w:tc>
        <w:tc>
          <w:tcPr>
            <w:tcW w:w="16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9.</w:t>
            </w:r>
          </w:p>
        </w:tc>
        <w:tc>
          <w:tcPr>
            <w:tcW w:w="7120" w:type="dxa"/>
            <w:vAlign w:val="bottom"/>
          </w:tcPr>
          <w:p>
            <w:pPr>
              <w:ind w:left="160"/>
              <w:spacing w:after="0"/>
              <w:rPr>
                <w:sz w:val="20"/>
                <w:szCs w:val="20"/>
                <w:color w:val="auto"/>
              </w:rPr>
            </w:pPr>
            <w:r>
              <w:rPr>
                <w:rFonts w:ascii="Arial" w:cs="Arial" w:eastAsia="Arial" w:hAnsi="Arial"/>
                <w:sz w:val="16"/>
                <w:szCs w:val="16"/>
                <w:color w:val="auto"/>
              </w:rPr>
              <w:t>Variable Interest Entities</w:t>
            </w:r>
          </w:p>
        </w:tc>
        <w:tc>
          <w:tcPr>
            <w:tcW w:w="16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10.</w:t>
            </w:r>
          </w:p>
        </w:tc>
        <w:tc>
          <w:tcPr>
            <w:tcW w:w="7120" w:type="dxa"/>
            <w:vAlign w:val="bottom"/>
          </w:tcPr>
          <w:p>
            <w:pPr>
              <w:ind w:left="160"/>
              <w:spacing w:after="0"/>
              <w:rPr>
                <w:sz w:val="20"/>
                <w:szCs w:val="20"/>
                <w:color w:val="auto"/>
              </w:rPr>
            </w:pPr>
            <w:r>
              <w:rPr>
                <w:rFonts w:ascii="Arial" w:cs="Arial" w:eastAsia="Arial" w:hAnsi="Arial"/>
                <w:sz w:val="16"/>
                <w:szCs w:val="16"/>
                <w:color w:val="auto"/>
              </w:rPr>
              <w:t>Derivatives and Hedge Accounting</w:t>
            </w:r>
          </w:p>
        </w:tc>
        <w:tc>
          <w:tcPr>
            <w:tcW w:w="16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11.</w:t>
            </w:r>
          </w:p>
        </w:tc>
        <w:tc>
          <w:tcPr>
            <w:tcW w:w="7120" w:type="dxa"/>
            <w:vAlign w:val="bottom"/>
          </w:tcPr>
          <w:p>
            <w:pPr>
              <w:ind w:left="160"/>
              <w:spacing w:after="0"/>
              <w:rPr>
                <w:sz w:val="20"/>
                <w:szCs w:val="20"/>
                <w:color w:val="auto"/>
              </w:rPr>
            </w:pPr>
            <w:r>
              <w:rPr>
                <w:rFonts w:ascii="Arial" w:cs="Arial" w:eastAsia="Arial" w:hAnsi="Arial"/>
                <w:sz w:val="16"/>
                <w:szCs w:val="16"/>
                <w:color w:val="auto"/>
              </w:rPr>
              <w:t>Insurance Liabilities</w:t>
            </w: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12.</w:t>
            </w:r>
          </w:p>
        </w:tc>
        <w:tc>
          <w:tcPr>
            <w:tcW w:w="7120" w:type="dxa"/>
            <w:vAlign w:val="bottom"/>
          </w:tcPr>
          <w:p>
            <w:pPr>
              <w:ind w:left="160"/>
              <w:spacing w:after="0"/>
              <w:rPr>
                <w:sz w:val="20"/>
                <w:szCs w:val="20"/>
                <w:color w:val="auto"/>
              </w:rPr>
            </w:pPr>
            <w:r>
              <w:rPr>
                <w:rFonts w:ascii="Arial" w:cs="Arial" w:eastAsia="Arial" w:hAnsi="Arial"/>
                <w:sz w:val="16"/>
                <w:szCs w:val="16"/>
                <w:color w:val="auto"/>
              </w:rPr>
              <w:t>Contingencies, Commitments and Guarantees</w:t>
            </w:r>
          </w:p>
        </w:tc>
        <w:tc>
          <w:tcPr>
            <w:tcW w:w="16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0"/>
        </w:trPr>
        <w:tc>
          <w:tcPr>
            <w:tcW w:w="1240" w:type="dxa"/>
            <w:vAlign w:val="bottom"/>
            <w:gridSpan w:val="2"/>
          </w:tcPr>
          <w:p>
            <w:pPr>
              <w:spacing w:after="0"/>
              <w:rPr>
                <w:sz w:val="20"/>
                <w:szCs w:val="20"/>
                <w:color w:val="auto"/>
              </w:rPr>
            </w:pPr>
            <w:r>
              <w:rPr>
                <w:rFonts w:ascii="Arial" w:cs="Arial" w:eastAsia="Arial" w:hAnsi="Arial"/>
                <w:sz w:val="16"/>
                <w:szCs w:val="16"/>
                <w:color w:val="auto"/>
              </w:rPr>
              <w:t>Note 13.</w:t>
            </w:r>
          </w:p>
        </w:tc>
        <w:tc>
          <w:tcPr>
            <w:tcW w:w="7120" w:type="dxa"/>
            <w:vAlign w:val="bottom"/>
          </w:tcPr>
          <w:p>
            <w:pPr>
              <w:ind w:left="160"/>
              <w:spacing w:after="0"/>
              <w:rPr>
                <w:sz w:val="20"/>
                <w:szCs w:val="20"/>
                <w:color w:val="auto"/>
              </w:rPr>
            </w:pPr>
            <w:r>
              <w:rPr>
                <w:rFonts w:ascii="Arial" w:cs="Arial" w:eastAsia="Arial" w:hAnsi="Arial"/>
                <w:sz w:val="16"/>
                <w:szCs w:val="16"/>
                <w:color w:val="auto"/>
              </w:rPr>
              <w:t>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14.</w:t>
            </w:r>
          </w:p>
        </w:tc>
        <w:tc>
          <w:tcPr>
            <w:tcW w:w="7120" w:type="dxa"/>
            <w:vAlign w:val="bottom"/>
          </w:tcPr>
          <w:p>
            <w:pPr>
              <w:ind w:left="160"/>
              <w:spacing w:after="0"/>
              <w:rPr>
                <w:sz w:val="20"/>
                <w:szCs w:val="20"/>
                <w:color w:val="auto"/>
              </w:rPr>
            </w:pPr>
            <w:r>
              <w:rPr>
                <w:rFonts w:ascii="Arial" w:cs="Arial" w:eastAsia="Arial" w:hAnsi="Arial"/>
                <w:sz w:val="16"/>
                <w:szCs w:val="16"/>
                <w:color w:val="auto"/>
              </w:rPr>
              <w:t>Earnings Per Common Share (EPS)</w:t>
            </w: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1240" w:type="dxa"/>
            <w:vAlign w:val="bottom"/>
            <w:gridSpan w:val="2"/>
          </w:tcPr>
          <w:p>
            <w:pPr>
              <w:spacing w:after="0"/>
              <w:rPr>
                <w:sz w:val="20"/>
                <w:szCs w:val="20"/>
                <w:color w:val="auto"/>
              </w:rPr>
            </w:pPr>
            <w:r>
              <w:rPr>
                <w:rFonts w:ascii="Arial" w:cs="Arial" w:eastAsia="Arial" w:hAnsi="Arial"/>
                <w:sz w:val="16"/>
                <w:szCs w:val="16"/>
                <w:color w:val="auto"/>
              </w:rPr>
              <w:t>Note 15.</w:t>
            </w:r>
          </w:p>
        </w:tc>
        <w:tc>
          <w:tcPr>
            <w:tcW w:w="7120" w:type="dxa"/>
            <w:vAlign w:val="bottom"/>
          </w:tcPr>
          <w:p>
            <w:pPr>
              <w:ind w:left="160"/>
              <w:spacing w:after="0"/>
              <w:rPr>
                <w:sz w:val="20"/>
                <w:szCs w:val="20"/>
                <w:color w:val="auto"/>
              </w:rPr>
            </w:pPr>
            <w:r>
              <w:rPr>
                <w:rFonts w:ascii="Arial" w:cs="Arial" w:eastAsia="Arial" w:hAnsi="Arial"/>
                <w:sz w:val="16"/>
                <w:szCs w:val="16"/>
                <w:color w:val="auto"/>
              </w:rPr>
              <w:t>Income Taxes</w:t>
            </w: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38"/>
        </w:trPr>
        <w:tc>
          <w:tcPr>
            <w:tcW w:w="8360" w:type="dxa"/>
            <w:vAlign w:val="bottom"/>
            <w:gridSpan w:val="3"/>
          </w:tcPr>
          <w:p>
            <w:pPr>
              <w:spacing w:after="0"/>
              <w:rPr>
                <w:sz w:val="20"/>
                <w:szCs w:val="20"/>
                <w:color w:val="auto"/>
              </w:rPr>
            </w:pPr>
            <w:r>
              <w:rPr>
                <w:rFonts w:ascii="Arial" w:cs="Arial" w:eastAsia="Arial" w:hAnsi="Arial"/>
                <w:sz w:val="16"/>
                <w:szCs w:val="16"/>
                <w:b w:val="1"/>
                <w:bCs w:val="1"/>
                <w:color w:val="001871"/>
              </w:rPr>
              <w:t>Management’s Discussion and Analysis of Financial Condition and Results of Operations</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1871"/>
              </w:rPr>
              <w:t>41</w:t>
            </w:r>
          </w:p>
        </w:tc>
      </w:tr>
      <w:tr>
        <w:trPr>
          <w:trHeight w:val="235"/>
        </w:trPr>
        <w:tc>
          <w:tcPr>
            <w:tcW w:w="8360" w:type="dxa"/>
            <w:vAlign w:val="bottom"/>
            <w:gridSpan w:val="3"/>
          </w:tcPr>
          <w:p>
            <w:pPr>
              <w:spacing w:after="0"/>
              <w:rPr>
                <w:sz w:val="20"/>
                <w:szCs w:val="20"/>
                <w:color w:val="auto"/>
              </w:rPr>
            </w:pPr>
            <w:r>
              <w:rPr>
                <w:rFonts w:ascii="Arial" w:cs="Arial" w:eastAsia="Arial" w:hAnsi="Arial"/>
                <w:sz w:val="16"/>
                <w:szCs w:val="16"/>
                <w:color w:val="auto"/>
              </w:rPr>
              <w:t>•  Cautionary Note on Forward-Looking Statements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29"/>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8220" w:type="dxa"/>
            <w:vAlign w:val="bottom"/>
            <w:gridSpan w:val="2"/>
          </w:tcPr>
          <w:p>
            <w:pPr>
              <w:ind w:left="80"/>
              <w:spacing w:after="0"/>
              <w:rPr>
                <w:sz w:val="20"/>
                <w:szCs w:val="20"/>
                <w:color w:val="auto"/>
              </w:rPr>
            </w:pPr>
            <w:r>
              <w:rPr>
                <w:rFonts w:ascii="Arial" w:cs="Arial" w:eastAsia="Arial" w:hAnsi="Arial"/>
                <w:sz w:val="16"/>
                <w:szCs w:val="16"/>
                <w:color w:val="auto"/>
              </w:rPr>
              <w:t>Executive Summary</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30"/>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8220" w:type="dxa"/>
            <w:vAlign w:val="bottom"/>
            <w:gridSpan w:val="2"/>
          </w:tcPr>
          <w:p>
            <w:pPr>
              <w:ind w:left="80"/>
              <w:spacing w:after="0"/>
              <w:rPr>
                <w:sz w:val="20"/>
                <w:szCs w:val="20"/>
                <w:color w:val="auto"/>
              </w:rPr>
            </w:pPr>
            <w:r>
              <w:rPr>
                <w:rFonts w:ascii="Arial" w:cs="Arial" w:eastAsia="Arial" w:hAnsi="Arial"/>
                <w:sz w:val="16"/>
                <w:szCs w:val="16"/>
                <w:color w:val="auto"/>
              </w:rPr>
              <w:t>Critical Accounting Estimates</w:t>
            </w:r>
          </w:p>
        </w:tc>
        <w:tc>
          <w:tcPr>
            <w:tcW w:w="16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30"/>
        </w:trPr>
        <w:tc>
          <w:tcPr>
            <w:tcW w:w="8360" w:type="dxa"/>
            <w:vAlign w:val="bottom"/>
            <w:gridSpan w:val="3"/>
          </w:tcPr>
          <w:p>
            <w:pPr>
              <w:spacing w:after="0"/>
              <w:rPr>
                <w:sz w:val="20"/>
                <w:szCs w:val="20"/>
                <w:color w:val="auto"/>
              </w:rPr>
            </w:pPr>
            <w:r>
              <w:rPr>
                <w:rFonts w:ascii="Arial" w:cs="Arial" w:eastAsia="Arial" w:hAnsi="Arial"/>
                <w:sz w:val="16"/>
                <w:szCs w:val="16"/>
                <w:color w:val="auto"/>
              </w:rPr>
              <w:t>•  Consolidated Results of Operations</w:t>
            </w:r>
          </w:p>
        </w:tc>
        <w:tc>
          <w:tcPr>
            <w:tcW w:w="16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30"/>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8220" w:type="dxa"/>
            <w:vAlign w:val="bottom"/>
            <w:gridSpan w:val="2"/>
          </w:tcPr>
          <w:p>
            <w:pPr>
              <w:ind w:left="80"/>
              <w:spacing w:after="0"/>
              <w:rPr>
                <w:sz w:val="20"/>
                <w:szCs w:val="20"/>
                <w:color w:val="auto"/>
              </w:rPr>
            </w:pPr>
            <w:r>
              <w:rPr>
                <w:rFonts w:ascii="Arial" w:cs="Arial" w:eastAsia="Arial" w:hAnsi="Arial"/>
                <w:sz w:val="16"/>
                <w:szCs w:val="16"/>
                <w:color w:val="auto"/>
              </w:rPr>
              <w:t>Business Segment Operations</w:t>
            </w:r>
          </w:p>
        </w:tc>
        <w:tc>
          <w:tcPr>
            <w:tcW w:w="16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8360" w:type="dxa"/>
            <w:vAlign w:val="bottom"/>
            <w:gridSpan w:val="3"/>
          </w:tcPr>
          <w:p>
            <w:pPr>
              <w:spacing w:after="0"/>
              <w:rPr>
                <w:sz w:val="20"/>
                <w:szCs w:val="20"/>
                <w:color w:val="auto"/>
              </w:rPr>
            </w:pPr>
            <w:r>
              <w:rPr>
                <w:rFonts w:ascii="Arial" w:cs="Arial" w:eastAsia="Arial" w:hAnsi="Arial"/>
                <w:sz w:val="16"/>
                <w:szCs w:val="16"/>
                <w:color w:val="auto"/>
              </w:rPr>
              <w:t>•  Use of Non-GAAP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0"/>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Investments</w:t>
            </w:r>
          </w:p>
        </w:tc>
        <w:tc>
          <w:tcPr>
            <w:tcW w:w="7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0"/>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8220" w:type="dxa"/>
            <w:vAlign w:val="bottom"/>
            <w:gridSpan w:val="2"/>
          </w:tcPr>
          <w:p>
            <w:pPr>
              <w:ind w:left="80"/>
              <w:spacing w:after="0"/>
              <w:rPr>
                <w:sz w:val="20"/>
                <w:szCs w:val="20"/>
                <w:color w:val="auto"/>
              </w:rPr>
            </w:pPr>
            <w:r>
              <w:rPr>
                <w:rFonts w:ascii="Arial" w:cs="Arial" w:eastAsia="Arial" w:hAnsi="Arial"/>
                <w:sz w:val="16"/>
                <w:szCs w:val="16"/>
                <w:color w:val="auto"/>
              </w:rPr>
              <w:t>Insurance Reserves</w:t>
            </w:r>
          </w:p>
        </w:tc>
        <w:tc>
          <w:tcPr>
            <w:tcW w:w="16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0"/>
        </w:trPr>
        <w:tc>
          <w:tcPr>
            <w:tcW w:w="8360" w:type="dxa"/>
            <w:vAlign w:val="bottom"/>
            <w:gridSpan w:val="3"/>
          </w:tcPr>
          <w:p>
            <w:pPr>
              <w:spacing w:after="0"/>
              <w:rPr>
                <w:sz w:val="20"/>
                <w:szCs w:val="20"/>
                <w:color w:val="auto"/>
              </w:rPr>
            </w:pPr>
            <w:r>
              <w:rPr>
                <w:rFonts w:ascii="Arial" w:cs="Arial" w:eastAsia="Arial" w:hAnsi="Arial"/>
                <w:sz w:val="16"/>
                <w:szCs w:val="16"/>
                <w:color w:val="auto"/>
              </w:rPr>
              <w:t>•  Liquidity and Capital Resources</w:t>
            </w:r>
          </w:p>
        </w:tc>
        <w:tc>
          <w:tcPr>
            <w:tcW w:w="16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29"/>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8220" w:type="dxa"/>
            <w:vAlign w:val="bottom"/>
            <w:gridSpan w:val="2"/>
          </w:tcPr>
          <w:p>
            <w:pPr>
              <w:ind w:left="80"/>
              <w:spacing w:after="0"/>
              <w:rPr>
                <w:sz w:val="20"/>
                <w:szCs w:val="20"/>
                <w:color w:val="auto"/>
              </w:rPr>
            </w:pPr>
            <w:r>
              <w:rPr>
                <w:rFonts w:ascii="Arial" w:cs="Arial" w:eastAsia="Arial" w:hAnsi="Arial"/>
                <w:sz w:val="16"/>
                <w:szCs w:val="16"/>
                <w:color w:val="auto"/>
              </w:rPr>
              <w:t>Enterprise Risk Management</w:t>
            </w:r>
          </w:p>
        </w:tc>
        <w:tc>
          <w:tcPr>
            <w:tcW w:w="16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0"/>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Glossary</w:t>
            </w:r>
          </w:p>
        </w:tc>
        <w:tc>
          <w:tcPr>
            <w:tcW w:w="7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30"/>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Acronyms</w:t>
            </w:r>
          </w:p>
        </w:tc>
        <w:tc>
          <w:tcPr>
            <w:tcW w:w="7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64"/>
        </w:trPr>
        <w:tc>
          <w:tcPr>
            <w:tcW w:w="8360" w:type="dxa"/>
            <w:vAlign w:val="bottom"/>
            <w:gridSpan w:val="3"/>
          </w:tcPr>
          <w:p>
            <w:pPr>
              <w:spacing w:after="0"/>
              <w:rPr>
                <w:sz w:val="20"/>
                <w:szCs w:val="20"/>
                <w:color w:val="auto"/>
              </w:rPr>
            </w:pPr>
            <w:r>
              <w:rPr>
                <w:rFonts w:ascii="Arial" w:cs="Arial" w:eastAsia="Arial" w:hAnsi="Arial"/>
                <w:sz w:val="16"/>
                <w:szCs w:val="16"/>
                <w:b w:val="1"/>
                <w:bCs w:val="1"/>
                <w:color w:val="001871"/>
              </w:rPr>
              <w:t>Quantitative and Qualitative Disclosures About Market Risk</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1871"/>
              </w:rPr>
              <w:t>75</w:t>
            </w:r>
          </w:p>
        </w:tc>
      </w:tr>
      <w:tr>
        <w:trPr>
          <w:trHeight w:val="243"/>
        </w:trPr>
        <w:tc>
          <w:tcPr>
            <w:tcW w:w="8360" w:type="dxa"/>
            <w:vAlign w:val="bottom"/>
            <w:gridSpan w:val="3"/>
          </w:tcPr>
          <w:p>
            <w:pPr>
              <w:spacing w:after="0"/>
              <w:rPr>
                <w:sz w:val="20"/>
                <w:szCs w:val="20"/>
                <w:color w:val="auto"/>
              </w:rPr>
            </w:pPr>
            <w:r>
              <w:rPr>
                <w:rFonts w:ascii="Arial" w:cs="Arial" w:eastAsia="Arial" w:hAnsi="Arial"/>
                <w:sz w:val="16"/>
                <w:szCs w:val="16"/>
                <w:b w:val="1"/>
                <w:bCs w:val="1"/>
                <w:color w:val="001770"/>
              </w:rPr>
              <w:t>Controls and Procedures</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1871"/>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-12065</wp:posOffset>
            </wp:positionV>
            <wp:extent cx="71234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-166370</wp:posOffset>
            </wp:positionV>
            <wp:extent cx="65747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-320675</wp:posOffset>
            </wp:positionV>
            <wp:extent cx="65747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-2223135</wp:posOffset>
            </wp:positionV>
            <wp:extent cx="657479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74790" cy="15430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-2377440</wp:posOffset>
            </wp:positionV>
            <wp:extent cx="63779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-2532380</wp:posOffset>
            </wp:positionV>
            <wp:extent cx="63779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-2677795</wp:posOffset>
            </wp:positionV>
            <wp:extent cx="63779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-2832100</wp:posOffset>
            </wp:positionV>
            <wp:extent cx="63779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-2986405</wp:posOffset>
            </wp:positionV>
            <wp:extent cx="63779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-3140710</wp:posOffset>
            </wp:positionV>
            <wp:extent cx="63779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-3295015</wp:posOffset>
            </wp:positionV>
            <wp:extent cx="63779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-3441065</wp:posOffset>
            </wp:positionV>
            <wp:extent cx="63779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-3586480</wp:posOffset>
            </wp:positionV>
            <wp:extent cx="63779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-3740785</wp:posOffset>
            </wp:positionV>
            <wp:extent cx="63779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-4041140</wp:posOffset>
            </wp:positionV>
            <wp:extent cx="637794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77940" cy="16319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-4194810</wp:posOffset>
            </wp:positionV>
            <wp:extent cx="63779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-4349115</wp:posOffset>
            </wp:positionV>
            <wp:extent cx="63779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0" w:space="660"/>
            <w:col w:w="10040"/>
          </w:cols>
          <w:pgMar w:left="320" w:top="899"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001871"/>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234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40" w:type="dxa"/>
            <w:vAlign w:val="bottom"/>
          </w:tcPr>
          <w:p>
            <w:pPr>
              <w:ind w:left="20"/>
              <w:spacing w:after="0"/>
              <w:rPr>
                <w:sz w:val="20"/>
                <w:szCs w:val="20"/>
                <w:color w:val="auto"/>
              </w:rPr>
            </w:pPr>
            <w:r>
              <w:rPr>
                <w:rFonts w:ascii="Arial" w:cs="Arial" w:eastAsia="Arial" w:hAnsi="Arial"/>
                <w:sz w:val="16"/>
                <w:szCs w:val="16"/>
                <w:color w:val="1352DE"/>
              </w:rPr>
              <w:t>ITEM 1</w:t>
            </w:r>
          </w:p>
        </w:tc>
        <w:tc>
          <w:tcPr>
            <w:tcW w:w="9720" w:type="dxa"/>
            <w:vAlign w:val="bottom"/>
            <w:gridSpan w:val="2"/>
          </w:tcPr>
          <w:p>
            <w:pPr>
              <w:ind w:left="160"/>
              <w:spacing w:after="0"/>
              <w:rPr>
                <w:sz w:val="20"/>
                <w:szCs w:val="20"/>
                <w:color w:val="auto"/>
              </w:rPr>
            </w:pPr>
            <w:r>
              <w:rPr>
                <w:rFonts w:ascii="Arial" w:cs="Arial" w:eastAsia="Arial" w:hAnsi="Arial"/>
                <w:sz w:val="16"/>
                <w:szCs w:val="16"/>
                <w:b w:val="1"/>
                <w:bCs w:val="1"/>
                <w:color w:val="001871"/>
              </w:rPr>
              <w:t>Legal Proceedings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01871"/>
              </w:rPr>
              <w:t>76</w:t>
            </w:r>
          </w:p>
        </w:tc>
        <w:tc>
          <w:tcPr>
            <w:tcW w:w="20" w:type="dxa"/>
            <w:vAlign w:val="bottom"/>
          </w:tcPr>
          <w:p>
            <w:pPr>
              <w:spacing w:after="0"/>
              <w:rPr>
                <w:sz w:val="20"/>
                <w:szCs w:val="20"/>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6"/>
                <w:szCs w:val="16"/>
                <w:color w:val="1352DE"/>
              </w:rPr>
              <w:t>ITEM 1A</w:t>
            </w:r>
          </w:p>
        </w:tc>
        <w:tc>
          <w:tcPr>
            <w:tcW w:w="9720" w:type="dxa"/>
            <w:vAlign w:val="bottom"/>
            <w:gridSpan w:val="2"/>
          </w:tcPr>
          <w:p>
            <w:pPr>
              <w:ind w:left="160"/>
              <w:spacing w:after="0"/>
              <w:rPr>
                <w:sz w:val="20"/>
                <w:szCs w:val="20"/>
                <w:color w:val="auto"/>
              </w:rPr>
            </w:pPr>
            <w:r>
              <w:rPr>
                <w:rFonts w:ascii="Arial" w:cs="Arial" w:eastAsia="Arial" w:hAnsi="Arial"/>
                <w:sz w:val="16"/>
                <w:szCs w:val="16"/>
                <w:b w:val="1"/>
                <w:bCs w:val="1"/>
                <w:color w:val="001871"/>
              </w:rPr>
              <w:t>Risk Factors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01871"/>
              </w:rPr>
              <w:t>76</w:t>
            </w:r>
          </w:p>
        </w:tc>
        <w:tc>
          <w:tcPr>
            <w:tcW w:w="20" w:type="dxa"/>
            <w:vAlign w:val="bottom"/>
          </w:tcPr>
          <w:p>
            <w:pPr>
              <w:spacing w:after="0"/>
              <w:rPr>
                <w:sz w:val="21"/>
                <w:szCs w:val="2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6"/>
                <w:szCs w:val="16"/>
                <w:color w:val="1352DE"/>
              </w:rPr>
              <w:t>ITEM 2</w:t>
            </w:r>
          </w:p>
        </w:tc>
        <w:tc>
          <w:tcPr>
            <w:tcW w:w="9720" w:type="dxa"/>
            <w:vAlign w:val="bottom"/>
            <w:gridSpan w:val="2"/>
          </w:tcPr>
          <w:p>
            <w:pPr>
              <w:ind w:left="160"/>
              <w:spacing w:after="0"/>
              <w:rPr>
                <w:sz w:val="20"/>
                <w:szCs w:val="20"/>
                <w:color w:val="auto"/>
              </w:rPr>
            </w:pPr>
            <w:r>
              <w:rPr>
                <w:rFonts w:ascii="Arial" w:cs="Arial" w:eastAsia="Arial" w:hAnsi="Arial"/>
                <w:sz w:val="16"/>
                <w:szCs w:val="16"/>
                <w:b w:val="1"/>
                <w:bCs w:val="1"/>
                <w:color w:val="001871"/>
              </w:rPr>
              <w:t>Unregistered Sales of Equity Securities and Use of Proceeds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01871"/>
              </w:rPr>
              <w:t>76</w:t>
            </w:r>
          </w:p>
        </w:tc>
        <w:tc>
          <w:tcPr>
            <w:tcW w:w="20" w:type="dxa"/>
            <w:vAlign w:val="bottom"/>
          </w:tcPr>
          <w:p>
            <w:pPr>
              <w:spacing w:after="0"/>
              <w:rPr>
                <w:sz w:val="21"/>
                <w:szCs w:val="2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6"/>
                <w:szCs w:val="16"/>
                <w:color w:val="1352DE"/>
              </w:rPr>
              <w:t>ITEM 5</w:t>
            </w:r>
          </w:p>
        </w:tc>
        <w:tc>
          <w:tcPr>
            <w:tcW w:w="9720" w:type="dxa"/>
            <w:vAlign w:val="bottom"/>
            <w:gridSpan w:val="2"/>
          </w:tcPr>
          <w:p>
            <w:pPr>
              <w:ind w:left="160"/>
              <w:spacing w:after="0"/>
              <w:rPr>
                <w:sz w:val="20"/>
                <w:szCs w:val="20"/>
                <w:color w:val="auto"/>
              </w:rPr>
            </w:pPr>
            <w:r>
              <w:rPr>
                <w:rFonts w:ascii="Arial" w:cs="Arial" w:eastAsia="Arial" w:hAnsi="Arial"/>
                <w:sz w:val="16"/>
                <w:szCs w:val="16"/>
                <w:b w:val="1"/>
                <w:bCs w:val="1"/>
                <w:color w:val="001871"/>
              </w:rPr>
              <w:t>Other Information</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01871"/>
              </w:rPr>
              <w:t>76</w:t>
            </w:r>
          </w:p>
        </w:tc>
        <w:tc>
          <w:tcPr>
            <w:tcW w:w="20" w:type="dxa"/>
            <w:vAlign w:val="bottom"/>
          </w:tcPr>
          <w:p>
            <w:pPr>
              <w:spacing w:after="0"/>
              <w:rPr>
                <w:sz w:val="19"/>
                <w:szCs w:val="19"/>
                <w:color w:val="auto"/>
              </w:rPr>
            </w:pPr>
          </w:p>
        </w:tc>
      </w:tr>
      <w:tr>
        <w:trPr>
          <w:trHeight w:val="237"/>
        </w:trPr>
        <w:tc>
          <w:tcPr>
            <w:tcW w:w="1040" w:type="dxa"/>
            <w:vAlign w:val="bottom"/>
            <w:tcBorders>
              <w:bottom w:val="single" w:sz="8" w:color="001871"/>
            </w:tcBorders>
          </w:tcPr>
          <w:p>
            <w:pPr>
              <w:ind w:left="20"/>
              <w:spacing w:after="0"/>
              <w:rPr>
                <w:sz w:val="20"/>
                <w:szCs w:val="20"/>
                <w:color w:val="auto"/>
              </w:rPr>
            </w:pPr>
            <w:r>
              <w:rPr>
                <w:rFonts w:ascii="Arial" w:cs="Arial" w:eastAsia="Arial" w:hAnsi="Arial"/>
                <w:sz w:val="16"/>
                <w:szCs w:val="16"/>
                <w:color w:val="1352DE"/>
              </w:rPr>
              <w:t>ITEM 6</w:t>
            </w:r>
          </w:p>
        </w:tc>
        <w:tc>
          <w:tcPr>
            <w:tcW w:w="9720" w:type="dxa"/>
            <w:vAlign w:val="bottom"/>
            <w:tcBorders>
              <w:bottom w:val="single" w:sz="8" w:color="001871"/>
            </w:tcBorders>
            <w:gridSpan w:val="2"/>
          </w:tcPr>
          <w:p>
            <w:pPr>
              <w:ind w:left="160"/>
              <w:spacing w:after="0"/>
              <w:rPr>
                <w:sz w:val="20"/>
                <w:szCs w:val="20"/>
                <w:color w:val="auto"/>
              </w:rPr>
            </w:pPr>
            <w:r>
              <w:rPr>
                <w:rFonts w:ascii="Arial" w:cs="Arial" w:eastAsia="Arial" w:hAnsi="Arial"/>
                <w:sz w:val="16"/>
                <w:szCs w:val="16"/>
                <w:b w:val="1"/>
                <w:bCs w:val="1"/>
                <w:color w:val="001871"/>
              </w:rPr>
              <w:t>Exhibits</w:t>
            </w:r>
          </w:p>
        </w:tc>
        <w:tc>
          <w:tcPr>
            <w:tcW w:w="460" w:type="dxa"/>
            <w:vAlign w:val="bottom"/>
            <w:tcBorders>
              <w:bottom w:val="single" w:sz="8" w:color="001871"/>
            </w:tcBorders>
          </w:tcPr>
          <w:p>
            <w:pPr>
              <w:jc w:val="right"/>
              <w:spacing w:after="0"/>
              <w:rPr>
                <w:sz w:val="20"/>
                <w:szCs w:val="20"/>
                <w:color w:val="auto"/>
              </w:rPr>
            </w:pPr>
            <w:r>
              <w:rPr>
                <w:rFonts w:ascii="Arial" w:cs="Arial" w:eastAsia="Arial" w:hAnsi="Arial"/>
                <w:sz w:val="16"/>
                <w:szCs w:val="16"/>
                <w:b w:val="1"/>
                <w:bCs w:val="1"/>
                <w:color w:val="001871"/>
              </w:rPr>
              <w:t>77</w:t>
            </w:r>
          </w:p>
        </w:tc>
        <w:tc>
          <w:tcPr>
            <w:tcW w:w="20" w:type="dxa"/>
            <w:vAlign w:val="bottom"/>
          </w:tcPr>
          <w:p>
            <w:pPr>
              <w:spacing w:after="0"/>
              <w:rPr>
                <w:sz w:val="20"/>
                <w:szCs w:val="20"/>
                <w:color w:val="auto"/>
              </w:rPr>
            </w:pPr>
          </w:p>
        </w:tc>
      </w:tr>
      <w:tr>
        <w:trPr>
          <w:trHeight w:val="318"/>
        </w:trPr>
        <w:tc>
          <w:tcPr>
            <w:tcW w:w="1040" w:type="dxa"/>
            <w:vAlign w:val="bottom"/>
            <w:tcBorders>
              <w:bottom w:val="single" w:sz="8" w:color="001871"/>
            </w:tcBorders>
          </w:tcPr>
          <w:p>
            <w:pPr>
              <w:ind w:left="20"/>
              <w:spacing w:after="0"/>
              <w:rPr>
                <w:sz w:val="20"/>
                <w:szCs w:val="20"/>
                <w:color w:val="auto"/>
              </w:rPr>
            </w:pPr>
            <w:r>
              <w:rPr>
                <w:rFonts w:ascii="Arial" w:cs="Arial" w:eastAsia="Arial" w:hAnsi="Arial"/>
                <w:sz w:val="16"/>
                <w:szCs w:val="16"/>
                <w:b w:val="1"/>
                <w:bCs w:val="1"/>
                <w:color w:val="001871"/>
              </w:rPr>
              <w:t>Signatures</w:t>
            </w:r>
          </w:p>
        </w:tc>
        <w:tc>
          <w:tcPr>
            <w:tcW w:w="6300" w:type="dxa"/>
            <w:vAlign w:val="bottom"/>
            <w:tcBorders>
              <w:bottom w:val="single" w:sz="8" w:color="001871"/>
            </w:tcBorders>
          </w:tcPr>
          <w:p>
            <w:pPr>
              <w:spacing w:after="0"/>
              <w:rPr>
                <w:sz w:val="24"/>
                <w:szCs w:val="24"/>
                <w:color w:val="auto"/>
              </w:rPr>
            </w:pPr>
          </w:p>
        </w:tc>
        <w:tc>
          <w:tcPr>
            <w:tcW w:w="3420" w:type="dxa"/>
            <w:vAlign w:val="bottom"/>
            <w:tcBorders>
              <w:bottom w:val="single" w:sz="8" w:color="001871"/>
            </w:tcBorders>
          </w:tcPr>
          <w:p>
            <w:pPr>
              <w:spacing w:after="0"/>
              <w:rPr>
                <w:sz w:val="24"/>
                <w:szCs w:val="24"/>
                <w:color w:val="auto"/>
              </w:rPr>
            </w:pPr>
          </w:p>
        </w:tc>
        <w:tc>
          <w:tcPr>
            <w:tcW w:w="460" w:type="dxa"/>
            <w:vAlign w:val="bottom"/>
            <w:tcBorders>
              <w:bottom w:val="single" w:sz="8" w:color="001871"/>
            </w:tcBorders>
          </w:tcPr>
          <w:p>
            <w:pPr>
              <w:jc w:val="right"/>
              <w:spacing w:after="0"/>
              <w:rPr>
                <w:sz w:val="20"/>
                <w:szCs w:val="20"/>
                <w:color w:val="auto"/>
              </w:rPr>
            </w:pPr>
            <w:r>
              <w:rPr>
                <w:rFonts w:ascii="Arial" w:cs="Arial" w:eastAsia="Arial" w:hAnsi="Arial"/>
                <w:sz w:val="16"/>
                <w:szCs w:val="16"/>
                <w:b w:val="1"/>
                <w:bCs w:val="1"/>
                <w:color w:val="001871"/>
              </w:rPr>
              <w:t>78</w:t>
            </w:r>
          </w:p>
        </w:tc>
        <w:tc>
          <w:tcPr>
            <w:tcW w:w="20" w:type="dxa"/>
            <w:vAlign w:val="bottom"/>
          </w:tcPr>
          <w:p>
            <w:pPr>
              <w:spacing w:after="0"/>
              <w:rPr>
                <w:sz w:val="24"/>
                <w:szCs w:val="24"/>
                <w:color w:val="auto"/>
              </w:rPr>
            </w:pPr>
          </w:p>
        </w:tc>
      </w:tr>
      <w:tr>
        <w:trPr>
          <w:trHeight w:val="695"/>
        </w:trPr>
        <w:tc>
          <w:tcPr>
            <w:tcW w:w="10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420" w:type="dxa"/>
            <w:vAlign w:val="bottom"/>
            <w:tcBorders>
              <w:bottom w:val="single" w:sz="8" w:color="001770"/>
            </w:tcBorders>
          </w:tcPr>
          <w:p>
            <w:pPr>
              <w:spacing w:after="0"/>
              <w:rPr>
                <w:sz w:val="24"/>
                <w:szCs w:val="24"/>
                <w:color w:val="auto"/>
              </w:rPr>
            </w:pPr>
          </w:p>
        </w:tc>
        <w:tc>
          <w:tcPr>
            <w:tcW w:w="460" w:type="dxa"/>
            <w:vAlign w:val="bottom"/>
            <w:tcBorders>
              <w:bottom w:val="single" w:sz="8" w:color="001770"/>
            </w:tcBorders>
          </w:tcPr>
          <w:p>
            <w:pPr>
              <w:spacing w:after="0"/>
              <w:rPr>
                <w:sz w:val="24"/>
                <w:szCs w:val="24"/>
                <w:color w:val="auto"/>
              </w:rPr>
            </w:pPr>
          </w:p>
        </w:tc>
        <w:tc>
          <w:tcPr>
            <w:tcW w:w="20" w:type="dxa"/>
            <w:vAlign w:val="bottom"/>
            <w:tcBorders>
              <w:bottom w:val="single" w:sz="8" w:color="001770"/>
            </w:tcBorders>
          </w:tcPr>
          <w:p>
            <w:pPr>
              <w:spacing w:after="0"/>
              <w:rPr>
                <w:sz w:val="24"/>
                <w:szCs w:val="24"/>
                <w:color w:val="auto"/>
              </w:rPr>
            </w:pPr>
          </w:p>
        </w:tc>
      </w:tr>
      <w:tr>
        <w:trPr>
          <w:trHeight w:val="157"/>
        </w:trPr>
        <w:tc>
          <w:tcPr>
            <w:tcW w:w="104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3420" w:type="dxa"/>
            <w:vAlign w:val="bottom"/>
          </w:tcPr>
          <w:p>
            <w:pPr>
              <w:ind w:left="1260"/>
              <w:spacing w:after="0"/>
              <w:rPr>
                <w:sz w:val="20"/>
                <w:szCs w:val="20"/>
                <w:color w:val="auto"/>
              </w:rPr>
            </w:pPr>
            <w:r>
              <w:rPr>
                <w:rFonts w:ascii="Arial" w:cs="Arial" w:eastAsia="Arial" w:hAnsi="Arial"/>
                <w:sz w:val="12"/>
                <w:szCs w:val="12"/>
                <w:color w:val="auto"/>
              </w:rPr>
              <w:t>AIG | Third Quarter 2026 Form 10-Q</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1</w:t>
            </w:r>
          </w:p>
        </w:tc>
        <w:tc>
          <w:tcPr>
            <w:tcW w:w="20" w:type="dxa"/>
            <w:vAlign w:val="bottom"/>
          </w:tcPr>
          <w:p>
            <w:pPr>
              <w:spacing w:after="0"/>
              <w:rPr>
                <w:sz w:val="13"/>
                <w:szCs w:val="13"/>
                <w:color w:val="auto"/>
              </w:rPr>
            </w:pPr>
          </w:p>
        </w:tc>
      </w:tr>
      <w:tr>
        <w:trPr>
          <w:trHeight w:val="221"/>
        </w:trPr>
        <w:tc>
          <w:tcPr>
            <w:tcW w:w="1040" w:type="dxa"/>
            <w:vAlign w:val="bottom"/>
            <w:tcBorders>
              <w:bottom w:val="single" w:sz="8" w:color="9A9A9A"/>
            </w:tcBorders>
          </w:tcPr>
          <w:p>
            <w:pPr>
              <w:spacing w:after="0"/>
              <w:rPr>
                <w:sz w:val="19"/>
                <w:szCs w:val="19"/>
                <w:color w:val="auto"/>
              </w:rPr>
            </w:pPr>
          </w:p>
        </w:tc>
        <w:tc>
          <w:tcPr>
            <w:tcW w:w="6300" w:type="dxa"/>
            <w:vAlign w:val="bottom"/>
            <w:tcBorders>
              <w:bottom w:val="single" w:sz="8" w:color="9A9A9A"/>
            </w:tcBorders>
          </w:tcPr>
          <w:p>
            <w:pPr>
              <w:spacing w:after="0"/>
              <w:rPr>
                <w:sz w:val="19"/>
                <w:szCs w:val="19"/>
                <w:color w:val="auto"/>
              </w:rPr>
            </w:pPr>
          </w:p>
        </w:tc>
        <w:tc>
          <w:tcPr>
            <w:tcW w:w="34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234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-1242060</wp:posOffset>
            </wp:positionV>
            <wp:extent cx="71234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234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-1551305</wp:posOffset>
            </wp:positionV>
            <wp:extent cx="71234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47"/>
          <w:szCs w:val="47"/>
          <w:b w:val="1"/>
          <w:bCs w:val="1"/>
          <w:color w:val="1352DE"/>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2343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Item 1. | </w:t>
      </w:r>
      <w:r>
        <w:rPr>
          <w:rFonts w:ascii="Arial" w:cs="Arial" w:eastAsia="Arial" w:hAnsi="Arial"/>
          <w:sz w:val="32"/>
          <w:szCs w:val="32"/>
          <w:color w:val="001871"/>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234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7"/>
          <w:szCs w:val="27"/>
          <w:color w:val="001871"/>
        </w:rPr>
        <w:t>American International Group, Inc.</w:t>
      </w:r>
    </w:p>
    <w:p>
      <w:pPr>
        <w:spacing w:after="0" w:line="13" w:lineRule="exact"/>
        <w:rPr>
          <w:sz w:val="20"/>
          <w:szCs w:val="20"/>
          <w:color w:val="auto"/>
        </w:rPr>
      </w:pPr>
    </w:p>
    <w:p>
      <w:pPr>
        <w:spacing w:after="0"/>
        <w:rPr>
          <w:sz w:val="20"/>
          <w:szCs w:val="20"/>
          <w:color w:val="auto"/>
        </w:rPr>
      </w:pPr>
      <w:r>
        <w:rPr>
          <w:rFonts w:ascii="Arial" w:cs="Arial" w:eastAsia="Arial" w:hAnsi="Arial"/>
          <w:sz w:val="27"/>
          <w:szCs w:val="27"/>
          <w:color w:val="001770"/>
        </w:rPr>
        <w:t xml:space="preserve">Condensed Consolidated Balance Sheets </w:t>
      </w:r>
      <w:r>
        <w:rPr>
          <w:rFonts w:ascii="Arial" w:cs="Arial" w:eastAsia="Arial" w:hAnsi="Arial"/>
          <w:sz w:val="17"/>
          <w:szCs w:val="17"/>
          <w:i w:val="1"/>
          <w:iCs w:val="1"/>
          <w:color w:val="001770"/>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b w:val="1"/>
                <w:bCs w:val="1"/>
                <w:color w:val="1252DE"/>
              </w:rPr>
              <w:t>September 30,</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252DE"/>
              </w:rPr>
              <w:t>December 31,</w:t>
            </w:r>
          </w:p>
        </w:tc>
      </w:tr>
      <w:tr>
        <w:trPr>
          <w:trHeight w:val="187"/>
        </w:trPr>
        <w:tc>
          <w:tcPr>
            <w:tcW w:w="86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 except for share data)</w:t>
            </w:r>
          </w:p>
        </w:tc>
        <w:tc>
          <w:tcPr>
            <w:tcW w:w="480" w:type="dxa"/>
            <w:vAlign w:val="bottom"/>
            <w:tcBorders>
              <w:bottom w:val="single" w:sz="8" w:color="1352DE"/>
            </w:tcBorders>
          </w:tcPr>
          <w:p>
            <w:pPr>
              <w:spacing w:after="0"/>
              <w:rPr>
                <w:sz w:val="16"/>
                <w:szCs w:val="16"/>
                <w:color w:val="auto"/>
              </w:rPr>
            </w:pPr>
          </w:p>
        </w:tc>
        <w:tc>
          <w:tcPr>
            <w:tcW w:w="102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2026</w:t>
            </w:r>
          </w:p>
        </w:tc>
        <w:tc>
          <w:tcPr>
            <w:tcW w:w="22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2025</w:t>
            </w:r>
          </w:p>
        </w:tc>
      </w:tr>
      <w:tr>
        <w:trPr>
          <w:trHeight w:val="171"/>
        </w:trPr>
        <w:tc>
          <w:tcPr>
            <w:tcW w:w="8640" w:type="dxa"/>
            <w:vAlign w:val="bottom"/>
          </w:tcPr>
          <w:p>
            <w:pPr>
              <w:ind w:left="20"/>
              <w:spacing w:after="0"/>
              <w:rPr>
                <w:sz w:val="20"/>
                <w:szCs w:val="20"/>
                <w:color w:val="auto"/>
              </w:rPr>
            </w:pPr>
            <w:r>
              <w:rPr>
                <w:rFonts w:ascii="Arial" w:cs="Arial" w:eastAsia="Arial" w:hAnsi="Arial"/>
                <w:sz w:val="13"/>
                <w:szCs w:val="13"/>
                <w:b w:val="1"/>
                <w:bCs w:val="1"/>
                <w:color w:val="1252DE"/>
              </w:rPr>
              <w:t>Assets: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8640" w:type="dxa"/>
            <w:vAlign w:val="bottom"/>
          </w:tcPr>
          <w:p>
            <w:pPr>
              <w:ind w:left="140"/>
              <w:spacing w:after="0"/>
              <w:rPr>
                <w:sz w:val="20"/>
                <w:szCs w:val="20"/>
                <w:color w:val="auto"/>
              </w:rPr>
            </w:pPr>
            <w:r>
              <w:rPr>
                <w:rFonts w:ascii="Arial" w:cs="Arial" w:eastAsia="Arial" w:hAnsi="Arial"/>
                <w:sz w:val="13"/>
                <w:szCs w:val="13"/>
                <w:color w:val="auto"/>
              </w:rPr>
              <w:t>Investments: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8640" w:type="dxa"/>
            <w:vAlign w:val="bottom"/>
          </w:tcPr>
          <w:p>
            <w:pPr>
              <w:ind w:left="240"/>
              <w:spacing w:after="0"/>
              <w:rPr>
                <w:sz w:val="20"/>
                <w:szCs w:val="20"/>
                <w:color w:val="auto"/>
              </w:rPr>
            </w:pPr>
            <w:r>
              <w:rPr>
                <w:rFonts w:ascii="Arial" w:cs="Arial" w:eastAsia="Arial" w:hAnsi="Arial"/>
                <w:sz w:val="13"/>
                <w:szCs w:val="13"/>
                <w:color w:val="auto"/>
              </w:rPr>
              <w:t>Fixed maturity securities:</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8"/>
        </w:trPr>
        <w:tc>
          <w:tcPr>
            <w:tcW w:w="8640" w:type="dxa"/>
            <w:vAlign w:val="bottom"/>
          </w:tcPr>
          <w:p>
            <w:pPr>
              <w:ind w:left="360"/>
              <w:spacing w:after="0"/>
              <w:rPr>
                <w:sz w:val="20"/>
                <w:szCs w:val="20"/>
                <w:color w:val="auto"/>
              </w:rPr>
            </w:pPr>
            <w:r>
              <w:rPr>
                <w:rFonts w:ascii="Arial" w:cs="Arial" w:eastAsia="Arial" w:hAnsi="Arial"/>
                <w:sz w:val="13"/>
                <w:szCs w:val="13"/>
                <w:color w:val="auto"/>
              </w:rPr>
              <w:t>Bonds available for sale, at fair value, net of allowance for credit losses of $24 in 2026 and $37 in 2025 (amortized cost: 2026 - $74,858; 2025 -</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5"/>
        </w:trPr>
        <w:tc>
          <w:tcPr>
            <w:tcW w:w="8640" w:type="dxa"/>
            <w:vAlign w:val="bottom"/>
          </w:tcPr>
          <w:p>
            <w:pPr>
              <w:ind w:left="460"/>
              <w:spacing w:after="0"/>
              <w:rPr>
                <w:sz w:val="20"/>
                <w:szCs w:val="20"/>
                <w:color w:val="auto"/>
              </w:rPr>
            </w:pPr>
            <w:r>
              <w:rPr>
                <w:rFonts w:ascii="Arial" w:cs="Arial" w:eastAsia="Arial" w:hAnsi="Arial"/>
                <w:sz w:val="13"/>
                <w:szCs w:val="13"/>
                <w:color w:val="auto"/>
              </w:rPr>
              <w:t>$71,772)</w:t>
            </w: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71,642</w:t>
            </w:r>
          </w:p>
        </w:tc>
        <w:tc>
          <w:tcPr>
            <w:tcW w:w="220" w:type="dxa"/>
            <w:vAlign w:val="bottom"/>
          </w:tcPr>
          <w:p>
            <w:pPr>
              <w:jc w:val="right"/>
              <w:spacing w:after="0"/>
              <w:rPr>
                <w:sz w:val="20"/>
                <w:szCs w:val="20"/>
                <w:color w:val="auto"/>
              </w:rPr>
            </w:pPr>
            <w:r>
              <w:rPr>
                <w:rFonts w:ascii="Arial" w:cs="Arial" w:eastAsia="Arial" w:hAnsi="Arial"/>
                <w:sz w:val="13"/>
                <w:szCs w:val="13"/>
                <w:color w:val="001770"/>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71,032</w:t>
            </w:r>
          </w:p>
        </w:tc>
      </w:tr>
      <w:tr>
        <w:trPr>
          <w:trHeight w:val="175"/>
        </w:trPr>
        <w:tc>
          <w:tcPr>
            <w:tcW w:w="8640" w:type="dxa"/>
            <w:vAlign w:val="bottom"/>
          </w:tcPr>
          <w:p>
            <w:pPr>
              <w:ind w:left="360"/>
              <w:spacing w:after="0"/>
              <w:rPr>
                <w:sz w:val="20"/>
                <w:szCs w:val="20"/>
                <w:color w:val="auto"/>
              </w:rPr>
            </w:pPr>
            <w:r>
              <w:rPr>
                <w:rFonts w:ascii="Arial" w:cs="Arial" w:eastAsia="Arial" w:hAnsi="Arial"/>
                <w:sz w:val="13"/>
                <w:szCs w:val="13"/>
                <w:color w:val="auto"/>
              </w:rPr>
              <w:t>Other bond securities, at fair value</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649</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741</w:t>
            </w:r>
          </w:p>
        </w:tc>
      </w:tr>
      <w:tr>
        <w:trPr>
          <w:trHeight w:val="176"/>
        </w:trPr>
        <w:tc>
          <w:tcPr>
            <w:tcW w:w="8640" w:type="dxa"/>
            <w:vAlign w:val="bottom"/>
          </w:tcPr>
          <w:p>
            <w:pPr>
              <w:ind w:left="240"/>
              <w:spacing w:after="0"/>
              <w:rPr>
                <w:sz w:val="20"/>
                <w:szCs w:val="20"/>
                <w:color w:val="auto"/>
              </w:rPr>
            </w:pPr>
            <w:r>
              <w:rPr>
                <w:rFonts w:ascii="Arial" w:cs="Arial" w:eastAsia="Arial" w:hAnsi="Arial"/>
                <w:sz w:val="13"/>
                <w:szCs w:val="13"/>
                <w:color w:val="auto"/>
              </w:rPr>
              <w:t>Equity securities, at fair value</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1,058</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502</w:t>
            </w:r>
          </w:p>
        </w:tc>
      </w:tr>
      <w:tr>
        <w:trPr>
          <w:trHeight w:val="176"/>
        </w:trPr>
        <w:tc>
          <w:tcPr>
            <w:tcW w:w="8640" w:type="dxa"/>
            <w:vAlign w:val="bottom"/>
          </w:tcPr>
          <w:p>
            <w:pPr>
              <w:ind w:left="240"/>
              <w:spacing w:after="0"/>
              <w:rPr>
                <w:sz w:val="20"/>
                <w:szCs w:val="20"/>
                <w:color w:val="auto"/>
              </w:rPr>
            </w:pPr>
            <w:r>
              <w:rPr>
                <w:rFonts w:ascii="Arial" w:cs="Arial" w:eastAsia="Arial" w:hAnsi="Arial"/>
                <w:sz w:val="13"/>
                <w:szCs w:val="13"/>
                <w:color w:val="auto"/>
              </w:rPr>
              <w:t>Mortgage and other loans receivable, net of allowance for credit losses of $37,724 in 2026 and $37,747 in 2025</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2,298</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2,887</w:t>
            </w:r>
          </w:p>
        </w:tc>
      </w:tr>
      <w:tr>
        <w:trPr>
          <w:trHeight w:val="175"/>
        </w:trPr>
        <w:tc>
          <w:tcPr>
            <w:tcW w:w="8640" w:type="dxa"/>
            <w:vAlign w:val="bottom"/>
          </w:tcPr>
          <w:p>
            <w:pPr>
              <w:ind w:left="240"/>
              <w:spacing w:after="0"/>
              <w:rPr>
                <w:sz w:val="20"/>
                <w:szCs w:val="20"/>
                <w:color w:val="auto"/>
              </w:rPr>
            </w:pPr>
            <w:r>
              <w:rPr>
                <w:rFonts w:ascii="Arial" w:cs="Arial" w:eastAsia="Arial" w:hAnsi="Arial"/>
                <w:sz w:val="13"/>
                <w:szCs w:val="13"/>
                <w:color w:val="auto"/>
              </w:rPr>
              <w:t>Other invested assets (portion measured at fair value: 2026 - $3,144; 2025 - $5,011)</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6,961</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6,696</w:t>
            </w:r>
          </w:p>
        </w:tc>
      </w:tr>
      <w:tr>
        <w:trPr>
          <w:trHeight w:val="193"/>
        </w:trPr>
        <w:tc>
          <w:tcPr>
            <w:tcW w:w="8640" w:type="dxa"/>
            <w:vAlign w:val="bottom"/>
            <w:tcBorders>
              <w:bottom w:val="single" w:sz="8" w:color="1352DE"/>
            </w:tcBorders>
          </w:tcPr>
          <w:p>
            <w:pPr>
              <w:ind w:left="240"/>
              <w:spacing w:after="0"/>
              <w:rPr>
                <w:sz w:val="20"/>
                <w:szCs w:val="20"/>
                <w:color w:val="auto"/>
              </w:rPr>
            </w:pPr>
            <w:r>
              <w:rPr>
                <w:rFonts w:ascii="Arial" w:cs="Arial" w:eastAsia="Arial" w:hAnsi="Arial"/>
                <w:sz w:val="13"/>
                <w:szCs w:val="13"/>
                <w:color w:val="auto"/>
              </w:rPr>
              <w:t>Short-term investments, including restricted cash of $56 in 2026 and $55 in 2025 (portion measured at fair value: 2026 - $4,530; 2025 - $5,909)</w:t>
            </w:r>
          </w:p>
        </w:tc>
        <w:tc>
          <w:tcPr>
            <w:tcW w:w="480" w:type="dxa"/>
            <w:vAlign w:val="bottom"/>
            <w:tcBorders>
              <w:bottom w:val="single" w:sz="8" w:color="1352DE"/>
            </w:tcBorders>
          </w:tcPr>
          <w:p>
            <w:pPr>
              <w:spacing w:after="0"/>
              <w:rPr>
                <w:sz w:val="16"/>
                <w:szCs w:val="16"/>
                <w:color w:val="auto"/>
              </w:rPr>
            </w:pPr>
          </w:p>
        </w:tc>
        <w:tc>
          <w:tcPr>
            <w:tcW w:w="102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b w:val="1"/>
                <w:bCs w:val="1"/>
                <w:color w:val="1252DE"/>
              </w:rPr>
              <w:t>10,183</w:t>
            </w:r>
          </w:p>
        </w:tc>
        <w:tc>
          <w:tcPr>
            <w:tcW w:w="22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11,141</w:t>
            </w:r>
          </w:p>
        </w:tc>
      </w:tr>
      <w:tr>
        <w:trPr>
          <w:trHeight w:val="169"/>
        </w:trPr>
        <w:tc>
          <w:tcPr>
            <w:tcW w:w="8640" w:type="dxa"/>
            <w:vAlign w:val="bottom"/>
          </w:tcPr>
          <w:p>
            <w:pPr>
              <w:ind w:left="240"/>
              <w:spacing w:after="0"/>
              <w:rPr>
                <w:sz w:val="20"/>
                <w:szCs w:val="20"/>
                <w:color w:val="auto"/>
              </w:rPr>
            </w:pPr>
            <w:r>
              <w:rPr>
                <w:rFonts w:ascii="Arial" w:cs="Arial" w:eastAsia="Arial" w:hAnsi="Arial"/>
                <w:sz w:val="13"/>
                <w:szCs w:val="13"/>
                <w:b w:val="1"/>
                <w:bCs w:val="1"/>
                <w:color w:val="1252DE"/>
              </w:rPr>
              <w:t>Total investments</w:t>
            </w:r>
          </w:p>
        </w:tc>
        <w:tc>
          <w:tcPr>
            <w:tcW w:w="48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92,791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92,999</w:t>
            </w:r>
          </w:p>
        </w:tc>
      </w:tr>
      <w:tr>
        <w:trPr>
          <w:trHeight w:val="172"/>
        </w:trPr>
        <w:tc>
          <w:tcPr>
            <w:tcW w:w="8640" w:type="dxa"/>
            <w:vAlign w:val="bottom"/>
          </w:tcPr>
          <w:p>
            <w:pPr>
              <w:ind w:left="140"/>
              <w:spacing w:after="0"/>
              <w:rPr>
                <w:sz w:val="20"/>
                <w:szCs w:val="20"/>
                <w:color w:val="auto"/>
              </w:rPr>
            </w:pPr>
            <w:r>
              <w:rPr>
                <w:rFonts w:ascii="Arial" w:cs="Arial" w:eastAsia="Arial" w:hAnsi="Arial"/>
                <w:sz w:val="13"/>
                <w:szCs w:val="13"/>
                <w:color w:val="auto"/>
              </w:rPr>
              <w:t>Cash</w:t>
            </w:r>
          </w:p>
        </w:tc>
        <w:tc>
          <w:tcPr>
            <w:tcW w:w="48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1,724</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1,274</w:t>
            </w:r>
          </w:p>
        </w:tc>
      </w:tr>
      <w:tr>
        <w:trPr>
          <w:trHeight w:val="176"/>
        </w:trPr>
        <w:tc>
          <w:tcPr>
            <w:tcW w:w="8640" w:type="dxa"/>
            <w:vAlign w:val="bottom"/>
          </w:tcPr>
          <w:p>
            <w:pPr>
              <w:ind w:left="140"/>
              <w:spacing w:after="0"/>
              <w:rPr>
                <w:sz w:val="20"/>
                <w:szCs w:val="20"/>
                <w:color w:val="auto"/>
              </w:rPr>
            </w:pPr>
            <w:r>
              <w:rPr>
                <w:rFonts w:ascii="Arial" w:cs="Arial" w:eastAsia="Arial" w:hAnsi="Arial"/>
                <w:sz w:val="13"/>
                <w:szCs w:val="13"/>
                <w:color w:val="auto"/>
              </w:rPr>
              <w:t>Accrued investment income</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731</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691</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Premiums and other receivables, net of allowance for credit losses and disputes of $135 in 2026 and $131 in 2025</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11,516</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10,441</w:t>
            </w:r>
          </w:p>
        </w:tc>
      </w:tr>
      <w:tr>
        <w:trPr>
          <w:trHeight w:val="176"/>
        </w:trPr>
        <w:tc>
          <w:tcPr>
            <w:tcW w:w="8640" w:type="dxa"/>
            <w:vAlign w:val="bottom"/>
          </w:tcPr>
          <w:p>
            <w:pPr>
              <w:ind w:left="140"/>
              <w:spacing w:after="0"/>
              <w:rPr>
                <w:sz w:val="20"/>
                <w:szCs w:val="20"/>
                <w:color w:val="auto"/>
              </w:rPr>
            </w:pPr>
            <w:r>
              <w:rPr>
                <w:rFonts w:ascii="Arial" w:cs="Arial" w:eastAsia="Arial" w:hAnsi="Arial"/>
                <w:sz w:val="13"/>
                <w:szCs w:val="13"/>
                <w:color w:val="auto"/>
              </w:rPr>
              <w:t>Reinsurance assets - Fortitude Re</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3,006</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3,167</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Reinsurance assets - other, net of allowance for credit losses and disputes of $259 in 2026 and $248 in 2025</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34,217</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34,829</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Deferred income tax assets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4,807</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5,096</w:t>
            </w:r>
          </w:p>
        </w:tc>
      </w:tr>
      <w:tr>
        <w:trPr>
          <w:trHeight w:val="176"/>
        </w:trPr>
        <w:tc>
          <w:tcPr>
            <w:tcW w:w="8640" w:type="dxa"/>
            <w:vAlign w:val="bottom"/>
          </w:tcPr>
          <w:p>
            <w:pPr>
              <w:ind w:left="140"/>
              <w:spacing w:after="0"/>
              <w:rPr>
                <w:sz w:val="20"/>
                <w:szCs w:val="20"/>
                <w:color w:val="auto"/>
              </w:rPr>
            </w:pPr>
            <w:r>
              <w:rPr>
                <w:rFonts w:ascii="Arial" w:cs="Arial" w:eastAsia="Arial" w:hAnsi="Arial"/>
                <w:sz w:val="13"/>
                <w:szCs w:val="13"/>
                <w:color w:val="auto"/>
              </w:rPr>
              <w:t>Deferred policy acquisition costs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2,333</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2,106</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Goodwill</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3,423</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3,435</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Deposit accounting assets, net of allowance for credit losses of $49 in 2026 and $49 in 2025</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2,596</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2,443</w:t>
            </w:r>
          </w:p>
        </w:tc>
      </w:tr>
      <w:tr>
        <w:trPr>
          <w:trHeight w:val="193"/>
        </w:trPr>
        <w:tc>
          <w:tcPr>
            <w:tcW w:w="864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Other assets, including restricted cash of $7 in 2026 and $16 in 2025 (portion measured at fair value: 2026 - $11; 2025 - $135)</w:t>
            </w:r>
          </w:p>
        </w:tc>
        <w:tc>
          <w:tcPr>
            <w:tcW w:w="480" w:type="dxa"/>
            <w:vAlign w:val="bottom"/>
            <w:tcBorders>
              <w:bottom w:val="single" w:sz="8" w:color="1352DE"/>
            </w:tcBorders>
          </w:tcPr>
          <w:p>
            <w:pPr>
              <w:spacing w:after="0"/>
              <w:rPr>
                <w:sz w:val="16"/>
                <w:szCs w:val="16"/>
                <w:color w:val="auto"/>
              </w:rPr>
            </w:pPr>
          </w:p>
        </w:tc>
        <w:tc>
          <w:tcPr>
            <w:tcW w:w="102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b w:val="1"/>
                <w:bCs w:val="1"/>
                <w:color w:val="1252DE"/>
              </w:rPr>
              <w:t>4,717</w:t>
            </w:r>
          </w:p>
        </w:tc>
        <w:tc>
          <w:tcPr>
            <w:tcW w:w="22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4,773</w:t>
            </w:r>
          </w:p>
        </w:tc>
      </w:tr>
      <w:tr>
        <w:trPr>
          <w:trHeight w:val="171"/>
        </w:trPr>
        <w:tc>
          <w:tcPr>
            <w:tcW w:w="864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0E32E1"/>
              </w:rPr>
              <w:t>Total assets</w:t>
            </w:r>
          </w:p>
        </w:tc>
        <w:tc>
          <w:tcPr>
            <w:tcW w:w="48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w:t>
            </w:r>
          </w:p>
        </w:tc>
        <w:tc>
          <w:tcPr>
            <w:tcW w:w="102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b w:val="1"/>
                <w:bCs w:val="1"/>
                <w:color w:val="1252DE"/>
              </w:rPr>
              <w:t>161,861</w:t>
            </w: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001770"/>
              </w:rPr>
              <w:t>$</w:t>
            </w: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161,254</w:t>
            </w:r>
          </w:p>
        </w:tc>
      </w:tr>
      <w:tr>
        <w:trPr>
          <w:trHeight w:val="167"/>
        </w:trPr>
        <w:tc>
          <w:tcPr>
            <w:tcW w:w="8640" w:type="dxa"/>
            <w:vAlign w:val="bottom"/>
          </w:tcPr>
          <w:p>
            <w:pPr>
              <w:ind w:left="20"/>
              <w:spacing w:after="0"/>
              <w:rPr>
                <w:sz w:val="20"/>
                <w:szCs w:val="20"/>
                <w:color w:val="auto"/>
              </w:rPr>
            </w:pPr>
            <w:r>
              <w:rPr>
                <w:rFonts w:ascii="Arial" w:cs="Arial" w:eastAsia="Arial" w:hAnsi="Arial"/>
                <w:sz w:val="13"/>
                <w:szCs w:val="13"/>
                <w:b w:val="1"/>
                <w:bCs w:val="1"/>
                <w:color w:val="1252DE"/>
              </w:rPr>
              <w:t>Liabilities: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5"/>
        </w:trPr>
        <w:tc>
          <w:tcPr>
            <w:tcW w:w="8640" w:type="dxa"/>
            <w:vAlign w:val="bottom"/>
          </w:tcPr>
          <w:p>
            <w:pPr>
              <w:ind w:left="140"/>
              <w:spacing w:after="0"/>
              <w:rPr>
                <w:sz w:val="20"/>
                <w:szCs w:val="20"/>
                <w:color w:val="auto"/>
              </w:rPr>
            </w:pPr>
            <w:r>
              <w:rPr>
                <w:rFonts w:ascii="Arial" w:cs="Arial" w:eastAsia="Arial" w:hAnsi="Arial"/>
                <w:sz w:val="13"/>
                <w:szCs w:val="13"/>
                <w:color w:val="auto"/>
              </w:rPr>
              <w:t>Liability for unpaid losses and loss adjustment expenses, including allowance for credit losses of $14 in 2026 and $14 in 2025</w:t>
            </w: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70,182</w:t>
            </w:r>
          </w:p>
        </w:tc>
        <w:tc>
          <w:tcPr>
            <w:tcW w:w="220" w:type="dxa"/>
            <w:vAlign w:val="bottom"/>
          </w:tcPr>
          <w:p>
            <w:pPr>
              <w:jc w:val="right"/>
              <w:spacing w:after="0"/>
              <w:rPr>
                <w:sz w:val="20"/>
                <w:szCs w:val="20"/>
                <w:color w:val="auto"/>
              </w:rPr>
            </w:pPr>
            <w:r>
              <w:rPr>
                <w:rFonts w:ascii="Arial" w:cs="Arial" w:eastAsia="Arial" w:hAnsi="Arial"/>
                <w:sz w:val="13"/>
                <w:szCs w:val="13"/>
                <w:color w:val="001770"/>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70,666</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Unearned premiums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19,677</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17,991</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Future policy benefits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1,269</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1,385</w:t>
            </w:r>
          </w:p>
        </w:tc>
      </w:tr>
      <w:tr>
        <w:trPr>
          <w:trHeight w:val="176"/>
        </w:trPr>
        <w:tc>
          <w:tcPr>
            <w:tcW w:w="8640" w:type="dxa"/>
            <w:vAlign w:val="bottom"/>
          </w:tcPr>
          <w:p>
            <w:pPr>
              <w:ind w:left="140"/>
              <w:spacing w:after="0"/>
              <w:rPr>
                <w:sz w:val="20"/>
                <w:szCs w:val="20"/>
                <w:color w:val="auto"/>
              </w:rPr>
            </w:pPr>
            <w:r>
              <w:rPr>
                <w:rFonts w:ascii="Arial" w:cs="Arial" w:eastAsia="Arial" w:hAnsi="Arial"/>
                <w:sz w:val="13"/>
                <w:szCs w:val="13"/>
                <w:color w:val="auto"/>
              </w:rPr>
              <w:t>Other policyholder funds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312</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352</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Fortitude Re funds withheld payable (portion measured at fair value: 2026 - $(184); 2025 - $(92))</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2,739</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3,038</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Premiums and other related payables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6,431</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5,448</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Deposit accounting liabilities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3,408</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3,295</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Commissions and premium taxes payable</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1,472</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1,556</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Current and deferred income tax liabilities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639</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661</w:t>
            </w:r>
          </w:p>
        </w:tc>
      </w:tr>
      <w:tr>
        <w:trPr>
          <w:trHeight w:val="176"/>
        </w:trPr>
        <w:tc>
          <w:tcPr>
            <w:tcW w:w="8640" w:type="dxa"/>
            <w:vAlign w:val="bottom"/>
          </w:tcPr>
          <w:p>
            <w:pPr>
              <w:ind w:left="140"/>
              <w:spacing w:after="0"/>
              <w:rPr>
                <w:sz w:val="20"/>
                <w:szCs w:val="20"/>
                <w:color w:val="auto"/>
              </w:rPr>
            </w:pPr>
            <w:r>
              <w:rPr>
                <w:rFonts w:ascii="Arial" w:cs="Arial" w:eastAsia="Arial" w:hAnsi="Arial"/>
                <w:sz w:val="13"/>
                <w:szCs w:val="13"/>
                <w:color w:val="auto"/>
              </w:rPr>
              <w:t>Other liabilities (portion measured at fair value: 2026 - $132; 2025 - $162)</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6,413</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6,509</w:t>
            </w:r>
          </w:p>
        </w:tc>
      </w:tr>
      <w:tr>
        <w:trPr>
          <w:trHeight w:val="189"/>
        </w:trPr>
        <w:tc>
          <w:tcPr>
            <w:tcW w:w="8640" w:type="dxa"/>
            <w:vAlign w:val="bottom"/>
          </w:tcPr>
          <w:p>
            <w:pPr>
              <w:ind w:left="140"/>
              <w:spacing w:after="0"/>
              <w:rPr>
                <w:sz w:val="20"/>
                <w:szCs w:val="20"/>
                <w:color w:val="auto"/>
              </w:rPr>
            </w:pPr>
            <w:r>
              <w:rPr>
                <w:rFonts w:ascii="Arial" w:cs="Arial" w:eastAsia="Arial" w:hAnsi="Arial"/>
                <w:sz w:val="13"/>
                <w:szCs w:val="13"/>
                <w:color w:val="auto"/>
              </w:rPr>
              <w:t>Long-term debt</w:t>
            </w:r>
          </w:p>
        </w:tc>
        <w:tc>
          <w:tcPr>
            <w:tcW w:w="480" w:type="dxa"/>
            <w:vAlign w:val="bottom"/>
          </w:tcPr>
          <w:p>
            <w:pPr>
              <w:spacing w:after="0"/>
              <w:rPr>
                <w:sz w:val="16"/>
                <w:szCs w:val="16"/>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10,256</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9,035</w:t>
            </w:r>
          </w:p>
        </w:tc>
      </w:tr>
      <w:tr>
        <w:trPr>
          <w:trHeight w:val="180"/>
        </w:trPr>
        <w:tc>
          <w:tcPr>
            <w:tcW w:w="864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Debt of consolidated investment entities</w:t>
            </w:r>
          </w:p>
        </w:tc>
        <w:tc>
          <w:tcPr>
            <w:tcW w:w="480" w:type="dxa"/>
            <w:vAlign w:val="bottom"/>
            <w:tcBorders>
              <w:bottom w:val="single" w:sz="8" w:color="1352DE"/>
            </w:tcBorders>
          </w:tcPr>
          <w:p>
            <w:pPr>
              <w:spacing w:after="0"/>
              <w:rPr>
                <w:sz w:val="15"/>
                <w:szCs w:val="15"/>
                <w:color w:val="auto"/>
              </w:rPr>
            </w:pPr>
          </w:p>
        </w:tc>
        <w:tc>
          <w:tcPr>
            <w:tcW w:w="102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b w:val="1"/>
                <w:bCs w:val="1"/>
                <w:color w:val="1252DE"/>
              </w:rPr>
              <w:t>154</w:t>
            </w:r>
          </w:p>
        </w:tc>
        <w:tc>
          <w:tcPr>
            <w:tcW w:w="22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156</w:t>
            </w:r>
          </w:p>
        </w:tc>
      </w:tr>
      <w:tr>
        <w:trPr>
          <w:trHeight w:val="169"/>
        </w:trPr>
        <w:tc>
          <w:tcPr>
            <w:tcW w:w="8640" w:type="dxa"/>
            <w:vAlign w:val="bottom"/>
          </w:tcPr>
          <w:p>
            <w:pPr>
              <w:ind w:left="20"/>
              <w:spacing w:after="0"/>
              <w:rPr>
                <w:sz w:val="20"/>
                <w:szCs w:val="20"/>
                <w:color w:val="auto"/>
              </w:rPr>
            </w:pPr>
            <w:r>
              <w:rPr>
                <w:rFonts w:ascii="Arial" w:cs="Arial" w:eastAsia="Arial" w:hAnsi="Arial"/>
                <w:sz w:val="13"/>
                <w:szCs w:val="13"/>
                <w:b w:val="1"/>
                <w:bCs w:val="1"/>
                <w:color w:val="0E32E1"/>
              </w:rPr>
              <w:t>Total liabilities</w:t>
            </w:r>
          </w:p>
        </w:tc>
        <w:tc>
          <w:tcPr>
            <w:tcW w:w="48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122,952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120,092</w:t>
            </w:r>
          </w:p>
        </w:tc>
      </w:tr>
      <w:tr>
        <w:trPr>
          <w:trHeight w:val="172"/>
        </w:trPr>
        <w:tc>
          <w:tcPr>
            <w:tcW w:w="8640" w:type="dxa"/>
            <w:vAlign w:val="bottom"/>
          </w:tcPr>
          <w:p>
            <w:pPr>
              <w:ind w:left="20"/>
              <w:spacing w:after="0"/>
              <w:rPr>
                <w:sz w:val="20"/>
                <w:szCs w:val="20"/>
                <w:color w:val="auto"/>
              </w:rPr>
            </w:pPr>
            <w:r>
              <w:rPr>
                <w:rFonts w:ascii="Arial" w:cs="Arial" w:eastAsia="Arial" w:hAnsi="Arial"/>
                <w:sz w:val="13"/>
                <w:szCs w:val="13"/>
                <w:b w:val="1"/>
                <w:bCs w:val="1"/>
                <w:color w:val="1252DE"/>
              </w:rPr>
              <w:t>Contingencies, commitments and guarantees (See Note 12)</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8640" w:type="dxa"/>
            <w:vAlign w:val="bottom"/>
          </w:tcPr>
          <w:p>
            <w:pPr>
              <w:ind w:left="20"/>
              <w:spacing w:after="0"/>
              <w:rPr>
                <w:sz w:val="20"/>
                <w:szCs w:val="20"/>
                <w:color w:val="auto"/>
              </w:rPr>
            </w:pPr>
            <w:r>
              <w:rPr>
                <w:rFonts w:ascii="Arial" w:cs="Arial" w:eastAsia="Arial" w:hAnsi="Arial"/>
                <w:sz w:val="13"/>
                <w:szCs w:val="13"/>
                <w:b w:val="1"/>
                <w:bCs w:val="1"/>
                <w:color w:val="1252DE"/>
              </w:rPr>
              <w:t>AIG shareholders’ equity:</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8640" w:type="dxa"/>
            <w:vAlign w:val="bottom"/>
          </w:tcPr>
          <w:p>
            <w:pPr>
              <w:ind w:left="140"/>
              <w:spacing w:after="0"/>
              <w:rPr>
                <w:sz w:val="20"/>
                <w:szCs w:val="20"/>
                <w:color w:val="auto"/>
              </w:rPr>
            </w:pPr>
            <w:r>
              <w:rPr>
                <w:rFonts w:ascii="Arial" w:cs="Arial" w:eastAsia="Arial" w:hAnsi="Arial"/>
                <w:sz w:val="13"/>
                <w:szCs w:val="13"/>
                <w:color w:val="auto"/>
              </w:rPr>
              <w:t>Common stock, $2.50 par value; 5,000,000,000 shares authorized; shares issued: 2026 - 1,906,671,492 and 2025 - 1,906,671,492</w:t>
            </w:r>
          </w:p>
        </w:tc>
        <w:tc>
          <w:tcPr>
            <w:tcW w:w="480" w:type="dxa"/>
            <w:vAlign w:val="bottom"/>
          </w:tcPr>
          <w:p>
            <w:pPr>
              <w:spacing w:after="0"/>
              <w:rPr>
                <w:sz w:val="16"/>
                <w:szCs w:val="16"/>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4,766</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4,766</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Treasury stock, at cost; 2026 - 1,387,952,697 shares; 2025 - 1,368,489,324 shares of common stock</w:t>
            </w:r>
          </w:p>
        </w:tc>
        <w:tc>
          <w:tcPr>
            <w:tcW w:w="48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b w:val="1"/>
                <w:bCs w:val="1"/>
                <w:color w:val="1252DE"/>
              </w:rPr>
              <w:t>(72,774)</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(71,199)</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75,380</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75,373</w:t>
            </w:r>
          </w:p>
        </w:tc>
      </w:tr>
      <w:tr>
        <w:trPr>
          <w:trHeight w:val="175"/>
        </w:trPr>
        <w:tc>
          <w:tcPr>
            <w:tcW w:w="864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48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38,965</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37,186</w:t>
            </w:r>
          </w:p>
        </w:tc>
      </w:tr>
      <w:tr>
        <w:trPr>
          <w:trHeight w:val="180"/>
        </w:trPr>
        <w:tc>
          <w:tcPr>
            <w:tcW w:w="864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Accumulated other comprehensive loss</w:t>
            </w:r>
          </w:p>
        </w:tc>
        <w:tc>
          <w:tcPr>
            <w:tcW w:w="480" w:type="dxa"/>
            <w:vAlign w:val="bottom"/>
            <w:tcBorders>
              <w:bottom w:val="single" w:sz="8" w:color="1352DE"/>
            </w:tcBorders>
          </w:tcPr>
          <w:p>
            <w:pPr>
              <w:spacing w:after="0"/>
              <w:rPr>
                <w:sz w:val="15"/>
                <w:szCs w:val="15"/>
                <w:color w:val="auto"/>
              </w:rPr>
            </w:pPr>
          </w:p>
        </w:tc>
        <w:tc>
          <w:tcPr>
            <w:tcW w:w="102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(7,454)</w:t>
            </w:r>
          </w:p>
        </w:tc>
        <w:tc>
          <w:tcPr>
            <w:tcW w:w="22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(4,987)</w:t>
            </w:r>
          </w:p>
        </w:tc>
      </w:tr>
      <w:tr>
        <w:trPr>
          <w:trHeight w:val="169"/>
        </w:trPr>
        <w:tc>
          <w:tcPr>
            <w:tcW w:w="8640" w:type="dxa"/>
            <w:vAlign w:val="bottom"/>
          </w:tcPr>
          <w:p>
            <w:pPr>
              <w:ind w:left="20"/>
              <w:spacing w:after="0"/>
              <w:rPr>
                <w:sz w:val="20"/>
                <w:szCs w:val="20"/>
                <w:color w:val="auto"/>
              </w:rPr>
            </w:pPr>
            <w:r>
              <w:rPr>
                <w:rFonts w:ascii="Arial" w:cs="Arial" w:eastAsia="Arial" w:hAnsi="Arial"/>
                <w:sz w:val="13"/>
                <w:szCs w:val="13"/>
                <w:b w:val="1"/>
                <w:bCs w:val="1"/>
                <w:color w:val="1252DE"/>
              </w:rPr>
              <w:t>Total AIG shareholders’ equity</w:t>
            </w:r>
          </w:p>
        </w:tc>
        <w:tc>
          <w:tcPr>
            <w:tcW w:w="48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1252DE"/>
              </w:rPr>
              <w:t>38,883</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41,139</w:t>
            </w:r>
          </w:p>
        </w:tc>
      </w:tr>
      <w:tr>
        <w:trPr>
          <w:trHeight w:val="176"/>
        </w:trPr>
        <w:tc>
          <w:tcPr>
            <w:tcW w:w="864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3051F2"/>
              </w:rPr>
              <w:t>Non-redeemable noncontrolling interests</w:t>
            </w:r>
          </w:p>
        </w:tc>
        <w:tc>
          <w:tcPr>
            <w:tcW w:w="480" w:type="dxa"/>
            <w:vAlign w:val="bottom"/>
            <w:tcBorders>
              <w:bottom w:val="single" w:sz="8" w:color="1352DE"/>
            </w:tcBorders>
          </w:tcPr>
          <w:p>
            <w:pPr>
              <w:spacing w:after="0"/>
              <w:rPr>
                <w:sz w:val="15"/>
                <w:szCs w:val="15"/>
                <w:color w:val="auto"/>
              </w:rPr>
            </w:pPr>
          </w:p>
        </w:tc>
        <w:tc>
          <w:tcPr>
            <w:tcW w:w="102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b w:val="1"/>
                <w:bCs w:val="1"/>
                <w:color w:val="1252DE"/>
              </w:rPr>
              <w:t>26</w:t>
            </w:r>
          </w:p>
        </w:tc>
        <w:tc>
          <w:tcPr>
            <w:tcW w:w="22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23</w:t>
            </w:r>
          </w:p>
        </w:tc>
      </w:tr>
      <w:tr>
        <w:trPr>
          <w:trHeight w:val="171"/>
        </w:trPr>
        <w:tc>
          <w:tcPr>
            <w:tcW w:w="864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Total equity</w:t>
            </w:r>
          </w:p>
        </w:tc>
        <w:tc>
          <w:tcPr>
            <w:tcW w:w="480" w:type="dxa"/>
            <w:vAlign w:val="bottom"/>
            <w:tcBorders>
              <w:bottom w:val="single" w:sz="8" w:color="1352DE"/>
            </w:tcBorders>
          </w:tcPr>
          <w:p>
            <w:pPr>
              <w:spacing w:after="0"/>
              <w:rPr>
                <w:sz w:val="14"/>
                <w:szCs w:val="14"/>
                <w:color w:val="auto"/>
              </w:rPr>
            </w:pPr>
          </w:p>
        </w:tc>
        <w:tc>
          <w:tcPr>
            <w:tcW w:w="102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b w:val="1"/>
                <w:bCs w:val="1"/>
                <w:color w:val="1252DE"/>
              </w:rPr>
              <w:t>38,909</w:t>
            </w:r>
          </w:p>
        </w:tc>
        <w:tc>
          <w:tcPr>
            <w:tcW w:w="220" w:type="dxa"/>
            <w:vAlign w:val="bottom"/>
            <w:tcBorders>
              <w:bottom w:val="single" w:sz="8" w:color="1352DE"/>
            </w:tcBorders>
          </w:tcPr>
          <w:p>
            <w:pPr>
              <w:spacing w:after="0"/>
              <w:rPr>
                <w:sz w:val="14"/>
                <w:szCs w:val="14"/>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41,162</w:t>
            </w:r>
          </w:p>
        </w:tc>
      </w:tr>
      <w:tr>
        <w:trPr>
          <w:trHeight w:val="169"/>
        </w:trPr>
        <w:tc>
          <w:tcPr>
            <w:tcW w:w="864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3051F2"/>
              </w:rPr>
              <w:t>Total liabilities and equity</w:t>
            </w:r>
          </w:p>
        </w:tc>
        <w:tc>
          <w:tcPr>
            <w:tcW w:w="48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w:t>
            </w:r>
          </w:p>
        </w:tc>
        <w:tc>
          <w:tcPr>
            <w:tcW w:w="102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b w:val="1"/>
                <w:bCs w:val="1"/>
                <w:color w:val="1252DE"/>
              </w:rPr>
              <w:t>161,861</w:t>
            </w: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001770"/>
              </w:rPr>
              <w:t>$</w:t>
            </w: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161,254</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24771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760" w:hanging="734"/>
        <w:spacing w:after="0"/>
        <w:tabs>
          <w:tab w:leader="none" w:pos="760" w:val="left"/>
        </w:tabs>
        <w:numPr>
          <w:ilvl w:val="0"/>
          <w:numId w:val="3"/>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234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7"/>
          <w:szCs w:val="27"/>
          <w:color w:val="001871"/>
        </w:rPr>
        <w:t>American International Group, Inc.</w:t>
      </w:r>
    </w:p>
    <w:p>
      <w:pPr>
        <w:spacing w:after="0"/>
        <w:rPr>
          <w:sz w:val="20"/>
          <w:szCs w:val="20"/>
          <w:color w:val="auto"/>
        </w:rPr>
      </w:pPr>
      <w:r>
        <w:rPr>
          <w:rFonts w:ascii="Arial" w:cs="Arial" w:eastAsia="Arial" w:hAnsi="Arial"/>
          <w:sz w:val="27"/>
          <w:szCs w:val="27"/>
          <w:color w:val="001770"/>
        </w:rPr>
        <w:t xml:space="preserve">Condensed Consolidated Statements of Income (Loss) </w:t>
      </w:r>
      <w:r>
        <w:rPr>
          <w:rFonts w:ascii="Arial" w:cs="Arial" w:eastAsia="Arial" w:hAnsi="Arial"/>
          <w:sz w:val="17"/>
          <w:szCs w:val="17"/>
          <w:i w:val="1"/>
          <w:iCs w:val="1"/>
          <w:color w:val="001770"/>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center"/>
              <w:ind w:right="480"/>
              <w:spacing w:after="0"/>
              <w:rPr>
                <w:sz w:val="20"/>
                <w:szCs w:val="20"/>
                <w:color w:val="auto"/>
              </w:rPr>
            </w:pPr>
            <w:r>
              <w:rPr>
                <w:rFonts w:ascii="Arial" w:cs="Arial" w:eastAsia="Arial" w:hAnsi="Arial"/>
                <w:sz w:val="13"/>
                <w:szCs w:val="13"/>
                <w:color w:val="1252DE"/>
              </w:rPr>
              <w:t>Three Months Ended</w:t>
            </w:r>
          </w:p>
        </w:tc>
        <w:tc>
          <w:tcPr>
            <w:tcW w:w="320" w:type="dxa"/>
            <w:vAlign w:val="bottom"/>
          </w:tcPr>
          <w:p>
            <w:pPr>
              <w:spacing w:after="0"/>
              <w:rPr>
                <w:sz w:val="13"/>
                <w:szCs w:val="13"/>
                <w:color w:val="auto"/>
              </w:rPr>
            </w:pPr>
          </w:p>
        </w:tc>
        <w:tc>
          <w:tcPr>
            <w:tcW w:w="2140" w:type="dxa"/>
            <w:vAlign w:val="bottom"/>
            <w:gridSpan w:val="3"/>
          </w:tcPr>
          <w:p>
            <w:pPr>
              <w:jc w:val="right"/>
              <w:ind w:right="553"/>
              <w:spacing w:after="0"/>
              <w:rPr>
                <w:sz w:val="20"/>
                <w:szCs w:val="20"/>
                <w:color w:val="auto"/>
              </w:rPr>
            </w:pPr>
            <w:r>
              <w:rPr>
                <w:rFonts w:ascii="Arial" w:cs="Arial" w:eastAsia="Arial" w:hAnsi="Arial"/>
                <w:sz w:val="13"/>
                <w:szCs w:val="13"/>
                <w:color w:val="1252DE"/>
              </w:rPr>
              <w:t>Nine Months Ended</w:t>
            </w:r>
          </w:p>
        </w:tc>
      </w:tr>
      <w:tr>
        <w:trPr>
          <w:trHeight w:val="182"/>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4"/>
          </w:tcPr>
          <w:p>
            <w:pPr>
              <w:jc w:val="center"/>
              <w:ind w:right="460"/>
              <w:spacing w:after="0"/>
              <w:rPr>
                <w:sz w:val="20"/>
                <w:szCs w:val="20"/>
                <w:color w:val="auto"/>
              </w:rPr>
            </w:pPr>
            <w:r>
              <w:rPr>
                <w:rFonts w:ascii="Arial" w:cs="Arial" w:eastAsia="Arial" w:hAnsi="Arial"/>
                <w:sz w:val="13"/>
                <w:szCs w:val="13"/>
                <w:color w:val="1252DE"/>
              </w:rPr>
              <w:t>September 30,</w:t>
            </w:r>
          </w:p>
        </w:tc>
        <w:tc>
          <w:tcPr>
            <w:tcW w:w="320" w:type="dxa"/>
            <w:vAlign w:val="bottom"/>
          </w:tcPr>
          <w:p>
            <w:pPr>
              <w:spacing w:after="0"/>
              <w:rPr>
                <w:sz w:val="15"/>
                <w:szCs w:val="15"/>
                <w:color w:val="auto"/>
              </w:rPr>
            </w:pPr>
          </w:p>
        </w:tc>
        <w:tc>
          <w:tcPr>
            <w:tcW w:w="2140" w:type="dxa"/>
            <w:vAlign w:val="bottom"/>
            <w:gridSpan w:val="3"/>
          </w:tcPr>
          <w:p>
            <w:pPr>
              <w:jc w:val="right"/>
              <w:ind w:right="713"/>
              <w:spacing w:after="0"/>
              <w:rPr>
                <w:sz w:val="20"/>
                <w:szCs w:val="20"/>
                <w:color w:val="auto"/>
              </w:rPr>
            </w:pPr>
            <w:r>
              <w:rPr>
                <w:rFonts w:ascii="Arial" w:cs="Arial" w:eastAsia="Arial" w:hAnsi="Arial"/>
                <w:sz w:val="13"/>
                <w:szCs w:val="13"/>
                <w:color w:val="1252DE"/>
              </w:rPr>
              <w:t>September 30,</w:t>
            </w:r>
          </w:p>
        </w:tc>
      </w:tr>
      <w:tr>
        <w:trPr>
          <w:trHeight w:val="187"/>
        </w:trPr>
        <w:tc>
          <w:tcPr>
            <w:tcW w:w="616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(dollars in millions, except per common share data)</w:t>
            </w:r>
          </w:p>
        </w:tc>
        <w:tc>
          <w:tcPr>
            <w:tcW w:w="300" w:type="dxa"/>
            <w:vAlign w:val="bottom"/>
            <w:tcBorders>
              <w:top w:val="single" w:sz="8" w:color="1352DE"/>
              <w:bottom w:val="single" w:sz="8" w:color="1352DE"/>
            </w:tcBorders>
          </w:tcPr>
          <w:p>
            <w:pPr>
              <w:spacing w:after="0"/>
              <w:rPr>
                <w:sz w:val="16"/>
                <w:szCs w:val="16"/>
                <w:color w:val="auto"/>
              </w:rPr>
            </w:pPr>
          </w:p>
        </w:tc>
        <w:tc>
          <w:tcPr>
            <w:tcW w:w="980" w:type="dxa"/>
            <w:vAlign w:val="bottom"/>
            <w:tcBorders>
              <w:top w:val="single" w:sz="8" w:color="1352DE"/>
              <w:bottom w:val="single" w:sz="8" w:color="1352DE"/>
            </w:tcBorders>
          </w:tcPr>
          <w:p>
            <w:pPr>
              <w:jc w:val="right"/>
              <w:ind w:right="13"/>
              <w:spacing w:after="0"/>
              <w:rPr>
                <w:sz w:val="20"/>
                <w:szCs w:val="20"/>
                <w:color w:val="auto"/>
              </w:rPr>
            </w:pPr>
            <w:r>
              <w:rPr>
                <w:rFonts w:ascii="Arial" w:cs="Arial" w:eastAsia="Arial" w:hAnsi="Arial"/>
                <w:sz w:val="13"/>
                <w:szCs w:val="13"/>
                <w:b w:val="1"/>
                <w:bCs w:val="1"/>
                <w:color w:val="1252DE"/>
              </w:rPr>
              <w:t>2026</w:t>
            </w:r>
          </w:p>
        </w:tc>
        <w:tc>
          <w:tcPr>
            <w:tcW w:w="260" w:type="dxa"/>
            <w:vAlign w:val="bottom"/>
            <w:tcBorders>
              <w:top w:val="single" w:sz="8" w:color="1352DE"/>
              <w:bottom w:val="single" w:sz="8" w:color="1352DE"/>
            </w:tcBorders>
          </w:tcPr>
          <w:p>
            <w:pPr>
              <w:spacing w:after="0"/>
              <w:rPr>
                <w:sz w:val="16"/>
                <w:szCs w:val="16"/>
                <w:color w:val="auto"/>
              </w:rPr>
            </w:pPr>
          </w:p>
        </w:tc>
        <w:tc>
          <w:tcPr>
            <w:tcW w:w="9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color w:val="1252DE"/>
              </w:rPr>
              <w:t>2025</w:t>
            </w:r>
          </w:p>
        </w:tc>
        <w:tc>
          <w:tcPr>
            <w:tcW w:w="160" w:type="dxa"/>
            <w:vAlign w:val="bottom"/>
            <w:tcBorders>
              <w:bottom w:val="single" w:sz="8" w:color="1352DE"/>
            </w:tcBorders>
          </w:tcPr>
          <w:p>
            <w:pPr>
              <w:spacing w:after="0"/>
              <w:rPr>
                <w:sz w:val="16"/>
                <w:szCs w:val="16"/>
                <w:color w:val="auto"/>
              </w:rPr>
            </w:pPr>
          </w:p>
        </w:tc>
        <w:tc>
          <w:tcPr>
            <w:tcW w:w="320" w:type="dxa"/>
            <w:vAlign w:val="bottom"/>
            <w:tcBorders>
              <w:top w:val="single" w:sz="8" w:color="1352DE"/>
              <w:bottom w:val="single" w:sz="8" w:color="1352DE"/>
            </w:tcBorders>
          </w:tcPr>
          <w:p>
            <w:pPr>
              <w:spacing w:after="0"/>
              <w:rPr>
                <w:sz w:val="16"/>
                <w:szCs w:val="16"/>
                <w:color w:val="auto"/>
              </w:rPr>
            </w:pPr>
          </w:p>
        </w:tc>
        <w:tc>
          <w:tcPr>
            <w:tcW w:w="980" w:type="dxa"/>
            <w:vAlign w:val="bottom"/>
            <w:tcBorders>
              <w:top w:val="single" w:sz="8" w:color="1352DE"/>
              <w:bottom w:val="single" w:sz="8" w:color="1352DE"/>
            </w:tcBorders>
          </w:tcPr>
          <w:p>
            <w:pPr>
              <w:jc w:val="right"/>
              <w:ind w:right="13"/>
              <w:spacing w:after="0"/>
              <w:rPr>
                <w:sz w:val="20"/>
                <w:szCs w:val="20"/>
                <w:color w:val="auto"/>
              </w:rPr>
            </w:pPr>
            <w:r>
              <w:rPr>
                <w:rFonts w:ascii="Arial" w:cs="Arial" w:eastAsia="Arial" w:hAnsi="Arial"/>
                <w:sz w:val="13"/>
                <w:szCs w:val="13"/>
                <w:b w:val="1"/>
                <w:bCs w:val="1"/>
                <w:color w:val="1252DE"/>
              </w:rPr>
              <w:t>2026</w:t>
            </w:r>
          </w:p>
        </w:tc>
        <w:tc>
          <w:tcPr>
            <w:tcW w:w="260" w:type="dxa"/>
            <w:vAlign w:val="bottom"/>
            <w:tcBorders>
              <w:top w:val="single" w:sz="8" w:color="1352DE"/>
              <w:bottom w:val="single" w:sz="8" w:color="1352DE"/>
            </w:tcBorders>
          </w:tcPr>
          <w:p>
            <w:pPr>
              <w:spacing w:after="0"/>
              <w:rPr>
                <w:sz w:val="16"/>
                <w:szCs w:val="16"/>
                <w:color w:val="auto"/>
              </w:rPr>
            </w:pPr>
          </w:p>
        </w:tc>
        <w:tc>
          <w:tcPr>
            <w:tcW w:w="9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color w:val="1252DE"/>
              </w:rPr>
              <w:t>2025</w:t>
            </w:r>
          </w:p>
        </w:tc>
      </w:tr>
      <w:tr>
        <w:trPr>
          <w:trHeight w:val="181"/>
        </w:trPr>
        <w:tc>
          <w:tcPr>
            <w:tcW w:w="6160" w:type="dxa"/>
            <w:vAlign w:val="bottom"/>
          </w:tcPr>
          <w:p>
            <w:pPr>
              <w:ind w:left="20"/>
              <w:spacing w:after="0"/>
              <w:rPr>
                <w:sz w:val="20"/>
                <w:szCs w:val="20"/>
                <w:color w:val="auto"/>
              </w:rPr>
            </w:pPr>
            <w:r>
              <w:rPr>
                <w:rFonts w:ascii="Arial" w:cs="Arial" w:eastAsia="Arial" w:hAnsi="Arial"/>
                <w:sz w:val="13"/>
                <w:szCs w:val="13"/>
                <w:b w:val="1"/>
                <w:bCs w:val="1"/>
                <w:color w:val="1252DE"/>
              </w:rPr>
              <w:t>Revenues: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8"/>
        </w:trPr>
        <w:tc>
          <w:tcPr>
            <w:tcW w:w="6160" w:type="dxa"/>
            <w:vAlign w:val="bottom"/>
          </w:tcPr>
          <w:p>
            <w:pPr>
              <w:ind w:left="140"/>
              <w:spacing w:after="0"/>
              <w:rPr>
                <w:sz w:val="20"/>
                <w:szCs w:val="20"/>
                <w:color w:val="auto"/>
              </w:rPr>
            </w:pPr>
            <w:r>
              <w:rPr>
                <w:rFonts w:ascii="Arial" w:cs="Arial" w:eastAsia="Arial" w:hAnsi="Arial"/>
                <w:sz w:val="13"/>
                <w:szCs w:val="13"/>
                <w:color w:val="auto"/>
              </w:rPr>
              <w:t>Premiums</w:t>
            </w:r>
          </w:p>
        </w:tc>
        <w:tc>
          <w:tcPr>
            <w:tcW w:w="300" w:type="dxa"/>
            <w:vAlign w:val="bottom"/>
          </w:tcPr>
          <w:p>
            <w:pPr>
              <w:jc w:val="right"/>
              <w:ind w:right="33"/>
              <w:spacing w:after="0"/>
              <w:rPr>
                <w:sz w:val="20"/>
                <w:szCs w:val="20"/>
                <w:color w:val="auto"/>
              </w:rPr>
            </w:pPr>
            <w:r>
              <w:rPr>
                <w:rFonts w:ascii="Arial" w:cs="Arial" w:eastAsia="Arial" w:hAnsi="Arial"/>
                <w:sz w:val="13"/>
                <w:szCs w:val="13"/>
                <w:b w:val="1"/>
                <w:bCs w:val="1"/>
                <w:color w:val="1252DE"/>
              </w:rPr>
              <w:t>$</w:t>
            </w: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6,453</w:t>
            </w: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6,073</w:t>
            </w:r>
          </w:p>
        </w:tc>
        <w:tc>
          <w:tcPr>
            <w:tcW w:w="160" w:type="dxa"/>
            <w:vAlign w:val="bottom"/>
          </w:tcPr>
          <w:p>
            <w:pPr>
              <w:spacing w:after="0"/>
              <w:rPr>
                <w:sz w:val="16"/>
                <w:szCs w:val="16"/>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b w:val="1"/>
                <w:bCs w:val="1"/>
                <w:color w:val="1252DE"/>
              </w:rPr>
              <w:t>$</w:t>
            </w: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18,746</w:t>
            </w:r>
          </w:p>
        </w:tc>
        <w:tc>
          <w:tcPr>
            <w:tcW w:w="2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17,720</w:t>
            </w:r>
          </w:p>
        </w:tc>
      </w:tr>
      <w:tr>
        <w:trPr>
          <w:trHeight w:val="181"/>
        </w:trPr>
        <w:tc>
          <w:tcPr>
            <w:tcW w:w="6160" w:type="dxa"/>
            <w:vAlign w:val="bottom"/>
          </w:tcPr>
          <w:p>
            <w:pPr>
              <w:ind w:left="140"/>
              <w:spacing w:after="0"/>
              <w:rPr>
                <w:sz w:val="20"/>
                <w:szCs w:val="20"/>
                <w:color w:val="auto"/>
              </w:rPr>
            </w:pPr>
            <w:r>
              <w:rPr>
                <w:rFonts w:ascii="Arial" w:cs="Arial" w:eastAsia="Arial" w:hAnsi="Arial"/>
                <w:sz w:val="13"/>
                <w:szCs w:val="13"/>
                <w:color w:val="auto"/>
              </w:rPr>
              <w:t>Net investment income: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7"/>
        </w:trPr>
        <w:tc>
          <w:tcPr>
            <w:tcW w:w="6160" w:type="dxa"/>
            <w:vAlign w:val="bottom"/>
          </w:tcPr>
          <w:p>
            <w:pPr>
              <w:ind w:left="240"/>
              <w:spacing w:after="0"/>
              <w:rPr>
                <w:sz w:val="20"/>
                <w:szCs w:val="20"/>
                <w:color w:val="auto"/>
              </w:rPr>
            </w:pPr>
            <w:r>
              <w:rPr>
                <w:rFonts w:ascii="Arial" w:cs="Arial" w:eastAsia="Arial" w:hAnsi="Arial"/>
                <w:sz w:val="13"/>
                <w:szCs w:val="13"/>
                <w:color w:val="auto"/>
              </w:rPr>
              <w:t>Net investment income - excluding Fortitude Re funds withheld assets</w:t>
            </w:r>
          </w:p>
        </w:tc>
        <w:tc>
          <w:tcPr>
            <w:tcW w:w="300" w:type="dxa"/>
            <w:vAlign w:val="bottom"/>
          </w:tcPr>
          <w:p>
            <w:pPr>
              <w:spacing w:after="0"/>
              <w:rPr>
                <w:sz w:val="17"/>
                <w:szCs w:val="17"/>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1,084</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2,864</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3,235</w:t>
            </w:r>
          </w:p>
        </w:tc>
      </w:tr>
      <w:tr>
        <w:trPr>
          <w:trHeight w:val="191"/>
        </w:trPr>
        <w:tc>
          <w:tcPr>
            <w:tcW w:w="6160" w:type="dxa"/>
            <w:vAlign w:val="bottom"/>
            <w:tcBorders>
              <w:bottom w:val="single" w:sz="8" w:color="1352DE"/>
            </w:tcBorders>
          </w:tcPr>
          <w:p>
            <w:pPr>
              <w:ind w:left="240"/>
              <w:spacing w:after="0"/>
              <w:rPr>
                <w:sz w:val="20"/>
                <w:szCs w:val="20"/>
                <w:color w:val="auto"/>
              </w:rPr>
            </w:pPr>
            <w:r>
              <w:rPr>
                <w:rFonts w:ascii="Arial" w:cs="Arial" w:eastAsia="Arial" w:hAnsi="Arial"/>
                <w:sz w:val="13"/>
                <w:szCs w:val="13"/>
                <w:color w:val="auto"/>
              </w:rPr>
              <w:t>Net investment income - Fortitude Re funds withheld assets</w:t>
            </w:r>
          </w:p>
        </w:tc>
        <w:tc>
          <w:tcPr>
            <w:tcW w:w="30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16</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29</w:t>
            </w:r>
          </w:p>
        </w:tc>
        <w:tc>
          <w:tcPr>
            <w:tcW w:w="160" w:type="dxa"/>
            <w:vAlign w:val="bottom"/>
            <w:tcBorders>
              <w:bottom w:val="single" w:sz="8" w:color="1352DE"/>
            </w:tcBorders>
          </w:tcPr>
          <w:p>
            <w:pPr>
              <w:spacing w:after="0"/>
              <w:rPr>
                <w:sz w:val="16"/>
                <w:szCs w:val="16"/>
                <w:color w:val="auto"/>
              </w:rPr>
            </w:pPr>
          </w:p>
        </w:tc>
        <w:tc>
          <w:tcPr>
            <w:tcW w:w="32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75</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108</w:t>
            </w:r>
          </w:p>
        </w:tc>
      </w:tr>
      <w:tr>
        <w:trPr>
          <w:trHeight w:val="182"/>
        </w:trPr>
        <w:tc>
          <w:tcPr>
            <w:tcW w:w="6160" w:type="dxa"/>
            <w:vAlign w:val="bottom"/>
          </w:tcPr>
          <w:p>
            <w:pPr>
              <w:ind w:left="360"/>
              <w:spacing w:after="0"/>
              <w:rPr>
                <w:sz w:val="20"/>
                <w:szCs w:val="20"/>
                <w:color w:val="auto"/>
              </w:rPr>
            </w:pPr>
            <w:r>
              <w:rPr>
                <w:rFonts w:ascii="Arial" w:cs="Arial" w:eastAsia="Arial" w:hAnsi="Arial"/>
                <w:sz w:val="13"/>
                <w:szCs w:val="13"/>
                <w:color w:val="auto"/>
              </w:rPr>
              <w:t>Total net investment income</w:t>
            </w: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1,100</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2,939</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3,343</w:t>
            </w:r>
          </w:p>
        </w:tc>
      </w:tr>
      <w:tr>
        <w:trPr>
          <w:trHeight w:val="180"/>
        </w:trPr>
        <w:tc>
          <w:tcPr>
            <w:tcW w:w="6160" w:type="dxa"/>
            <w:vAlign w:val="bottom"/>
          </w:tcPr>
          <w:p>
            <w:pPr>
              <w:ind w:left="140"/>
              <w:spacing w:after="0"/>
              <w:rPr>
                <w:sz w:val="20"/>
                <w:szCs w:val="20"/>
                <w:color w:val="auto"/>
              </w:rPr>
            </w:pPr>
            <w:r>
              <w:rPr>
                <w:rFonts w:ascii="Arial" w:cs="Arial" w:eastAsia="Arial" w:hAnsi="Arial"/>
                <w:sz w:val="13"/>
                <w:szCs w:val="13"/>
                <w:color w:val="auto"/>
              </w:rPr>
              <w:t>Net realized gains (losses):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7"/>
        </w:trPr>
        <w:tc>
          <w:tcPr>
            <w:tcW w:w="6160" w:type="dxa"/>
            <w:vAlign w:val="bottom"/>
          </w:tcPr>
          <w:p>
            <w:pPr>
              <w:ind w:left="240"/>
              <w:spacing w:after="0"/>
              <w:rPr>
                <w:sz w:val="20"/>
                <w:szCs w:val="20"/>
                <w:color w:val="auto"/>
              </w:rPr>
            </w:pPr>
            <w:r>
              <w:rPr>
                <w:rFonts w:ascii="Arial" w:cs="Arial" w:eastAsia="Arial" w:hAnsi="Arial"/>
                <w:sz w:val="13"/>
                <w:szCs w:val="13"/>
                <w:color w:val="auto"/>
              </w:rPr>
              <w:t>Net realized losses - excluding Fortitude Re funds withheld assets and embedded derivative</w:t>
            </w:r>
          </w:p>
        </w:tc>
        <w:tc>
          <w:tcPr>
            <w:tcW w:w="30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1252DE"/>
              </w:rPr>
              <w:t>(167)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1252DE"/>
              </w:rPr>
              <w:t>(507)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(683)</w:t>
            </w:r>
          </w:p>
        </w:tc>
      </w:tr>
      <w:tr>
        <w:trPr>
          <w:trHeight w:val="189"/>
        </w:trPr>
        <w:tc>
          <w:tcPr>
            <w:tcW w:w="6160" w:type="dxa"/>
            <w:vAlign w:val="bottom"/>
          </w:tcPr>
          <w:p>
            <w:pPr>
              <w:ind w:left="240"/>
              <w:spacing w:after="0"/>
              <w:rPr>
                <w:sz w:val="20"/>
                <w:szCs w:val="20"/>
                <w:color w:val="auto"/>
              </w:rPr>
            </w:pPr>
            <w:r>
              <w:rPr>
                <w:rFonts w:ascii="Arial" w:cs="Arial" w:eastAsia="Arial" w:hAnsi="Arial"/>
                <w:sz w:val="13"/>
                <w:szCs w:val="13"/>
                <w:color w:val="auto"/>
              </w:rPr>
              <w:t>Net realized losses on Fortitude Re funds withheld assets</w:t>
            </w:r>
          </w:p>
        </w:tc>
        <w:tc>
          <w:tcPr>
            <w:tcW w:w="30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1252DE"/>
              </w:rPr>
              <w:t>(28)</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1252DE"/>
              </w:rPr>
              <w:t>(47)</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91"/>
        </w:trPr>
        <w:tc>
          <w:tcPr>
            <w:tcW w:w="6160" w:type="dxa"/>
            <w:vAlign w:val="bottom"/>
            <w:tcBorders>
              <w:bottom w:val="single" w:sz="8" w:color="1352DE"/>
            </w:tcBorders>
          </w:tcPr>
          <w:p>
            <w:pPr>
              <w:ind w:left="240"/>
              <w:spacing w:after="0"/>
              <w:rPr>
                <w:sz w:val="20"/>
                <w:szCs w:val="20"/>
                <w:color w:val="auto"/>
              </w:rPr>
            </w:pPr>
            <w:r>
              <w:rPr>
                <w:rFonts w:ascii="Arial" w:cs="Arial" w:eastAsia="Arial" w:hAnsi="Arial"/>
                <w:sz w:val="13"/>
                <w:szCs w:val="13"/>
                <w:color w:val="auto"/>
              </w:rPr>
              <w:t>Net realized gains (losses) on Fortitude Re funds withheld embedded derivative</w:t>
            </w:r>
          </w:p>
        </w:tc>
        <w:tc>
          <w:tcPr>
            <w:tcW w:w="30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85</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(54)</w:t>
            </w:r>
          </w:p>
        </w:tc>
        <w:tc>
          <w:tcPr>
            <w:tcW w:w="160" w:type="dxa"/>
            <w:vAlign w:val="bottom"/>
            <w:tcBorders>
              <w:bottom w:val="single" w:sz="8" w:color="1352DE"/>
            </w:tcBorders>
          </w:tcPr>
          <w:p>
            <w:pPr>
              <w:spacing w:after="0"/>
              <w:rPr>
                <w:sz w:val="16"/>
                <w:szCs w:val="16"/>
                <w:color w:val="auto"/>
              </w:rPr>
            </w:pPr>
          </w:p>
        </w:tc>
        <w:tc>
          <w:tcPr>
            <w:tcW w:w="32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44</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(109)</w:t>
            </w:r>
          </w:p>
        </w:tc>
      </w:tr>
      <w:tr>
        <w:trPr>
          <w:trHeight w:val="182"/>
        </w:trPr>
        <w:tc>
          <w:tcPr>
            <w:tcW w:w="6160" w:type="dxa"/>
            <w:vAlign w:val="bottom"/>
          </w:tcPr>
          <w:p>
            <w:pPr>
              <w:ind w:left="360"/>
              <w:spacing w:after="0"/>
              <w:rPr>
                <w:sz w:val="20"/>
                <w:szCs w:val="20"/>
                <w:color w:val="auto"/>
              </w:rPr>
            </w:pPr>
            <w:r>
              <w:rPr>
                <w:rFonts w:ascii="Arial" w:cs="Arial" w:eastAsia="Arial" w:hAnsi="Arial"/>
                <w:sz w:val="13"/>
                <w:szCs w:val="13"/>
                <w:color w:val="auto"/>
              </w:rPr>
              <w:t>Total net realized losses</w:t>
            </w:r>
          </w:p>
        </w:tc>
        <w:tc>
          <w:tcPr>
            <w:tcW w:w="300" w:type="dxa"/>
            <w:vAlign w:val="bottom"/>
          </w:tcPr>
          <w:p>
            <w:pPr>
              <w:spacing w:after="0"/>
              <w:rPr>
                <w:sz w:val="15"/>
                <w:szCs w:val="15"/>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1252DE"/>
              </w:rPr>
              <w:t>(110)</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1252DE"/>
              </w:rPr>
              <w:t>(510)</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(851)</w:t>
            </w:r>
          </w:p>
        </w:tc>
      </w:tr>
      <w:tr>
        <w:trPr>
          <w:trHeight w:val="190"/>
        </w:trPr>
        <w:tc>
          <w:tcPr>
            <w:tcW w:w="616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Other income (loss)</w:t>
            </w:r>
          </w:p>
        </w:tc>
        <w:tc>
          <w:tcPr>
            <w:tcW w:w="30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w:t>
            </w:r>
          </w:p>
        </w:tc>
        <w:tc>
          <w:tcPr>
            <w:tcW w:w="160" w:type="dxa"/>
            <w:vAlign w:val="bottom"/>
            <w:tcBorders>
              <w:bottom w:val="single" w:sz="8" w:color="1352DE"/>
            </w:tcBorders>
          </w:tcPr>
          <w:p>
            <w:pPr>
              <w:spacing w:after="0"/>
              <w:rPr>
                <w:sz w:val="16"/>
                <w:szCs w:val="16"/>
                <w:color w:val="auto"/>
              </w:rPr>
            </w:pPr>
          </w:p>
        </w:tc>
        <w:tc>
          <w:tcPr>
            <w:tcW w:w="32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3</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13</w:t>
            </w:r>
          </w:p>
        </w:tc>
      </w:tr>
      <w:tr>
        <w:trPr>
          <w:trHeight w:val="183"/>
        </w:trPr>
        <w:tc>
          <w:tcPr>
            <w:tcW w:w="616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Total revenues</w:t>
            </w:r>
          </w:p>
        </w:tc>
        <w:tc>
          <w:tcPr>
            <w:tcW w:w="300" w:type="dxa"/>
            <w:vAlign w:val="bottom"/>
            <w:tcBorders>
              <w:bottom w:val="single" w:sz="8" w:color="1352DE"/>
            </w:tcBorders>
          </w:tcPr>
          <w:p>
            <w:pPr>
              <w:spacing w:after="0"/>
              <w:rPr>
                <w:sz w:val="15"/>
                <w:szCs w:val="15"/>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7,443</w:t>
            </w:r>
          </w:p>
        </w:tc>
        <w:tc>
          <w:tcPr>
            <w:tcW w:w="26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6,351</w:t>
            </w:r>
          </w:p>
        </w:tc>
        <w:tc>
          <w:tcPr>
            <w:tcW w:w="160" w:type="dxa"/>
            <w:vAlign w:val="bottom"/>
            <w:tcBorders>
              <w:bottom w:val="single" w:sz="8" w:color="1352DE"/>
            </w:tcBorders>
          </w:tcPr>
          <w:p>
            <w:pPr>
              <w:spacing w:after="0"/>
              <w:rPr>
                <w:sz w:val="15"/>
                <w:szCs w:val="15"/>
                <w:color w:val="auto"/>
              </w:rPr>
            </w:pPr>
          </w:p>
        </w:tc>
        <w:tc>
          <w:tcPr>
            <w:tcW w:w="320" w:type="dxa"/>
            <w:vAlign w:val="bottom"/>
            <w:tcBorders>
              <w:bottom w:val="single" w:sz="8" w:color="1352DE"/>
            </w:tcBorders>
          </w:tcPr>
          <w:p>
            <w:pPr>
              <w:spacing w:after="0"/>
              <w:rPr>
                <w:sz w:val="15"/>
                <w:szCs w:val="15"/>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21,178</w:t>
            </w:r>
          </w:p>
        </w:tc>
        <w:tc>
          <w:tcPr>
            <w:tcW w:w="26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20,225</w:t>
            </w:r>
          </w:p>
        </w:tc>
      </w:tr>
      <w:tr>
        <w:trPr>
          <w:trHeight w:val="181"/>
        </w:trPr>
        <w:tc>
          <w:tcPr>
            <w:tcW w:w="6160" w:type="dxa"/>
            <w:vAlign w:val="bottom"/>
          </w:tcPr>
          <w:p>
            <w:pPr>
              <w:ind w:left="20"/>
              <w:spacing w:after="0"/>
              <w:rPr>
                <w:sz w:val="20"/>
                <w:szCs w:val="20"/>
                <w:color w:val="auto"/>
              </w:rPr>
            </w:pPr>
            <w:r>
              <w:rPr>
                <w:rFonts w:ascii="Arial" w:cs="Arial" w:eastAsia="Arial" w:hAnsi="Arial"/>
                <w:sz w:val="13"/>
                <w:szCs w:val="13"/>
                <w:b w:val="1"/>
                <w:bCs w:val="1"/>
                <w:color w:val="1252DE"/>
              </w:rPr>
              <w:t>Benefits, losses and expenses: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8"/>
        </w:trPr>
        <w:tc>
          <w:tcPr>
            <w:tcW w:w="6160" w:type="dxa"/>
            <w:vAlign w:val="bottom"/>
          </w:tcPr>
          <w:p>
            <w:pPr>
              <w:ind w:left="140"/>
              <w:spacing w:after="0"/>
              <w:rPr>
                <w:sz w:val="20"/>
                <w:szCs w:val="20"/>
                <w:color w:val="auto"/>
              </w:rPr>
            </w:pPr>
            <w:r>
              <w:rPr>
                <w:rFonts w:ascii="Arial" w:cs="Arial" w:eastAsia="Arial" w:hAnsi="Arial"/>
                <w:sz w:val="13"/>
                <w:szCs w:val="13"/>
                <w:color w:val="auto"/>
              </w:rPr>
              <w:t>Losses and loss adjustment expenses incurred</w:t>
            </w:r>
          </w:p>
        </w:tc>
        <w:tc>
          <w:tcPr>
            <w:tcW w:w="30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4,023</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3,391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11,082</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10,678</w:t>
            </w:r>
          </w:p>
        </w:tc>
      </w:tr>
      <w:tr>
        <w:trPr>
          <w:trHeight w:val="189"/>
        </w:trPr>
        <w:tc>
          <w:tcPr>
            <w:tcW w:w="6160" w:type="dxa"/>
            <w:vAlign w:val="bottom"/>
          </w:tcPr>
          <w:p>
            <w:pPr>
              <w:ind w:left="140"/>
              <w:spacing w:after="0"/>
              <w:rPr>
                <w:sz w:val="20"/>
                <w:szCs w:val="20"/>
                <w:color w:val="auto"/>
              </w:rPr>
            </w:pPr>
            <w:r>
              <w:rPr>
                <w:rFonts w:ascii="Arial" w:cs="Arial" w:eastAsia="Arial" w:hAnsi="Arial"/>
                <w:sz w:val="13"/>
                <w:szCs w:val="13"/>
                <w:color w:val="auto"/>
              </w:rPr>
              <w:t>Amortization of deferred policy acquisition costs</w:t>
            </w:r>
          </w:p>
        </w:tc>
        <w:tc>
          <w:tcPr>
            <w:tcW w:w="30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934</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2,658</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2,522</w:t>
            </w:r>
          </w:p>
        </w:tc>
      </w:tr>
      <w:tr>
        <w:trPr>
          <w:trHeight w:val="189"/>
        </w:trPr>
        <w:tc>
          <w:tcPr>
            <w:tcW w:w="6160" w:type="dxa"/>
            <w:vAlign w:val="bottom"/>
          </w:tcPr>
          <w:p>
            <w:pPr>
              <w:ind w:left="140"/>
              <w:spacing w:after="0"/>
              <w:rPr>
                <w:sz w:val="20"/>
                <w:szCs w:val="20"/>
                <w:color w:val="auto"/>
              </w:rPr>
            </w:pPr>
            <w:r>
              <w:rPr>
                <w:rFonts w:ascii="Arial" w:cs="Arial" w:eastAsia="Arial" w:hAnsi="Arial"/>
                <w:sz w:val="13"/>
                <w:szCs w:val="13"/>
                <w:color w:val="auto"/>
              </w:rPr>
              <w:t>General operating and other expenses</w:t>
            </w:r>
          </w:p>
        </w:tc>
        <w:tc>
          <w:tcPr>
            <w:tcW w:w="30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1,266</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1,297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3,634</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3,574</w:t>
            </w:r>
          </w:p>
        </w:tc>
      </w:tr>
      <w:tr>
        <w:trPr>
          <w:trHeight w:val="189"/>
        </w:trPr>
        <w:tc>
          <w:tcPr>
            <w:tcW w:w="616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101</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301</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291</w:t>
            </w:r>
          </w:p>
        </w:tc>
      </w:tr>
      <w:tr>
        <w:trPr>
          <w:trHeight w:val="189"/>
        </w:trPr>
        <w:tc>
          <w:tcPr>
            <w:tcW w:w="6160" w:type="dxa"/>
            <w:vAlign w:val="bottom"/>
          </w:tcPr>
          <w:p>
            <w:pPr>
              <w:ind w:left="140"/>
              <w:spacing w:after="0"/>
              <w:rPr>
                <w:sz w:val="20"/>
                <w:szCs w:val="20"/>
                <w:color w:val="auto"/>
              </w:rPr>
            </w:pPr>
            <w:r>
              <w:rPr>
                <w:rFonts w:ascii="Arial" w:cs="Arial" w:eastAsia="Arial" w:hAnsi="Arial"/>
                <w:sz w:val="13"/>
                <w:szCs w:val="13"/>
                <w:color w:val="auto"/>
              </w:rPr>
              <w:t>(Gain) loss on extinguishment of debt</w:t>
            </w:r>
          </w:p>
        </w:tc>
        <w:tc>
          <w:tcPr>
            <w:tcW w:w="30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w:t>
            </w:r>
          </w:p>
        </w:tc>
        <w:tc>
          <w:tcPr>
            <w:tcW w:w="2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91"/>
        </w:trPr>
        <w:tc>
          <w:tcPr>
            <w:tcW w:w="616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Net (gain) loss on divestitures and other</w:t>
            </w:r>
          </w:p>
        </w:tc>
        <w:tc>
          <w:tcPr>
            <w:tcW w:w="30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w:t>
            </w:r>
          </w:p>
        </w:tc>
        <w:tc>
          <w:tcPr>
            <w:tcW w:w="260" w:type="dxa"/>
            <w:vAlign w:val="bottom"/>
            <w:tcBorders>
              <w:bottom w:val="single" w:sz="8" w:color="1352DE"/>
            </w:tcBorders>
          </w:tcPr>
          <w:p>
            <w:pPr>
              <w:spacing w:after="0"/>
              <w:rPr>
                <w:sz w:val="16"/>
                <w:szCs w:val="16"/>
                <w:color w:val="auto"/>
              </w:rPr>
            </w:pPr>
          </w:p>
        </w:tc>
        <w:tc>
          <w:tcPr>
            <w:tcW w:w="1060" w:type="dxa"/>
            <w:vAlign w:val="bottom"/>
            <w:tcBorders>
              <w:bottom w:val="single" w:sz="8" w:color="1352DE"/>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133</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(53)</w:t>
            </w:r>
          </w:p>
        </w:tc>
      </w:tr>
      <w:tr>
        <w:trPr>
          <w:trHeight w:val="183"/>
        </w:trPr>
        <w:tc>
          <w:tcPr>
            <w:tcW w:w="616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Total benefits, losses and expenses</w:t>
            </w:r>
          </w:p>
        </w:tc>
        <w:tc>
          <w:tcPr>
            <w:tcW w:w="300" w:type="dxa"/>
            <w:vAlign w:val="bottom"/>
            <w:tcBorders>
              <w:bottom w:val="single" w:sz="8" w:color="1352DE"/>
            </w:tcBorders>
          </w:tcPr>
          <w:p>
            <w:pPr>
              <w:spacing w:after="0"/>
              <w:rPr>
                <w:sz w:val="15"/>
                <w:szCs w:val="15"/>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6,324</w:t>
            </w:r>
          </w:p>
        </w:tc>
        <w:tc>
          <w:tcPr>
            <w:tcW w:w="26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5,637</w:t>
            </w:r>
          </w:p>
        </w:tc>
        <w:tc>
          <w:tcPr>
            <w:tcW w:w="160" w:type="dxa"/>
            <w:vAlign w:val="bottom"/>
            <w:tcBorders>
              <w:bottom w:val="single" w:sz="8" w:color="1352DE"/>
            </w:tcBorders>
          </w:tcPr>
          <w:p>
            <w:pPr>
              <w:spacing w:after="0"/>
              <w:rPr>
                <w:sz w:val="15"/>
                <w:szCs w:val="15"/>
                <w:color w:val="auto"/>
              </w:rPr>
            </w:pPr>
          </w:p>
        </w:tc>
        <w:tc>
          <w:tcPr>
            <w:tcW w:w="320" w:type="dxa"/>
            <w:vAlign w:val="bottom"/>
            <w:tcBorders>
              <w:bottom w:val="single" w:sz="8" w:color="1352DE"/>
            </w:tcBorders>
          </w:tcPr>
          <w:p>
            <w:pPr>
              <w:spacing w:after="0"/>
              <w:rPr>
                <w:sz w:val="15"/>
                <w:szCs w:val="15"/>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17,808</w:t>
            </w:r>
          </w:p>
        </w:tc>
        <w:tc>
          <w:tcPr>
            <w:tcW w:w="26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17,007</w:t>
            </w:r>
          </w:p>
        </w:tc>
      </w:tr>
      <w:tr>
        <w:trPr>
          <w:trHeight w:val="181"/>
        </w:trPr>
        <w:tc>
          <w:tcPr>
            <w:tcW w:w="6160" w:type="dxa"/>
            <w:vAlign w:val="bottom"/>
          </w:tcPr>
          <w:p>
            <w:pPr>
              <w:ind w:left="20"/>
              <w:spacing w:after="0"/>
              <w:rPr>
                <w:sz w:val="20"/>
                <w:szCs w:val="20"/>
                <w:color w:val="auto"/>
              </w:rPr>
            </w:pPr>
            <w:r>
              <w:rPr>
                <w:rFonts w:ascii="Arial" w:cs="Arial" w:eastAsia="Arial" w:hAnsi="Arial"/>
                <w:sz w:val="13"/>
                <w:szCs w:val="13"/>
                <w:b w:val="1"/>
                <w:bCs w:val="1"/>
                <w:color w:val="1252DE"/>
              </w:rPr>
              <w:t>Income before income tax expense</w:t>
            </w: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1,119</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3,370</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3,218</w:t>
            </w:r>
          </w:p>
        </w:tc>
      </w:tr>
      <w:tr>
        <w:trPr>
          <w:trHeight w:val="190"/>
        </w:trPr>
        <w:tc>
          <w:tcPr>
            <w:tcW w:w="616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Income tax expense</w:t>
            </w:r>
          </w:p>
        </w:tc>
        <w:tc>
          <w:tcPr>
            <w:tcW w:w="30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270</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190</w:t>
            </w:r>
          </w:p>
        </w:tc>
        <w:tc>
          <w:tcPr>
            <w:tcW w:w="160" w:type="dxa"/>
            <w:vAlign w:val="bottom"/>
            <w:tcBorders>
              <w:bottom w:val="single" w:sz="8" w:color="1352DE"/>
            </w:tcBorders>
          </w:tcPr>
          <w:p>
            <w:pPr>
              <w:spacing w:after="0"/>
              <w:rPr>
                <w:sz w:val="16"/>
                <w:szCs w:val="16"/>
                <w:color w:val="auto"/>
              </w:rPr>
            </w:pPr>
          </w:p>
        </w:tc>
        <w:tc>
          <w:tcPr>
            <w:tcW w:w="32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810</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852</w:t>
            </w:r>
          </w:p>
        </w:tc>
      </w:tr>
      <w:tr>
        <w:trPr>
          <w:trHeight w:val="182"/>
        </w:trPr>
        <w:tc>
          <w:tcPr>
            <w:tcW w:w="6160" w:type="dxa"/>
            <w:vAlign w:val="bottom"/>
          </w:tcPr>
          <w:p>
            <w:pPr>
              <w:ind w:left="20"/>
              <w:spacing w:after="0"/>
              <w:rPr>
                <w:sz w:val="20"/>
                <w:szCs w:val="20"/>
                <w:color w:val="auto"/>
              </w:rPr>
            </w:pPr>
            <w:r>
              <w:rPr>
                <w:rFonts w:ascii="Arial" w:cs="Arial" w:eastAsia="Arial" w:hAnsi="Arial"/>
                <w:sz w:val="13"/>
                <w:szCs w:val="13"/>
                <w:b w:val="1"/>
                <w:bCs w:val="1"/>
                <w:color w:val="1252DE"/>
              </w:rPr>
              <w:t>Net income</w:t>
            </w: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849</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2,560</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2,366</w:t>
            </w:r>
          </w:p>
        </w:tc>
      </w:tr>
      <w:tr>
        <w:trPr>
          <w:trHeight w:val="190"/>
        </w:trPr>
        <w:tc>
          <w:tcPr>
            <w:tcW w:w="616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Less: Net income attributable to noncontrolling interests</w:t>
            </w:r>
          </w:p>
        </w:tc>
        <w:tc>
          <w:tcPr>
            <w:tcW w:w="30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5</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w:t>
            </w:r>
          </w:p>
        </w:tc>
        <w:tc>
          <w:tcPr>
            <w:tcW w:w="160" w:type="dxa"/>
            <w:vAlign w:val="bottom"/>
            <w:tcBorders>
              <w:bottom w:val="single" w:sz="8" w:color="1352DE"/>
            </w:tcBorders>
          </w:tcPr>
          <w:p>
            <w:pPr>
              <w:spacing w:after="0"/>
              <w:rPr>
                <w:sz w:val="16"/>
                <w:szCs w:val="16"/>
                <w:color w:val="auto"/>
              </w:rPr>
            </w:pPr>
          </w:p>
        </w:tc>
        <w:tc>
          <w:tcPr>
            <w:tcW w:w="32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5</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w:t>
            </w:r>
          </w:p>
        </w:tc>
      </w:tr>
      <w:tr>
        <w:trPr>
          <w:trHeight w:val="183"/>
        </w:trPr>
        <w:tc>
          <w:tcPr>
            <w:tcW w:w="616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Net income attributable to AIG common shareholders</w:t>
            </w:r>
          </w:p>
        </w:tc>
        <w:tc>
          <w:tcPr>
            <w:tcW w:w="30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w:t>
            </w: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844</w:t>
            </w:r>
          </w:p>
        </w:tc>
        <w:tc>
          <w:tcPr>
            <w:tcW w:w="2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519</w:t>
            </w:r>
          </w:p>
        </w:tc>
        <w:tc>
          <w:tcPr>
            <w:tcW w:w="160" w:type="dxa"/>
            <w:vAlign w:val="bottom"/>
            <w:tcBorders>
              <w:bottom w:val="single" w:sz="8" w:color="1352DE"/>
            </w:tcBorders>
          </w:tcPr>
          <w:p>
            <w:pPr>
              <w:spacing w:after="0"/>
              <w:rPr>
                <w:sz w:val="15"/>
                <w:szCs w:val="15"/>
                <w:color w:val="auto"/>
              </w:rPr>
            </w:pPr>
          </w:p>
        </w:tc>
        <w:tc>
          <w:tcPr>
            <w:tcW w:w="32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w:t>
            </w: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2,555</w:t>
            </w:r>
          </w:p>
        </w:tc>
        <w:tc>
          <w:tcPr>
            <w:tcW w:w="26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2,361</w:t>
            </w:r>
          </w:p>
        </w:tc>
      </w:tr>
      <w:tr>
        <w:trPr>
          <w:trHeight w:val="181"/>
        </w:trPr>
        <w:tc>
          <w:tcPr>
            <w:tcW w:w="6160" w:type="dxa"/>
            <w:vAlign w:val="bottom"/>
          </w:tcPr>
          <w:p>
            <w:pPr>
              <w:ind w:left="20"/>
              <w:spacing w:after="0"/>
              <w:rPr>
                <w:sz w:val="20"/>
                <w:szCs w:val="20"/>
                <w:color w:val="auto"/>
              </w:rPr>
            </w:pPr>
            <w:r>
              <w:rPr>
                <w:rFonts w:ascii="Arial" w:cs="Arial" w:eastAsia="Arial" w:hAnsi="Arial"/>
                <w:sz w:val="13"/>
                <w:szCs w:val="13"/>
                <w:b w:val="1"/>
                <w:bCs w:val="1"/>
                <w:color w:val="1252DE"/>
              </w:rPr>
              <w:t>Net income per common share attributable to AIG common shareholders: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8"/>
        </w:trPr>
        <w:tc>
          <w:tcPr>
            <w:tcW w:w="6160" w:type="dxa"/>
            <w:vAlign w:val="bottom"/>
          </w:tcPr>
          <w:p>
            <w:pPr>
              <w:ind w:left="140"/>
              <w:spacing w:after="0"/>
              <w:rPr>
                <w:sz w:val="20"/>
                <w:szCs w:val="20"/>
                <w:color w:val="auto"/>
              </w:rPr>
            </w:pPr>
            <w:r>
              <w:rPr>
                <w:rFonts w:ascii="Arial" w:cs="Arial" w:eastAsia="Arial" w:hAnsi="Arial"/>
                <w:sz w:val="13"/>
                <w:szCs w:val="13"/>
                <w:color w:val="auto"/>
              </w:rPr>
              <w:t>Basic</w:t>
            </w:r>
          </w:p>
        </w:tc>
        <w:tc>
          <w:tcPr>
            <w:tcW w:w="300" w:type="dxa"/>
            <w:vAlign w:val="bottom"/>
          </w:tcPr>
          <w:p>
            <w:pPr>
              <w:jc w:val="right"/>
              <w:ind w:right="33"/>
              <w:spacing w:after="0"/>
              <w:rPr>
                <w:sz w:val="20"/>
                <w:szCs w:val="20"/>
                <w:color w:val="auto"/>
              </w:rPr>
            </w:pPr>
            <w:r>
              <w:rPr>
                <w:rFonts w:ascii="Arial" w:cs="Arial" w:eastAsia="Arial" w:hAnsi="Arial"/>
                <w:sz w:val="13"/>
                <w:szCs w:val="13"/>
                <w:b w:val="1"/>
                <w:bCs w:val="1"/>
                <w:color w:val="1252DE"/>
              </w:rPr>
              <w:t>$</w:t>
            </w: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1.61</w:t>
            </w: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0.94</w:t>
            </w:r>
          </w:p>
        </w:tc>
        <w:tc>
          <w:tcPr>
            <w:tcW w:w="160" w:type="dxa"/>
            <w:vAlign w:val="bottom"/>
          </w:tcPr>
          <w:p>
            <w:pPr>
              <w:spacing w:after="0"/>
              <w:rPr>
                <w:sz w:val="16"/>
                <w:szCs w:val="16"/>
                <w:color w:val="auto"/>
              </w:rPr>
            </w:pPr>
          </w:p>
        </w:tc>
        <w:tc>
          <w:tcPr>
            <w:tcW w:w="320" w:type="dxa"/>
            <w:vAlign w:val="bottom"/>
          </w:tcPr>
          <w:p>
            <w:pPr>
              <w:jc w:val="right"/>
              <w:ind w:right="33"/>
              <w:spacing w:after="0"/>
              <w:rPr>
                <w:sz w:val="20"/>
                <w:szCs w:val="20"/>
                <w:color w:val="auto"/>
              </w:rPr>
            </w:pPr>
            <w:r>
              <w:rPr>
                <w:rFonts w:ascii="Arial" w:cs="Arial" w:eastAsia="Arial" w:hAnsi="Arial"/>
                <w:sz w:val="13"/>
                <w:szCs w:val="13"/>
                <w:b w:val="1"/>
                <w:bCs w:val="1"/>
                <w:color w:val="1252DE"/>
              </w:rPr>
              <w:t>$</w:t>
            </w: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4.82</w:t>
            </w:r>
          </w:p>
        </w:tc>
        <w:tc>
          <w:tcPr>
            <w:tcW w:w="2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4.12</w:t>
            </w:r>
          </w:p>
        </w:tc>
      </w:tr>
      <w:tr>
        <w:trPr>
          <w:trHeight w:val="191"/>
        </w:trPr>
        <w:tc>
          <w:tcPr>
            <w:tcW w:w="616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Diluted</w:t>
            </w:r>
          </w:p>
        </w:tc>
        <w:tc>
          <w:tcPr>
            <w:tcW w:w="30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w:t>
            </w: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1.60</w:t>
            </w:r>
          </w:p>
        </w:tc>
        <w:tc>
          <w:tcPr>
            <w:tcW w:w="2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0.93</w:t>
            </w:r>
          </w:p>
        </w:tc>
        <w:tc>
          <w:tcPr>
            <w:tcW w:w="160" w:type="dxa"/>
            <w:vAlign w:val="bottom"/>
            <w:tcBorders>
              <w:bottom w:val="single" w:sz="8" w:color="1352DE"/>
            </w:tcBorders>
          </w:tcPr>
          <w:p>
            <w:pPr>
              <w:spacing w:after="0"/>
              <w:rPr>
                <w:sz w:val="16"/>
                <w:szCs w:val="16"/>
                <w:color w:val="auto"/>
              </w:rPr>
            </w:pPr>
          </w:p>
        </w:tc>
        <w:tc>
          <w:tcPr>
            <w:tcW w:w="32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w:t>
            </w: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4.78</w:t>
            </w:r>
          </w:p>
        </w:tc>
        <w:tc>
          <w:tcPr>
            <w:tcW w:w="26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4.08</w:t>
            </w:r>
          </w:p>
        </w:tc>
      </w:tr>
      <w:tr>
        <w:trPr>
          <w:trHeight w:val="182"/>
        </w:trPr>
        <w:tc>
          <w:tcPr>
            <w:tcW w:w="6160" w:type="dxa"/>
            <w:vAlign w:val="bottom"/>
          </w:tcPr>
          <w:p>
            <w:pPr>
              <w:ind w:left="20"/>
              <w:spacing w:after="0"/>
              <w:rPr>
                <w:sz w:val="20"/>
                <w:szCs w:val="20"/>
                <w:color w:val="auto"/>
              </w:rPr>
            </w:pPr>
            <w:r>
              <w:rPr>
                <w:rFonts w:ascii="Arial" w:cs="Arial" w:eastAsia="Arial" w:hAnsi="Arial"/>
                <w:sz w:val="13"/>
                <w:szCs w:val="13"/>
                <w:b w:val="1"/>
                <w:bCs w:val="1"/>
                <w:color w:val="1252DE"/>
              </w:rPr>
              <w:t>Weighted average shares outstanding:</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8"/>
        </w:trPr>
        <w:tc>
          <w:tcPr>
            <w:tcW w:w="6160" w:type="dxa"/>
            <w:vAlign w:val="bottom"/>
          </w:tcPr>
          <w:p>
            <w:pPr>
              <w:ind w:left="140"/>
              <w:spacing w:after="0"/>
              <w:rPr>
                <w:sz w:val="20"/>
                <w:szCs w:val="20"/>
                <w:color w:val="auto"/>
              </w:rPr>
            </w:pPr>
            <w:r>
              <w:rPr>
                <w:rFonts w:ascii="Arial" w:cs="Arial" w:eastAsia="Arial" w:hAnsi="Arial"/>
                <w:sz w:val="13"/>
                <w:szCs w:val="13"/>
                <w:color w:val="auto"/>
              </w:rPr>
              <w:t>Basic</w:t>
            </w:r>
          </w:p>
        </w:tc>
        <w:tc>
          <w:tcPr>
            <w:tcW w:w="30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522,963,373</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553,308,504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1252DE"/>
              </w:rPr>
              <w:t>530,133,311</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573,176,050</w:t>
            </w:r>
          </w:p>
        </w:tc>
      </w:tr>
      <w:tr>
        <w:trPr>
          <w:trHeight w:val="191"/>
        </w:trPr>
        <w:tc>
          <w:tcPr>
            <w:tcW w:w="616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Diluted</w:t>
            </w:r>
          </w:p>
        </w:tc>
        <w:tc>
          <w:tcPr>
            <w:tcW w:w="30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527,224,651</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558,519,830</w:t>
            </w:r>
          </w:p>
        </w:tc>
        <w:tc>
          <w:tcPr>
            <w:tcW w:w="160" w:type="dxa"/>
            <w:vAlign w:val="bottom"/>
            <w:tcBorders>
              <w:bottom w:val="single" w:sz="8" w:color="1352DE"/>
            </w:tcBorders>
          </w:tcPr>
          <w:p>
            <w:pPr>
              <w:spacing w:after="0"/>
              <w:rPr>
                <w:sz w:val="16"/>
                <w:szCs w:val="16"/>
                <w:color w:val="auto"/>
              </w:rPr>
            </w:pPr>
          </w:p>
        </w:tc>
        <w:tc>
          <w:tcPr>
            <w:tcW w:w="32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534,267,676</w:t>
            </w:r>
          </w:p>
        </w:tc>
        <w:tc>
          <w:tcPr>
            <w:tcW w:w="2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578,421,227</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8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0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3</w:t>
            </w:r>
          </w:p>
        </w:tc>
      </w:tr>
      <w:tr>
        <w:trPr>
          <w:trHeight w:val="221"/>
        </w:trPr>
        <w:tc>
          <w:tcPr>
            <w:tcW w:w="7560" w:type="dxa"/>
            <w:vAlign w:val="bottom"/>
            <w:tcBorders>
              <w:bottom w:val="single" w:sz="8" w:color="9A9A9A"/>
            </w:tcBorders>
          </w:tcPr>
          <w:p>
            <w:pPr>
              <w:spacing w:after="0"/>
              <w:rPr>
                <w:sz w:val="19"/>
                <w:szCs w:val="19"/>
                <w:color w:val="auto"/>
              </w:rPr>
            </w:pPr>
          </w:p>
        </w:tc>
        <w:tc>
          <w:tcPr>
            <w:tcW w:w="32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234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7"/>
          <w:szCs w:val="27"/>
          <w:color w:val="001871"/>
        </w:rPr>
        <w:t>American International Group, Inc.</w:t>
      </w:r>
    </w:p>
    <w:p>
      <w:pPr>
        <w:spacing w:after="0"/>
        <w:rPr>
          <w:sz w:val="20"/>
          <w:szCs w:val="20"/>
          <w:color w:val="auto"/>
        </w:rPr>
      </w:pPr>
      <w:r>
        <w:rPr>
          <w:rFonts w:ascii="Arial" w:cs="Arial" w:eastAsia="Arial" w:hAnsi="Arial"/>
          <w:sz w:val="27"/>
          <w:szCs w:val="27"/>
          <w:color w:val="001770"/>
        </w:rPr>
        <w:t xml:space="preserve">Condensed Consolidated Statements of Comprehensive Income (Loss) </w:t>
      </w:r>
      <w:r>
        <w:rPr>
          <w:rFonts w:ascii="Arial" w:cs="Arial" w:eastAsia="Arial" w:hAnsi="Arial"/>
          <w:sz w:val="17"/>
          <w:szCs w:val="17"/>
          <w:i w:val="1"/>
          <w:iCs w:val="1"/>
          <w:color w:val="001770"/>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gridSpan w:val="3"/>
          </w:tcPr>
          <w:p>
            <w:pPr>
              <w:jc w:val="right"/>
              <w:ind w:right="304"/>
              <w:spacing w:after="0"/>
              <w:rPr>
                <w:sz w:val="20"/>
                <w:szCs w:val="20"/>
                <w:color w:val="auto"/>
              </w:rPr>
            </w:pPr>
            <w:r>
              <w:rPr>
                <w:rFonts w:ascii="Arial" w:cs="Arial" w:eastAsia="Arial" w:hAnsi="Arial"/>
                <w:sz w:val="15"/>
                <w:szCs w:val="15"/>
                <w:color w:val="1252DE"/>
              </w:rPr>
              <w:t>Three Months Ended</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tcPr>
          <w:p>
            <w:pPr>
              <w:jc w:val="right"/>
              <w:ind w:right="344"/>
              <w:spacing w:after="0"/>
              <w:rPr>
                <w:sz w:val="20"/>
                <w:szCs w:val="20"/>
                <w:color w:val="auto"/>
              </w:rPr>
            </w:pPr>
            <w:r>
              <w:rPr>
                <w:rFonts w:ascii="Arial" w:cs="Arial" w:eastAsia="Arial" w:hAnsi="Arial"/>
                <w:sz w:val="15"/>
                <w:szCs w:val="15"/>
                <w:color w:val="1252DE"/>
              </w:rPr>
              <w:t>Nine Months Ended</w:t>
            </w:r>
          </w:p>
        </w:tc>
        <w:tc>
          <w:tcPr>
            <w:tcW w:w="0" w:type="dxa"/>
            <w:vAlign w:val="bottom"/>
          </w:tcPr>
          <w:p>
            <w:pPr>
              <w:spacing w:after="0"/>
              <w:rPr>
                <w:sz w:val="1"/>
                <w:szCs w:val="1"/>
                <w:color w:val="auto"/>
              </w:rPr>
            </w:pPr>
          </w:p>
        </w:tc>
      </w:tr>
      <w:tr>
        <w:trPr>
          <w:trHeight w:val="206"/>
        </w:trPr>
        <w:tc>
          <w:tcPr>
            <w:tcW w:w="6720" w:type="dxa"/>
            <w:vAlign w:val="bottom"/>
          </w:tcPr>
          <w:p>
            <w:pPr>
              <w:spacing w:after="0"/>
              <w:rPr>
                <w:sz w:val="17"/>
                <w:szCs w:val="17"/>
                <w:color w:val="auto"/>
              </w:rPr>
            </w:pPr>
          </w:p>
        </w:tc>
        <w:tc>
          <w:tcPr>
            <w:tcW w:w="280" w:type="dxa"/>
            <w:vAlign w:val="bottom"/>
            <w:tcBorders>
              <w:bottom w:val="single" w:sz="8" w:color="1352DE"/>
            </w:tcBorders>
          </w:tcPr>
          <w:p>
            <w:pPr>
              <w:spacing w:after="0"/>
              <w:rPr>
                <w:sz w:val="17"/>
                <w:szCs w:val="17"/>
                <w:color w:val="auto"/>
              </w:rPr>
            </w:pPr>
          </w:p>
        </w:tc>
        <w:tc>
          <w:tcPr>
            <w:tcW w:w="1380" w:type="dxa"/>
            <w:vAlign w:val="bottom"/>
            <w:tcBorders>
              <w:bottom w:val="single" w:sz="8" w:color="1352DE"/>
            </w:tcBorders>
            <w:gridSpan w:val="2"/>
          </w:tcPr>
          <w:p>
            <w:pPr>
              <w:jc w:val="right"/>
              <w:spacing w:after="0"/>
              <w:rPr>
                <w:sz w:val="20"/>
                <w:szCs w:val="20"/>
                <w:color w:val="auto"/>
              </w:rPr>
            </w:pPr>
            <w:r>
              <w:rPr>
                <w:rFonts w:ascii="Arial" w:cs="Arial" w:eastAsia="Arial" w:hAnsi="Arial"/>
                <w:sz w:val="15"/>
                <w:szCs w:val="15"/>
                <w:color w:val="1252DE"/>
              </w:rPr>
              <w:t>September 30,</w:t>
            </w:r>
          </w:p>
        </w:tc>
        <w:tc>
          <w:tcPr>
            <w:tcW w:w="520" w:type="dxa"/>
            <w:vAlign w:val="bottom"/>
            <w:tcBorders>
              <w:bottom w:val="single" w:sz="8" w:color="1352DE"/>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1360" w:type="dxa"/>
            <w:vAlign w:val="bottom"/>
            <w:tcBorders>
              <w:bottom w:val="single" w:sz="8" w:color="1352DE"/>
            </w:tcBorders>
            <w:gridSpan w:val="2"/>
          </w:tcPr>
          <w:p>
            <w:pPr>
              <w:jc w:val="right"/>
              <w:spacing w:after="0"/>
              <w:rPr>
                <w:sz w:val="20"/>
                <w:szCs w:val="20"/>
                <w:color w:val="auto"/>
              </w:rPr>
            </w:pPr>
            <w:r>
              <w:rPr>
                <w:rFonts w:ascii="Arial" w:cs="Arial" w:eastAsia="Arial" w:hAnsi="Arial"/>
                <w:sz w:val="15"/>
                <w:szCs w:val="15"/>
                <w:color w:val="1252DE"/>
              </w:rPr>
              <w:t>September 30,</w:t>
            </w:r>
          </w:p>
        </w:tc>
        <w:tc>
          <w:tcPr>
            <w:tcW w:w="52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20" w:type="dxa"/>
            <w:vAlign w:val="bottom"/>
            <w:tcBorders>
              <w:bottom w:val="single" w:sz="8" w:color="3051F2"/>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80" w:type="dxa"/>
            <w:vAlign w:val="bottom"/>
            <w:tcBorders>
              <w:bottom w:val="single" w:sz="8" w:color="3051F2"/>
            </w:tcBorders>
          </w:tcPr>
          <w:p>
            <w:pPr>
              <w:spacing w:after="0"/>
              <w:rPr>
                <w:sz w:val="17"/>
                <w:szCs w:val="17"/>
                <w:color w:val="auto"/>
              </w:rPr>
            </w:pPr>
          </w:p>
        </w:tc>
        <w:tc>
          <w:tcPr>
            <w:tcW w:w="840" w:type="dxa"/>
            <w:vAlign w:val="bottom"/>
            <w:tcBorders>
              <w:bottom w:val="single" w:sz="8" w:color="3051F2"/>
            </w:tcBorders>
          </w:tcPr>
          <w:p>
            <w:pPr>
              <w:jc w:val="right"/>
              <w:spacing w:after="0"/>
              <w:rPr>
                <w:sz w:val="20"/>
                <w:szCs w:val="20"/>
                <w:color w:val="auto"/>
              </w:rPr>
            </w:pPr>
            <w:r>
              <w:rPr>
                <w:rFonts w:ascii="Arial" w:cs="Arial" w:eastAsia="Arial" w:hAnsi="Arial"/>
                <w:sz w:val="15"/>
                <w:szCs w:val="15"/>
                <w:b w:val="1"/>
                <w:bCs w:val="1"/>
                <w:color w:val="1252DE"/>
              </w:rPr>
              <w:t>2026</w:t>
            </w:r>
          </w:p>
        </w:tc>
        <w:tc>
          <w:tcPr>
            <w:tcW w:w="540" w:type="dxa"/>
            <w:vAlign w:val="bottom"/>
            <w:tcBorders>
              <w:bottom w:val="single" w:sz="8" w:color="3051F2"/>
            </w:tcBorders>
          </w:tcPr>
          <w:p>
            <w:pPr>
              <w:spacing w:after="0"/>
              <w:rPr>
                <w:sz w:val="17"/>
                <w:szCs w:val="17"/>
                <w:color w:val="auto"/>
              </w:rPr>
            </w:pPr>
          </w:p>
        </w:tc>
        <w:tc>
          <w:tcPr>
            <w:tcW w:w="52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1252DE"/>
              </w:rPr>
              <w:t>2025</w:t>
            </w:r>
          </w:p>
        </w:tc>
        <w:tc>
          <w:tcPr>
            <w:tcW w:w="140" w:type="dxa"/>
            <w:vAlign w:val="bottom"/>
            <w:tcBorders>
              <w:bottom w:val="single" w:sz="8" w:color="3051F2"/>
            </w:tcBorders>
          </w:tcPr>
          <w:p>
            <w:pPr>
              <w:spacing w:after="0"/>
              <w:rPr>
                <w:sz w:val="17"/>
                <w:szCs w:val="17"/>
                <w:color w:val="auto"/>
              </w:rPr>
            </w:pPr>
          </w:p>
        </w:tc>
        <w:tc>
          <w:tcPr>
            <w:tcW w:w="300" w:type="dxa"/>
            <w:vAlign w:val="bottom"/>
            <w:tcBorders>
              <w:bottom w:val="single" w:sz="8" w:color="3051F2"/>
            </w:tcBorders>
          </w:tcPr>
          <w:p>
            <w:pPr>
              <w:spacing w:after="0"/>
              <w:rPr>
                <w:sz w:val="17"/>
                <w:szCs w:val="17"/>
                <w:color w:val="auto"/>
              </w:rPr>
            </w:pPr>
          </w:p>
        </w:tc>
        <w:tc>
          <w:tcPr>
            <w:tcW w:w="820" w:type="dxa"/>
            <w:vAlign w:val="bottom"/>
            <w:tcBorders>
              <w:bottom w:val="single" w:sz="8" w:color="3051F2"/>
            </w:tcBorders>
          </w:tcPr>
          <w:p>
            <w:pPr>
              <w:jc w:val="right"/>
              <w:spacing w:after="0"/>
              <w:rPr>
                <w:sz w:val="20"/>
                <w:szCs w:val="20"/>
                <w:color w:val="auto"/>
              </w:rPr>
            </w:pPr>
            <w:r>
              <w:rPr>
                <w:rFonts w:ascii="Arial" w:cs="Arial" w:eastAsia="Arial" w:hAnsi="Arial"/>
                <w:sz w:val="15"/>
                <w:szCs w:val="15"/>
                <w:b w:val="1"/>
                <w:bCs w:val="1"/>
                <w:color w:val="1252DE"/>
              </w:rPr>
              <w:t>2026</w:t>
            </w:r>
          </w:p>
        </w:tc>
        <w:tc>
          <w:tcPr>
            <w:tcW w:w="540" w:type="dxa"/>
            <w:vAlign w:val="bottom"/>
            <w:tcBorders>
              <w:bottom w:val="single" w:sz="8" w:color="3051F2"/>
            </w:tcBorders>
          </w:tcPr>
          <w:p>
            <w:pPr>
              <w:spacing w:after="0"/>
              <w:rPr>
                <w:sz w:val="17"/>
                <w:szCs w:val="17"/>
                <w:color w:val="auto"/>
              </w:rPr>
            </w:pPr>
          </w:p>
        </w:tc>
        <w:tc>
          <w:tcPr>
            <w:tcW w:w="52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1252DE"/>
              </w:rPr>
              <w:t>2025</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Net income</w:t>
            </w:r>
          </w:p>
        </w:tc>
        <w:tc>
          <w:tcPr>
            <w:tcW w:w="28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849</w:t>
            </w:r>
          </w:p>
        </w:tc>
        <w:tc>
          <w:tcPr>
            <w:tcW w:w="540" w:type="dxa"/>
            <w:vAlign w:val="bottom"/>
            <w:tcBorders>
              <w:bottom w:val="single" w:sz="8" w:color="1352DE"/>
            </w:tcBorders>
          </w:tcPr>
          <w:p>
            <w:pPr>
              <w:jc w:val="right"/>
              <w:ind w:right="32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524</w:t>
            </w:r>
          </w:p>
        </w:tc>
        <w:tc>
          <w:tcPr>
            <w:tcW w:w="440" w:type="dxa"/>
            <w:vAlign w:val="bottom"/>
            <w:tcBorders>
              <w:bottom w:val="single" w:sz="8" w:color="1352DE"/>
            </w:tcBorders>
            <w:gridSpan w:val="2"/>
          </w:tcPr>
          <w:p>
            <w:pPr>
              <w:jc w:val="right"/>
              <w:ind w:right="120"/>
              <w:spacing w:after="0"/>
              <w:rPr>
                <w:sz w:val="20"/>
                <w:szCs w:val="20"/>
                <w:color w:val="auto"/>
              </w:rPr>
            </w:pPr>
            <w:r>
              <w:rPr>
                <w:rFonts w:ascii="Arial" w:cs="Arial" w:eastAsia="Arial" w:hAnsi="Arial"/>
                <w:sz w:val="15"/>
                <w:szCs w:val="15"/>
                <w:b w:val="1"/>
                <w:bCs w:val="1"/>
                <w:color w:val="1252DE"/>
              </w:rPr>
              <w:t>$</w:t>
            </w: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2,560</w:t>
            </w:r>
          </w:p>
        </w:tc>
        <w:tc>
          <w:tcPr>
            <w:tcW w:w="540" w:type="dxa"/>
            <w:vAlign w:val="bottom"/>
            <w:tcBorders>
              <w:bottom w:val="single" w:sz="8" w:color="1352DE"/>
            </w:tcBorders>
          </w:tcPr>
          <w:p>
            <w:pPr>
              <w:jc w:val="right"/>
              <w:ind w:right="32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2,366</w:t>
            </w:r>
          </w:p>
        </w:tc>
        <w:tc>
          <w:tcPr>
            <w:tcW w:w="0" w:type="dxa"/>
            <w:vAlign w:val="bottom"/>
          </w:tcPr>
          <w:p>
            <w:pPr>
              <w:spacing w:after="0"/>
              <w:rPr>
                <w:sz w:val="1"/>
                <w:szCs w:val="1"/>
                <w:color w:val="auto"/>
              </w:rPr>
            </w:pPr>
          </w:p>
        </w:tc>
      </w:tr>
      <w:tr>
        <w:trPr>
          <w:trHeight w:val="192"/>
        </w:trPr>
        <w:tc>
          <w:tcPr>
            <w:tcW w:w="6720" w:type="dxa"/>
            <w:vAlign w:val="bottom"/>
          </w:tcPr>
          <w:p>
            <w:pPr>
              <w:ind w:left="20"/>
              <w:spacing w:after="0"/>
              <w:rPr>
                <w:sz w:val="20"/>
                <w:szCs w:val="20"/>
                <w:color w:val="auto"/>
              </w:rPr>
            </w:pPr>
            <w:r>
              <w:rPr>
                <w:rFonts w:ascii="Arial" w:cs="Arial" w:eastAsia="Arial" w:hAnsi="Arial"/>
                <w:sz w:val="15"/>
                <w:szCs w:val="15"/>
                <w:b w:val="1"/>
                <w:bCs w:val="1"/>
                <w:color w:val="1252DE"/>
              </w:rPr>
              <w:t>Other comprehensive income (loss), net of tax</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line="162" w:lineRule="exact"/>
              <w:rPr>
                <w:sz w:val="20"/>
                <w:szCs w:val="20"/>
                <w:color w:val="auto"/>
              </w:rPr>
            </w:pPr>
            <w:r>
              <w:rPr>
                <w:rFonts w:ascii="Arial" w:cs="Arial" w:eastAsia="Arial" w:hAnsi="Arial"/>
                <w:sz w:val="15"/>
                <w:szCs w:val="15"/>
                <w:color w:val="auto"/>
              </w:rPr>
              <w:t>Change in unrealized appreciation (depreciation) of fixed maturity securities on which allowance</w:t>
            </w:r>
          </w:p>
        </w:tc>
        <w:tc>
          <w:tcPr>
            <w:tcW w:w="280" w:type="dxa"/>
            <w:vAlign w:val="bottom"/>
          </w:tcPr>
          <w:p>
            <w:pPr>
              <w:spacing w:after="0"/>
              <w:rPr>
                <w:sz w:val="14"/>
                <w:szCs w:val="14"/>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4</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4</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240"/>
              <w:spacing w:after="0"/>
              <w:rPr>
                <w:sz w:val="20"/>
                <w:szCs w:val="20"/>
                <w:color w:val="auto"/>
              </w:rPr>
            </w:pPr>
            <w:r>
              <w:rPr>
                <w:rFonts w:ascii="Arial" w:cs="Arial" w:eastAsia="Arial" w:hAnsi="Arial"/>
                <w:sz w:val="15"/>
                <w:szCs w:val="15"/>
                <w:color w:val="auto"/>
              </w:rPr>
              <w:t>for credit losses was taken</w:t>
            </w:r>
          </w:p>
        </w:tc>
        <w:tc>
          <w:tcPr>
            <w:tcW w:w="2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4"/>
        </w:trPr>
        <w:tc>
          <w:tcPr>
            <w:tcW w:w="6720" w:type="dxa"/>
            <w:vAlign w:val="bottom"/>
          </w:tcPr>
          <w:p>
            <w:pPr>
              <w:ind w:left="140"/>
              <w:spacing w:after="0"/>
              <w:rPr>
                <w:sz w:val="20"/>
                <w:szCs w:val="20"/>
                <w:color w:val="auto"/>
              </w:rPr>
            </w:pPr>
            <w:r>
              <w:rPr>
                <w:rFonts w:ascii="Arial" w:cs="Arial" w:eastAsia="Arial" w:hAnsi="Arial"/>
                <w:sz w:val="15"/>
                <w:szCs w:val="15"/>
                <w:color w:val="auto"/>
              </w:rPr>
              <w:t>Change in unrealized appreciation (depreciation) of all other investments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1352DE"/>
              </w:rPr>
              <w:t>(1,960)</w:t>
            </w:r>
          </w:p>
        </w:tc>
        <w:tc>
          <w:tcPr>
            <w:tcW w:w="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547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1352DE"/>
              </w:rPr>
              <w:t>(2,468)</w:t>
            </w:r>
          </w:p>
        </w:tc>
        <w:tc>
          <w:tcPr>
            <w:tcW w:w="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1,464</w:t>
            </w: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line="162" w:lineRule="exact"/>
              <w:rPr>
                <w:sz w:val="20"/>
                <w:szCs w:val="20"/>
                <w:color w:val="auto"/>
              </w:rPr>
            </w:pPr>
            <w:r>
              <w:rPr>
                <w:rFonts w:ascii="Arial" w:cs="Arial" w:eastAsia="Arial" w:hAnsi="Arial"/>
                <w:sz w:val="15"/>
                <w:szCs w:val="15"/>
                <w:color w:val="auto"/>
              </w:rPr>
              <w:t>Change in the discount rates used to measure traditional and limited payment long-duration</w:t>
            </w:r>
          </w:p>
        </w:tc>
        <w:tc>
          <w:tcPr>
            <w:tcW w:w="280" w:type="dxa"/>
            <w:vAlign w:val="bottom"/>
          </w:tcPr>
          <w:p>
            <w:pPr>
              <w:spacing w:after="0"/>
              <w:rPr>
                <w:sz w:val="14"/>
                <w:szCs w:val="14"/>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12</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21</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240"/>
              <w:spacing w:after="0"/>
              <w:rPr>
                <w:sz w:val="20"/>
                <w:szCs w:val="20"/>
                <w:color w:val="auto"/>
              </w:rPr>
            </w:pPr>
            <w:r>
              <w:rPr>
                <w:rFonts w:ascii="Arial" w:cs="Arial" w:eastAsia="Arial" w:hAnsi="Arial"/>
                <w:sz w:val="15"/>
                <w:szCs w:val="15"/>
                <w:color w:val="auto"/>
              </w:rPr>
              <w:t>insurance contracts</w:t>
            </w:r>
          </w:p>
        </w:tc>
        <w:tc>
          <w:tcPr>
            <w:tcW w:w="2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3"/>
        </w:trPr>
        <w:tc>
          <w:tcPr>
            <w:tcW w:w="6720" w:type="dxa"/>
            <w:vAlign w:val="bottom"/>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b w:val="1"/>
                <w:bCs w:val="1"/>
                <w:color w:val="1352DE"/>
              </w:rPr>
              <w:t>90</w:t>
            </w:r>
          </w:p>
        </w:tc>
        <w:tc>
          <w:tcPr>
            <w:tcW w:w="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1352DE"/>
              </w:rPr>
              <w:t>(42)</w:t>
            </w:r>
          </w:p>
        </w:tc>
        <w:tc>
          <w:tcPr>
            <w:tcW w:w="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Change in retirement plan liabilities adjustment</w:t>
            </w:r>
          </w:p>
        </w:tc>
        <w:tc>
          <w:tcPr>
            <w:tcW w:w="280" w:type="dxa"/>
            <w:vAlign w:val="bottom"/>
            <w:tcBorders>
              <w:bottom w:val="single" w:sz="8" w:color="1352DE"/>
            </w:tcBorders>
          </w:tcPr>
          <w:p>
            <w:pPr>
              <w:spacing w:after="0"/>
              <w:rPr>
                <w:sz w:val="18"/>
                <w:szCs w:val="18"/>
                <w:color w:val="auto"/>
              </w:rPr>
            </w:pP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6</w:t>
            </w:r>
          </w:p>
        </w:tc>
        <w:tc>
          <w:tcPr>
            <w:tcW w:w="540" w:type="dxa"/>
            <w:vAlign w:val="bottom"/>
            <w:tcBorders>
              <w:bottom w:val="single" w:sz="8" w:color="1352DE"/>
            </w:tcBorders>
          </w:tcPr>
          <w:p>
            <w:pPr>
              <w:spacing w:after="0"/>
              <w:rPr>
                <w:sz w:val="18"/>
                <w:szCs w:val="18"/>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6</w:t>
            </w:r>
          </w:p>
        </w:tc>
        <w:tc>
          <w:tcPr>
            <w:tcW w:w="140" w:type="dxa"/>
            <w:vAlign w:val="bottom"/>
            <w:tcBorders>
              <w:bottom w:val="single" w:sz="8" w:color="1352DE"/>
            </w:tcBorders>
          </w:tcPr>
          <w:p>
            <w:pPr>
              <w:spacing w:after="0"/>
              <w:rPr>
                <w:sz w:val="18"/>
                <w:szCs w:val="18"/>
                <w:color w:val="auto"/>
              </w:rPr>
            </w:pPr>
          </w:p>
        </w:tc>
        <w:tc>
          <w:tcPr>
            <w:tcW w:w="30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18</w:t>
            </w:r>
          </w:p>
        </w:tc>
        <w:tc>
          <w:tcPr>
            <w:tcW w:w="540" w:type="dxa"/>
            <w:vAlign w:val="bottom"/>
            <w:tcBorders>
              <w:bottom w:val="single" w:sz="8" w:color="1352DE"/>
            </w:tcBorders>
          </w:tcPr>
          <w:p>
            <w:pPr>
              <w:spacing w:after="0"/>
              <w:rPr>
                <w:sz w:val="18"/>
                <w:szCs w:val="18"/>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Other comprehensive income (loss)</w:t>
            </w:r>
          </w:p>
        </w:tc>
        <w:tc>
          <w:tcPr>
            <w:tcW w:w="2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(1,848)</w:t>
            </w:r>
          </w:p>
        </w:tc>
        <w:tc>
          <w:tcPr>
            <w:tcW w:w="54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502</w:t>
            </w:r>
          </w:p>
        </w:tc>
        <w:tc>
          <w:tcPr>
            <w:tcW w:w="140" w:type="dxa"/>
            <w:vAlign w:val="bottom"/>
            <w:tcBorders>
              <w:bottom w:val="single" w:sz="8" w:color="3051F2"/>
            </w:tcBorders>
          </w:tcPr>
          <w:p>
            <w:pPr>
              <w:spacing w:after="0"/>
              <w:rPr>
                <w:sz w:val="17"/>
                <w:szCs w:val="17"/>
                <w:color w:val="auto"/>
              </w:rPr>
            </w:pPr>
          </w:p>
        </w:tc>
        <w:tc>
          <w:tcPr>
            <w:tcW w:w="300" w:type="dxa"/>
            <w:vAlign w:val="bottom"/>
            <w:tcBorders>
              <w:bottom w:val="single" w:sz="8" w:color="3051F2"/>
            </w:tcBorders>
          </w:tcPr>
          <w:p>
            <w:pPr>
              <w:spacing w:after="0"/>
              <w:rPr>
                <w:sz w:val="17"/>
                <w:szCs w:val="17"/>
                <w:color w:val="auto"/>
              </w:rPr>
            </w:pPr>
          </w:p>
        </w:tc>
        <w:tc>
          <w:tcPr>
            <w:tcW w:w="820" w:type="dxa"/>
            <w:vAlign w:val="bottom"/>
            <w:tcBorders>
              <w:bottom w:val="single" w:sz="8" w:color="3051F2"/>
            </w:tcBorders>
          </w:tcPr>
          <w:p>
            <w:pPr>
              <w:jc w:val="right"/>
              <w:spacing w:after="0"/>
              <w:rPr>
                <w:sz w:val="20"/>
                <w:szCs w:val="20"/>
                <w:color w:val="auto"/>
              </w:rPr>
            </w:pPr>
            <w:r>
              <w:rPr>
                <w:rFonts w:ascii="Arial" w:cs="Arial" w:eastAsia="Arial" w:hAnsi="Arial"/>
                <w:sz w:val="15"/>
                <w:szCs w:val="15"/>
                <w:b w:val="1"/>
                <w:bCs w:val="1"/>
                <w:color w:val="1352DE"/>
              </w:rPr>
              <w:t>(2,467)</w:t>
            </w:r>
          </w:p>
        </w:tc>
        <w:tc>
          <w:tcPr>
            <w:tcW w:w="540" w:type="dxa"/>
            <w:vAlign w:val="bottom"/>
            <w:tcBorders>
              <w:bottom w:val="single" w:sz="8" w:color="3051F2"/>
            </w:tcBorders>
          </w:tcPr>
          <w:p>
            <w:pPr>
              <w:spacing w:after="0"/>
              <w:rPr>
                <w:sz w:val="17"/>
                <w:szCs w:val="17"/>
                <w:color w:val="auto"/>
              </w:rPr>
            </w:pPr>
          </w:p>
        </w:tc>
        <w:tc>
          <w:tcPr>
            <w:tcW w:w="52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2,054</w:t>
            </w: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5"/>
                <w:szCs w:val="15"/>
                <w:b w:val="1"/>
                <w:bCs w:val="1"/>
                <w:color w:val="1252DE"/>
              </w:rPr>
              <w:t>Comprehensive income (loss)</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1352DE"/>
              </w:rPr>
              <w:t>(999)</w:t>
            </w:r>
          </w:p>
        </w:tc>
        <w:tc>
          <w:tcPr>
            <w:tcW w:w="5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1,026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1352DE"/>
              </w:rPr>
              <w:t>93</w:t>
            </w:r>
          </w:p>
        </w:tc>
        <w:tc>
          <w:tcPr>
            <w:tcW w:w="5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4,420</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1352DE"/>
            </w:tcBorders>
          </w:tcPr>
          <w:p>
            <w:pPr>
              <w:ind w:left="2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280" w:type="dxa"/>
            <w:vAlign w:val="bottom"/>
            <w:tcBorders>
              <w:bottom w:val="single" w:sz="8" w:color="1352DE"/>
            </w:tcBorders>
          </w:tcPr>
          <w:p>
            <w:pPr>
              <w:spacing w:after="0"/>
              <w:rPr>
                <w:sz w:val="18"/>
                <w:szCs w:val="18"/>
                <w:color w:val="auto"/>
              </w:rPr>
            </w:pP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5</w:t>
            </w:r>
          </w:p>
        </w:tc>
        <w:tc>
          <w:tcPr>
            <w:tcW w:w="540" w:type="dxa"/>
            <w:vAlign w:val="bottom"/>
            <w:tcBorders>
              <w:bottom w:val="single" w:sz="8" w:color="1352DE"/>
            </w:tcBorders>
          </w:tcPr>
          <w:p>
            <w:pPr>
              <w:spacing w:after="0"/>
              <w:rPr>
                <w:sz w:val="18"/>
                <w:szCs w:val="18"/>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w:t>
            </w:r>
          </w:p>
        </w:tc>
        <w:tc>
          <w:tcPr>
            <w:tcW w:w="140" w:type="dxa"/>
            <w:vAlign w:val="bottom"/>
            <w:tcBorders>
              <w:bottom w:val="single" w:sz="8" w:color="1352DE"/>
            </w:tcBorders>
          </w:tcPr>
          <w:p>
            <w:pPr>
              <w:spacing w:after="0"/>
              <w:rPr>
                <w:sz w:val="18"/>
                <w:szCs w:val="18"/>
                <w:color w:val="auto"/>
              </w:rPr>
            </w:pPr>
          </w:p>
        </w:tc>
        <w:tc>
          <w:tcPr>
            <w:tcW w:w="30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5</w:t>
            </w:r>
          </w:p>
        </w:tc>
        <w:tc>
          <w:tcPr>
            <w:tcW w:w="540" w:type="dxa"/>
            <w:vAlign w:val="bottom"/>
            <w:tcBorders>
              <w:bottom w:val="single" w:sz="8" w:color="1352DE"/>
            </w:tcBorders>
          </w:tcPr>
          <w:p>
            <w:pPr>
              <w:spacing w:after="0"/>
              <w:rPr>
                <w:sz w:val="18"/>
                <w:szCs w:val="18"/>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Comprehensive income (loss) attributable to AIG</w:t>
            </w:r>
          </w:p>
        </w:tc>
        <w:tc>
          <w:tcPr>
            <w:tcW w:w="28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(1,004)</w:t>
            </w:r>
          </w:p>
        </w:tc>
        <w:tc>
          <w:tcPr>
            <w:tcW w:w="540" w:type="dxa"/>
            <w:vAlign w:val="bottom"/>
            <w:tcBorders>
              <w:bottom w:val="single" w:sz="8" w:color="1352DE"/>
            </w:tcBorders>
          </w:tcPr>
          <w:p>
            <w:pPr>
              <w:jc w:val="right"/>
              <w:ind w:right="32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1,021</w:t>
            </w:r>
          </w:p>
        </w:tc>
        <w:tc>
          <w:tcPr>
            <w:tcW w:w="440" w:type="dxa"/>
            <w:vAlign w:val="bottom"/>
            <w:tcBorders>
              <w:bottom w:val="single" w:sz="8" w:color="1352DE"/>
            </w:tcBorders>
            <w:gridSpan w:val="2"/>
          </w:tcPr>
          <w:p>
            <w:pPr>
              <w:jc w:val="right"/>
              <w:ind w:right="120"/>
              <w:spacing w:after="0"/>
              <w:rPr>
                <w:sz w:val="20"/>
                <w:szCs w:val="20"/>
                <w:color w:val="auto"/>
              </w:rPr>
            </w:pPr>
            <w:r>
              <w:rPr>
                <w:rFonts w:ascii="Arial" w:cs="Arial" w:eastAsia="Arial" w:hAnsi="Arial"/>
                <w:sz w:val="15"/>
                <w:szCs w:val="15"/>
                <w:b w:val="1"/>
                <w:bCs w:val="1"/>
                <w:color w:val="1252DE"/>
              </w:rPr>
              <w:t>$</w:t>
            </w: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88</w:t>
            </w:r>
          </w:p>
        </w:tc>
        <w:tc>
          <w:tcPr>
            <w:tcW w:w="540" w:type="dxa"/>
            <w:vAlign w:val="bottom"/>
            <w:tcBorders>
              <w:bottom w:val="single" w:sz="8" w:color="1352DE"/>
            </w:tcBorders>
          </w:tcPr>
          <w:p>
            <w:pPr>
              <w:jc w:val="right"/>
              <w:ind w:right="32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4,414</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24771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760" w:hanging="734"/>
        <w:spacing w:after="0"/>
        <w:tabs>
          <w:tab w:leader="none" w:pos="76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234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7"/>
          <w:szCs w:val="27"/>
          <w:color w:val="001871"/>
        </w:rPr>
        <w:t>American International Group, Inc.</w:t>
      </w:r>
    </w:p>
    <w:p>
      <w:pPr>
        <w:spacing w:after="0"/>
        <w:rPr>
          <w:sz w:val="20"/>
          <w:szCs w:val="20"/>
          <w:color w:val="auto"/>
        </w:rPr>
      </w:pPr>
      <w:r>
        <w:rPr>
          <w:rFonts w:ascii="Arial" w:cs="Arial" w:eastAsia="Arial" w:hAnsi="Arial"/>
          <w:sz w:val="27"/>
          <w:szCs w:val="27"/>
          <w:color w:val="001770"/>
        </w:rPr>
        <w:t xml:space="preserve">Condensed Consolidated Statements of Equity </w:t>
      </w:r>
      <w:r>
        <w:rPr>
          <w:rFonts w:ascii="Arial" w:cs="Arial" w:eastAsia="Arial" w:hAnsi="Arial"/>
          <w:sz w:val="17"/>
          <w:szCs w:val="17"/>
          <w:i w:val="1"/>
          <w:iCs w:val="1"/>
          <w:color w:val="001770"/>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1252DE"/>
              </w:rPr>
              <w:t>Total</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1252DE"/>
              </w:rPr>
              <w:t>Non-</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1252DE"/>
              </w:rPr>
              <w:t>Additional</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Arial" w:cs="Arial" w:eastAsia="Arial" w:hAnsi="Arial"/>
                <w:sz w:val="13"/>
                <w:szCs w:val="13"/>
                <w:color w:val="1252DE"/>
              </w:rPr>
              <w:t>Accumulated</w:t>
            </w:r>
          </w:p>
        </w:tc>
        <w:tc>
          <w:tcPr>
            <w:tcW w:w="20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Arial" w:cs="Arial" w:eastAsia="Arial" w:hAnsi="Arial"/>
                <w:sz w:val="13"/>
                <w:szCs w:val="13"/>
                <w:color w:val="1252DE"/>
              </w:rPr>
              <w:t>AIG</w:t>
            </w:r>
          </w:p>
        </w:tc>
        <w:tc>
          <w:tcPr>
            <w:tcW w:w="16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3"/>
                <w:szCs w:val="13"/>
                <w:color w:val="1252DE"/>
                <w:w w:val="98"/>
              </w:rPr>
              <w:t>redeemable</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1252DE"/>
              </w:rPr>
              <w:t>Common</w:t>
            </w:r>
          </w:p>
        </w:tc>
        <w:tc>
          <w:tcPr>
            <w:tcW w:w="22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1252DE"/>
              </w:rPr>
              <w:t>Treasury</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1252DE"/>
              </w:rPr>
              <w:t>Retained</w:t>
            </w:r>
          </w:p>
        </w:tc>
        <w:tc>
          <w:tcPr>
            <w:tcW w:w="16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3"/>
                <w:szCs w:val="13"/>
                <w:color w:val="1252DE"/>
              </w:rPr>
              <w:t>Other</w:t>
            </w:r>
          </w:p>
        </w:tc>
        <w:tc>
          <w:tcPr>
            <w:tcW w:w="2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1252DE"/>
              </w:rPr>
              <w:t>Share-</w:t>
            </w: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1252DE"/>
              </w:rPr>
              <w:t>Non-</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1252DE"/>
              </w:rPr>
              <w:t>Total</w:t>
            </w:r>
          </w:p>
        </w:tc>
        <w:tc>
          <w:tcPr>
            <w:tcW w:w="0" w:type="dxa"/>
            <w:vAlign w:val="bottom"/>
          </w:tcPr>
          <w:p>
            <w:pPr>
              <w:spacing w:after="0"/>
              <w:rPr>
                <w:sz w:val="1"/>
                <w:szCs w:val="1"/>
                <w:color w:val="auto"/>
              </w:rPr>
            </w:pPr>
          </w:p>
        </w:tc>
      </w:tr>
      <w:tr>
        <w:trPr>
          <w:trHeight w:val="127"/>
        </w:trPr>
        <w:tc>
          <w:tcPr>
            <w:tcW w:w="3700" w:type="dxa"/>
            <w:vAlign w:val="bottom"/>
            <w:vMerge w:val="restart"/>
          </w:tcPr>
          <w:p>
            <w:pPr>
              <w:ind w:left="20"/>
              <w:spacing w:after="0"/>
              <w:rPr>
                <w:sz w:val="20"/>
                <w:szCs w:val="20"/>
                <w:color w:val="auto"/>
              </w:rPr>
            </w:pPr>
            <w:r>
              <w:rPr>
                <w:rFonts w:ascii="Arial" w:cs="Arial" w:eastAsia="Arial" w:hAnsi="Arial"/>
                <w:sz w:val="13"/>
                <w:szCs w:val="13"/>
                <w:i w:val="1"/>
                <w:iCs w:val="1"/>
                <w:color w:val="1252DE"/>
              </w:rPr>
              <w:t>(in millions, except per share data)</w:t>
            </w:r>
          </w:p>
        </w:tc>
        <w:tc>
          <w:tcPr>
            <w:tcW w:w="6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3"/>
                <w:szCs w:val="13"/>
                <w:color w:val="1252DE"/>
              </w:rPr>
              <w:t>Paid-in</w:t>
            </w: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28" w:lineRule="exact"/>
              <w:rPr>
                <w:sz w:val="20"/>
                <w:szCs w:val="20"/>
                <w:color w:val="auto"/>
              </w:rPr>
            </w:pPr>
            <w:r>
              <w:rPr>
                <w:rFonts w:ascii="Arial" w:cs="Arial" w:eastAsia="Arial" w:hAnsi="Arial"/>
                <w:sz w:val="13"/>
                <w:szCs w:val="13"/>
                <w:color w:val="1252DE"/>
              </w:rPr>
              <w:t>Comprehensive</w:t>
            </w:r>
          </w:p>
        </w:tc>
        <w:tc>
          <w:tcPr>
            <w:tcW w:w="2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3"/>
                <w:szCs w:val="13"/>
                <w:color w:val="1252DE"/>
              </w:rPr>
              <w:t>holders'</w:t>
            </w:r>
          </w:p>
        </w:tc>
        <w:tc>
          <w:tcPr>
            <w:tcW w:w="16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Arial" w:cs="Arial" w:eastAsia="Arial" w:hAnsi="Arial"/>
                <w:sz w:val="13"/>
                <w:szCs w:val="13"/>
                <w:color w:val="1252DE"/>
              </w:rPr>
              <w:t>controlling</w:t>
            </w:r>
          </w:p>
        </w:tc>
        <w:tc>
          <w:tcPr>
            <w:tcW w:w="2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1352DE"/>
            </w:tcBorders>
            <w:vMerge w:val="continue"/>
          </w:tcPr>
          <w:p>
            <w:pPr>
              <w:spacing w:after="0"/>
              <w:rPr>
                <w:sz w:val="14"/>
                <w:szCs w:val="14"/>
                <w:color w:val="auto"/>
              </w:rPr>
            </w:pPr>
          </w:p>
        </w:tc>
        <w:tc>
          <w:tcPr>
            <w:tcW w:w="680" w:type="dxa"/>
            <w:vAlign w:val="bottom"/>
            <w:tcBorders>
              <w:bottom w:val="single" w:sz="8" w:color="1352DE"/>
            </w:tcBorders>
          </w:tcPr>
          <w:p>
            <w:pPr>
              <w:spacing w:after="0"/>
              <w:rPr>
                <w:sz w:val="14"/>
                <w:szCs w:val="14"/>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Stock</w:t>
            </w:r>
          </w:p>
        </w:tc>
        <w:tc>
          <w:tcPr>
            <w:tcW w:w="220" w:type="dxa"/>
            <w:vAlign w:val="bottom"/>
            <w:tcBorders>
              <w:bottom w:val="single" w:sz="8" w:color="1352DE"/>
            </w:tcBorders>
          </w:tcPr>
          <w:p>
            <w:pPr>
              <w:spacing w:after="0"/>
              <w:rPr>
                <w:sz w:val="14"/>
                <w:szCs w:val="14"/>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Stock</w:t>
            </w:r>
          </w:p>
        </w:tc>
        <w:tc>
          <w:tcPr>
            <w:tcW w:w="20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Capital</w:t>
            </w:r>
          </w:p>
        </w:tc>
        <w:tc>
          <w:tcPr>
            <w:tcW w:w="200" w:type="dxa"/>
            <w:vAlign w:val="bottom"/>
            <w:tcBorders>
              <w:bottom w:val="single" w:sz="8" w:color="1352DE"/>
            </w:tcBorders>
          </w:tcPr>
          <w:p>
            <w:pPr>
              <w:spacing w:after="0"/>
              <w:rPr>
                <w:sz w:val="14"/>
                <w:szCs w:val="14"/>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Earnings</w:t>
            </w:r>
          </w:p>
        </w:tc>
        <w:tc>
          <w:tcPr>
            <w:tcW w:w="160" w:type="dxa"/>
            <w:vAlign w:val="bottom"/>
            <w:tcBorders>
              <w:bottom w:val="single" w:sz="8" w:color="1352DE"/>
            </w:tcBorders>
          </w:tcPr>
          <w:p>
            <w:pPr>
              <w:spacing w:after="0"/>
              <w:rPr>
                <w:sz w:val="14"/>
                <w:szCs w:val="14"/>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Income (Loss)</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Equity</w:t>
            </w:r>
          </w:p>
        </w:tc>
        <w:tc>
          <w:tcPr>
            <w:tcW w:w="160" w:type="dxa"/>
            <w:vAlign w:val="bottom"/>
            <w:tcBorders>
              <w:bottom w:val="single" w:sz="8" w:color="1352DE"/>
            </w:tcBorders>
          </w:tcPr>
          <w:p>
            <w:pPr>
              <w:spacing w:after="0"/>
              <w:rPr>
                <w:sz w:val="14"/>
                <w:szCs w:val="14"/>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Interests</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Equity</w:t>
            </w:r>
          </w:p>
        </w:tc>
        <w:tc>
          <w:tcPr>
            <w:tcW w:w="0" w:type="dxa"/>
            <w:vAlign w:val="bottom"/>
          </w:tcPr>
          <w:p>
            <w:pPr>
              <w:spacing w:after="0"/>
              <w:rPr>
                <w:sz w:val="1"/>
                <w:szCs w:val="1"/>
                <w:color w:val="auto"/>
              </w:rPr>
            </w:pPr>
          </w:p>
        </w:tc>
      </w:tr>
      <w:tr>
        <w:trPr>
          <w:trHeight w:val="169"/>
        </w:trPr>
        <w:tc>
          <w:tcPr>
            <w:tcW w:w="3700" w:type="dxa"/>
            <w:vAlign w:val="bottom"/>
          </w:tcPr>
          <w:p>
            <w:pPr>
              <w:ind w:left="20"/>
              <w:spacing w:after="0"/>
              <w:rPr>
                <w:sz w:val="20"/>
                <w:szCs w:val="20"/>
                <w:color w:val="auto"/>
              </w:rPr>
            </w:pPr>
            <w:r>
              <w:rPr>
                <w:rFonts w:ascii="Arial" w:cs="Arial" w:eastAsia="Arial" w:hAnsi="Arial"/>
                <w:sz w:val="13"/>
                <w:szCs w:val="13"/>
                <w:b w:val="1"/>
                <w:bCs w:val="1"/>
                <w:color w:val="1252DE"/>
              </w:rPr>
              <w:t>Three Months Ended September 30, 2026</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Balance, beginning of period</w:t>
            </w:r>
          </w:p>
        </w:tc>
        <w:tc>
          <w:tcPr>
            <w:tcW w:w="68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4,766</w:t>
            </w:r>
          </w:p>
        </w:tc>
        <w:tc>
          <w:tcPr>
            <w:tcW w:w="220" w:type="dxa"/>
            <w:vAlign w:val="bottom"/>
            <w:tcBorders>
              <w:bottom w:val="single" w:sz="8" w:color="1352DE"/>
            </w:tcBorders>
          </w:tcPr>
          <w:p>
            <w:pPr>
              <w:jc w:val="right"/>
              <w:ind w:right="57"/>
              <w:spacing w:after="0"/>
              <w:rPr>
                <w:sz w:val="20"/>
                <w:szCs w:val="20"/>
                <w:color w:val="auto"/>
              </w:rPr>
            </w:pPr>
            <w:r>
              <w:rPr>
                <w:rFonts w:ascii="Arial" w:cs="Arial" w:eastAsia="Arial" w:hAnsi="Arial"/>
                <w:sz w:val="13"/>
                <w:szCs w:val="13"/>
                <w:b w:val="1"/>
                <w:bCs w:val="1"/>
                <w:color w:val="12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(72,283)</w:t>
            </w:r>
          </w:p>
        </w:tc>
        <w:tc>
          <w:tcPr>
            <w:tcW w:w="200" w:type="dxa"/>
            <w:vAlign w:val="bottom"/>
            <w:tcBorders>
              <w:bottom w:val="single" w:sz="8" w:color="1352DE"/>
            </w:tcBorders>
          </w:tcPr>
          <w:p>
            <w:pPr>
              <w:jc w:val="right"/>
              <w:ind w:right="57"/>
              <w:spacing w:after="0"/>
              <w:rPr>
                <w:sz w:val="20"/>
                <w:szCs w:val="20"/>
                <w:color w:val="auto"/>
              </w:rPr>
            </w:pPr>
            <w:r>
              <w:rPr>
                <w:rFonts w:ascii="Arial" w:cs="Arial" w:eastAsia="Arial" w:hAnsi="Arial"/>
                <w:sz w:val="13"/>
                <w:szCs w:val="13"/>
                <w:b w:val="1"/>
                <w:bCs w:val="1"/>
                <w:color w:val="1252DE"/>
                <w:w w:val="82"/>
              </w:rPr>
              <w:t>$</w:t>
            </w:r>
          </w:p>
        </w:tc>
        <w:tc>
          <w:tcPr>
            <w:tcW w:w="7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75,341</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w:t>
            </w:r>
          </w:p>
        </w:tc>
        <w:tc>
          <w:tcPr>
            <w:tcW w:w="6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38,388</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(5,606)</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40,606</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20</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40,626</w:t>
            </w:r>
          </w:p>
        </w:tc>
        <w:tc>
          <w:tcPr>
            <w:tcW w:w="0" w:type="dxa"/>
            <w:vAlign w:val="bottom"/>
          </w:tcPr>
          <w:p>
            <w:pPr>
              <w:spacing w:after="0"/>
              <w:rPr>
                <w:sz w:val="1"/>
                <w:szCs w:val="1"/>
                <w:color w:val="auto"/>
              </w:rPr>
            </w:pPr>
          </w:p>
        </w:tc>
      </w:tr>
      <w:tr>
        <w:trPr>
          <w:trHeight w:val="169"/>
        </w:trPr>
        <w:tc>
          <w:tcPr>
            <w:tcW w:w="3700" w:type="dxa"/>
            <w:vAlign w:val="bottom"/>
          </w:tcPr>
          <w:p>
            <w:pPr>
              <w:ind w:left="20"/>
              <w:spacing w:after="0"/>
              <w:rPr>
                <w:sz w:val="20"/>
                <w:szCs w:val="20"/>
                <w:color w:val="auto"/>
              </w:rPr>
            </w:pPr>
            <w:r>
              <w:rPr>
                <w:rFonts w:ascii="Arial" w:cs="Arial" w:eastAsia="Arial" w:hAnsi="Arial"/>
                <w:sz w:val="13"/>
                <w:szCs w:val="13"/>
                <w:color w:val="auto"/>
              </w:rPr>
              <w:t>Common stock issued under stock plans</w:t>
            </w:r>
          </w:p>
        </w:tc>
        <w:tc>
          <w:tcPr>
            <w:tcW w:w="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2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1252DE"/>
              </w:rPr>
              <w:t>41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1252DE"/>
              </w:rPr>
              <w:t>(4)</w:t>
            </w:r>
          </w:p>
        </w:tc>
        <w:tc>
          <w:tcPr>
            <w:tcW w:w="2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16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37</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37</w:t>
            </w:r>
          </w:p>
        </w:tc>
        <w:tc>
          <w:tcPr>
            <w:tcW w:w="0" w:type="dxa"/>
            <w:vAlign w:val="bottom"/>
          </w:tcPr>
          <w:p>
            <w:pPr>
              <w:spacing w:after="0"/>
              <w:rPr>
                <w:sz w:val="1"/>
                <w:szCs w:val="1"/>
                <w:color w:val="auto"/>
              </w:rPr>
            </w:pPr>
          </w:p>
        </w:tc>
      </w:tr>
      <w:tr>
        <w:trPr>
          <w:trHeight w:val="172"/>
        </w:trPr>
        <w:tc>
          <w:tcPr>
            <w:tcW w:w="3700" w:type="dxa"/>
            <w:vAlign w:val="bottom"/>
          </w:tcPr>
          <w:p>
            <w:pPr>
              <w:ind w:left="20"/>
              <w:spacing w:after="0"/>
              <w:rPr>
                <w:sz w:val="20"/>
                <w:szCs w:val="20"/>
                <w:color w:val="auto"/>
              </w:rPr>
            </w:pPr>
            <w:r>
              <w:rPr>
                <w:rFonts w:ascii="Arial" w:cs="Arial" w:eastAsia="Arial" w:hAnsi="Arial"/>
                <w:sz w:val="13"/>
                <w:szCs w:val="13"/>
                <w:color w:val="auto"/>
              </w:rPr>
              <w:t>Purchase of common stock</w:t>
            </w:r>
          </w:p>
        </w:tc>
        <w:tc>
          <w:tcPr>
            <w:tcW w:w="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252DE"/>
              </w:rPr>
              <w:t>(532)</w:t>
            </w: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16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(532)</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(532)</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3"/>
                <w:szCs w:val="13"/>
                <w:color w:val="auto"/>
              </w:rPr>
              <w:t>Net income attributable to AIG or noncontrolling interests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2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1252DE"/>
              </w:rPr>
              <w:t>844</w:t>
            </w:r>
          </w:p>
        </w:tc>
        <w:tc>
          <w:tcPr>
            <w:tcW w:w="16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844</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252DE"/>
              </w:rPr>
              <w:t>5</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849</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Dividends on common stock ($0.50 per share)</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2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252DE"/>
              </w:rPr>
              <w:t>(260)</w:t>
            </w:r>
          </w:p>
        </w:tc>
        <w:tc>
          <w:tcPr>
            <w:tcW w:w="16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(260)</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(260)</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2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1252DE"/>
              </w:rPr>
              <w:t>(1,848)</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(1,848)</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252DE"/>
              </w:rPr>
              <w:t>(1,848)</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Other</w:t>
            </w:r>
          </w:p>
        </w:tc>
        <w:tc>
          <w:tcPr>
            <w:tcW w:w="68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22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43</w:t>
            </w:r>
          </w:p>
        </w:tc>
        <w:tc>
          <w:tcPr>
            <w:tcW w:w="20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(7)</w:t>
            </w:r>
          </w:p>
        </w:tc>
        <w:tc>
          <w:tcPr>
            <w:tcW w:w="16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36</w:t>
            </w:r>
          </w:p>
        </w:tc>
        <w:tc>
          <w:tcPr>
            <w:tcW w:w="160" w:type="dxa"/>
            <w:vAlign w:val="bottom"/>
            <w:tcBorders>
              <w:bottom w:val="single" w:sz="8" w:color="1352DE"/>
            </w:tcBorders>
          </w:tcPr>
          <w:p>
            <w:pPr>
              <w:spacing w:after="0"/>
              <w:rPr>
                <w:sz w:val="15"/>
                <w:szCs w:val="15"/>
                <w:color w:val="auto"/>
              </w:rPr>
            </w:pP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1</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37</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3051F2"/>
              </w:rPr>
              <w:t>Balance, end of period</w:t>
            </w:r>
          </w:p>
        </w:tc>
        <w:tc>
          <w:tcPr>
            <w:tcW w:w="68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3051F2"/>
              </w:rPr>
              <w:t>4,766</w:t>
            </w:r>
          </w:p>
        </w:tc>
        <w:tc>
          <w:tcPr>
            <w:tcW w:w="220" w:type="dxa"/>
            <w:vAlign w:val="bottom"/>
            <w:tcBorders>
              <w:bottom w:val="single" w:sz="8" w:color="1352DE"/>
            </w:tcBorders>
          </w:tcPr>
          <w:p>
            <w:pPr>
              <w:jc w:val="right"/>
              <w:ind w:right="57"/>
              <w:spacing w:after="0"/>
              <w:rPr>
                <w:sz w:val="20"/>
                <w:szCs w:val="20"/>
                <w:color w:val="auto"/>
              </w:rPr>
            </w:pPr>
            <w:r>
              <w:rPr>
                <w:rFonts w:ascii="Arial" w:cs="Arial" w:eastAsia="Arial" w:hAnsi="Arial"/>
                <w:sz w:val="13"/>
                <w:szCs w:val="13"/>
                <w:b w:val="1"/>
                <w:bCs w:val="1"/>
                <w:color w:val="12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3051F2"/>
              </w:rPr>
              <w:t>(72,774)</w:t>
            </w:r>
          </w:p>
        </w:tc>
        <w:tc>
          <w:tcPr>
            <w:tcW w:w="200" w:type="dxa"/>
            <w:vAlign w:val="bottom"/>
            <w:tcBorders>
              <w:bottom w:val="single" w:sz="8" w:color="1352DE"/>
            </w:tcBorders>
          </w:tcPr>
          <w:p>
            <w:pPr>
              <w:jc w:val="right"/>
              <w:ind w:right="57"/>
              <w:spacing w:after="0"/>
              <w:rPr>
                <w:sz w:val="20"/>
                <w:szCs w:val="20"/>
                <w:color w:val="auto"/>
              </w:rPr>
            </w:pPr>
            <w:r>
              <w:rPr>
                <w:rFonts w:ascii="Arial" w:cs="Arial" w:eastAsia="Arial" w:hAnsi="Arial"/>
                <w:sz w:val="13"/>
                <w:szCs w:val="13"/>
                <w:b w:val="1"/>
                <w:bCs w:val="1"/>
                <w:color w:val="1252DE"/>
                <w:w w:val="82"/>
              </w:rPr>
              <w:t>$</w:t>
            </w:r>
          </w:p>
        </w:tc>
        <w:tc>
          <w:tcPr>
            <w:tcW w:w="7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3051F2"/>
              </w:rPr>
              <w:t>75,380</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w:t>
            </w:r>
          </w:p>
        </w:tc>
        <w:tc>
          <w:tcPr>
            <w:tcW w:w="6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3051F2"/>
              </w:rPr>
              <w:t>38,965</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3051F2"/>
              </w:rPr>
              <w:t>(7,454)</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3051F2"/>
              </w:rPr>
              <w:t>38,883</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3051F2"/>
              </w:rPr>
              <w:t>26</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2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3051F2"/>
              </w:rPr>
              <w:t>38,909</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Arial" w:cs="Arial" w:eastAsia="Arial" w:hAnsi="Arial"/>
                <w:sz w:val="13"/>
                <w:szCs w:val="13"/>
                <w:color w:val="1252DE"/>
              </w:rPr>
              <w:t>Three Months Ended September 30, 2025</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352DE"/>
              </w:rPr>
              <w:t>Balance, beginning of period</w:t>
            </w:r>
          </w:p>
        </w:tc>
        <w:tc>
          <w:tcPr>
            <w:tcW w:w="68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4,766</w:t>
            </w:r>
          </w:p>
        </w:tc>
        <w:tc>
          <w:tcPr>
            <w:tcW w:w="220" w:type="dxa"/>
            <w:vAlign w:val="bottom"/>
            <w:tcBorders>
              <w:bottom w:val="single" w:sz="8" w:color="1352DE"/>
            </w:tcBorders>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(69,430)</w:t>
            </w:r>
          </w:p>
        </w:tc>
        <w:tc>
          <w:tcPr>
            <w:tcW w:w="200" w:type="dxa"/>
            <w:vAlign w:val="bottom"/>
            <w:tcBorders>
              <w:bottom w:val="single" w:sz="8" w:color="1352DE"/>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75,289</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36,424</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(5,548)</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41,501</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28</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41,529</w:t>
            </w:r>
          </w:p>
        </w:tc>
        <w:tc>
          <w:tcPr>
            <w:tcW w:w="0" w:type="dxa"/>
            <w:vAlign w:val="bottom"/>
          </w:tcPr>
          <w:p>
            <w:pPr>
              <w:spacing w:after="0"/>
              <w:rPr>
                <w:sz w:val="1"/>
                <w:szCs w:val="1"/>
                <w:color w:val="auto"/>
              </w:rPr>
            </w:pPr>
          </w:p>
        </w:tc>
      </w:tr>
      <w:tr>
        <w:trPr>
          <w:trHeight w:val="163"/>
        </w:trPr>
        <w:tc>
          <w:tcPr>
            <w:tcW w:w="3700" w:type="dxa"/>
            <w:vAlign w:val="bottom"/>
          </w:tcPr>
          <w:p>
            <w:pPr>
              <w:ind w:left="20"/>
              <w:spacing w:after="0"/>
              <w:rPr>
                <w:sz w:val="20"/>
                <w:szCs w:val="20"/>
                <w:color w:val="auto"/>
              </w:rPr>
            </w:pPr>
            <w:r>
              <w:rPr>
                <w:rFonts w:ascii="Arial" w:cs="Arial" w:eastAsia="Arial" w:hAnsi="Arial"/>
                <w:sz w:val="13"/>
                <w:szCs w:val="13"/>
                <w:color w:val="auto"/>
              </w:rPr>
              <w:t>Common stock issued under stock plans</w:t>
            </w:r>
          </w:p>
        </w:tc>
        <w:tc>
          <w:tcPr>
            <w:tcW w:w="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3700" w:type="dxa"/>
            <w:vAlign w:val="bottom"/>
          </w:tcPr>
          <w:p>
            <w:pPr>
              <w:ind w:left="20"/>
              <w:spacing w:after="0"/>
              <w:rPr>
                <w:sz w:val="20"/>
                <w:szCs w:val="20"/>
                <w:color w:val="auto"/>
              </w:rPr>
            </w:pPr>
            <w:r>
              <w:rPr>
                <w:rFonts w:ascii="Arial" w:cs="Arial" w:eastAsia="Arial" w:hAnsi="Arial"/>
                <w:sz w:val="13"/>
                <w:szCs w:val="13"/>
                <w:color w:val="auto"/>
              </w:rPr>
              <w:t>Purchase of common stock</w:t>
            </w:r>
          </w:p>
        </w:tc>
        <w:tc>
          <w:tcPr>
            <w:tcW w:w="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(1,246)</w:t>
            </w: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(1,246)</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(1,246)</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3"/>
                <w:szCs w:val="13"/>
                <w:color w:val="auto"/>
              </w:rPr>
              <w:t>Net income attributable to AIG or noncontrolling interests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519</w:t>
            </w:r>
          </w:p>
        </w:tc>
        <w:tc>
          <w:tcPr>
            <w:tcW w:w="16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519</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Dividends on common stock ($0.45 per share)</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(246)</w:t>
            </w:r>
          </w:p>
        </w:tc>
        <w:tc>
          <w:tcPr>
            <w:tcW w:w="16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(246)</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502</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502</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Other</w:t>
            </w:r>
          </w:p>
        </w:tc>
        <w:tc>
          <w:tcPr>
            <w:tcW w:w="68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46</w:t>
            </w:r>
          </w:p>
        </w:tc>
        <w:tc>
          <w:tcPr>
            <w:tcW w:w="20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1</w:t>
            </w:r>
          </w:p>
        </w:tc>
        <w:tc>
          <w:tcPr>
            <w:tcW w:w="16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47</w:t>
            </w:r>
          </w:p>
        </w:tc>
        <w:tc>
          <w:tcPr>
            <w:tcW w:w="160" w:type="dxa"/>
            <w:vAlign w:val="bottom"/>
            <w:tcBorders>
              <w:bottom w:val="single" w:sz="8" w:color="1352DE"/>
            </w:tcBorders>
          </w:tcPr>
          <w:p>
            <w:pPr>
              <w:spacing w:after="0"/>
              <w:rPr>
                <w:sz w:val="15"/>
                <w:szCs w:val="15"/>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4"/>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352DE"/>
              </w:rPr>
              <w:t>Balance, end of period</w:t>
            </w:r>
          </w:p>
        </w:tc>
        <w:tc>
          <w:tcPr>
            <w:tcW w:w="68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4,766</w:t>
            </w:r>
          </w:p>
        </w:tc>
        <w:tc>
          <w:tcPr>
            <w:tcW w:w="220" w:type="dxa"/>
            <w:vAlign w:val="bottom"/>
            <w:tcBorders>
              <w:bottom w:val="single" w:sz="8" w:color="1352DE"/>
            </w:tcBorders>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(70,667)</w:t>
            </w:r>
          </w:p>
        </w:tc>
        <w:tc>
          <w:tcPr>
            <w:tcW w:w="200" w:type="dxa"/>
            <w:vAlign w:val="bottom"/>
            <w:tcBorders>
              <w:bottom w:val="single" w:sz="8" w:color="1352DE"/>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75,334</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36,698</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(5,046)</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41,085</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32</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41,117</w:t>
            </w:r>
          </w:p>
        </w:tc>
        <w:tc>
          <w:tcPr>
            <w:tcW w:w="0" w:type="dxa"/>
            <w:vAlign w:val="bottom"/>
          </w:tcPr>
          <w:p>
            <w:pPr>
              <w:spacing w:after="0"/>
              <w:rPr>
                <w:sz w:val="1"/>
                <w:szCs w:val="1"/>
                <w:color w:val="auto"/>
              </w:rPr>
            </w:pPr>
          </w:p>
        </w:tc>
      </w:tr>
      <w:tr>
        <w:trPr>
          <w:trHeight w:val="284"/>
        </w:trPr>
        <w:tc>
          <w:tcPr>
            <w:tcW w:w="3700" w:type="dxa"/>
            <w:vAlign w:val="bottom"/>
          </w:tcPr>
          <w:p>
            <w:pPr>
              <w:ind w:left="20"/>
              <w:spacing w:after="0"/>
              <w:rPr>
                <w:sz w:val="20"/>
                <w:szCs w:val="20"/>
                <w:color w:val="auto"/>
              </w:rPr>
            </w:pPr>
            <w:r>
              <w:rPr>
                <w:rFonts w:ascii="Arial" w:cs="Arial" w:eastAsia="Arial" w:hAnsi="Arial"/>
                <w:sz w:val="13"/>
                <w:szCs w:val="13"/>
                <w:b w:val="1"/>
                <w:bCs w:val="1"/>
                <w:color w:val="1252DE"/>
              </w:rPr>
              <w:t>Nine Months Ended September 30, 2026</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Balance, beginning of year</w:t>
            </w: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4,766</w:t>
            </w:r>
          </w:p>
        </w:tc>
        <w:tc>
          <w:tcPr>
            <w:tcW w:w="2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3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(71,199)</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3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75,373</w:t>
            </w:r>
          </w:p>
        </w:tc>
        <w:tc>
          <w:tcPr>
            <w:tcW w:w="20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3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37,186</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(4,987)</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3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41,139</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352DE"/>
              </w:rPr>
              <w:t>23</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3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41,162</w:t>
            </w:r>
          </w:p>
        </w:tc>
        <w:tc>
          <w:tcPr>
            <w:tcW w:w="0" w:type="dxa"/>
            <w:vAlign w:val="bottom"/>
          </w:tcPr>
          <w:p>
            <w:pPr>
              <w:spacing w:after="0"/>
              <w:rPr>
                <w:sz w:val="1"/>
                <w:szCs w:val="1"/>
                <w:color w:val="auto"/>
              </w:rPr>
            </w:pPr>
          </w:p>
        </w:tc>
      </w:tr>
      <w:tr>
        <w:trPr>
          <w:trHeight w:val="169"/>
        </w:trPr>
        <w:tc>
          <w:tcPr>
            <w:tcW w:w="3700" w:type="dxa"/>
            <w:vAlign w:val="bottom"/>
          </w:tcPr>
          <w:p>
            <w:pPr>
              <w:ind w:left="20"/>
              <w:spacing w:after="0"/>
              <w:rPr>
                <w:sz w:val="20"/>
                <w:szCs w:val="20"/>
                <w:color w:val="auto"/>
              </w:rPr>
            </w:pPr>
            <w:r>
              <w:rPr>
                <w:rFonts w:ascii="Arial" w:cs="Arial" w:eastAsia="Arial" w:hAnsi="Arial"/>
                <w:sz w:val="13"/>
                <w:szCs w:val="13"/>
                <w:color w:val="auto"/>
              </w:rPr>
              <w:t>Common stock issued under stock plans</w:t>
            </w:r>
          </w:p>
        </w:tc>
        <w:tc>
          <w:tcPr>
            <w:tcW w:w="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129</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1352DE"/>
              </w:rPr>
              <w:t>(160)</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(31)</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(31)</w:t>
            </w:r>
          </w:p>
        </w:tc>
        <w:tc>
          <w:tcPr>
            <w:tcW w:w="0" w:type="dxa"/>
            <w:vAlign w:val="bottom"/>
          </w:tcPr>
          <w:p>
            <w:pPr>
              <w:spacing w:after="0"/>
              <w:rPr>
                <w:sz w:val="1"/>
                <w:szCs w:val="1"/>
                <w:color w:val="auto"/>
              </w:rPr>
            </w:pPr>
          </w:p>
        </w:tc>
      </w:tr>
      <w:tr>
        <w:trPr>
          <w:trHeight w:val="172"/>
        </w:trPr>
        <w:tc>
          <w:tcPr>
            <w:tcW w:w="3700" w:type="dxa"/>
            <w:vAlign w:val="bottom"/>
          </w:tcPr>
          <w:p>
            <w:pPr>
              <w:ind w:left="20"/>
              <w:spacing w:after="0"/>
              <w:rPr>
                <w:sz w:val="20"/>
                <w:szCs w:val="20"/>
                <w:color w:val="auto"/>
              </w:rPr>
            </w:pPr>
            <w:r>
              <w:rPr>
                <w:rFonts w:ascii="Arial" w:cs="Arial" w:eastAsia="Arial" w:hAnsi="Arial"/>
                <w:sz w:val="13"/>
                <w:szCs w:val="13"/>
                <w:color w:val="auto"/>
              </w:rPr>
              <w:t>Purchase of common stock</w:t>
            </w:r>
          </w:p>
        </w:tc>
        <w:tc>
          <w:tcPr>
            <w:tcW w:w="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(1,704)</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(1,704)</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(1,704)</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Net income attributable to AIG or noncontrolling interests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2,555</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2,555</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352DE"/>
              </w:rPr>
              <w:t>5</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2,560</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Dividends on common stock ($1.45 per share)</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(764)</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(764)</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(764)</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1352DE"/>
              </w:rPr>
              <w:t>(2,467)</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(2,467)</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(2,467)</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1352DE"/>
              </w:rPr>
              <w:t>(4)</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352DE"/>
              </w:rPr>
              <w:t>(4)</w:t>
            </w:r>
          </w:p>
        </w:tc>
        <w:tc>
          <w:tcPr>
            <w:tcW w:w="0" w:type="dxa"/>
            <w:vAlign w:val="bottom"/>
          </w:tcPr>
          <w:p>
            <w:pPr>
              <w:spacing w:after="0"/>
              <w:rPr>
                <w:sz w:val="1"/>
                <w:szCs w:val="1"/>
                <w:color w:val="auto"/>
              </w:rPr>
            </w:pPr>
          </w:p>
        </w:tc>
      </w:tr>
      <w:tr>
        <w:trPr>
          <w:trHeight w:val="180"/>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Other</w:t>
            </w:r>
          </w:p>
        </w:tc>
        <w:tc>
          <w:tcPr>
            <w:tcW w:w="68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22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167</w:t>
            </w:r>
          </w:p>
        </w:tc>
        <w:tc>
          <w:tcPr>
            <w:tcW w:w="20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(12)</w:t>
            </w:r>
          </w:p>
        </w:tc>
        <w:tc>
          <w:tcPr>
            <w:tcW w:w="16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155</w:t>
            </w:r>
          </w:p>
        </w:tc>
        <w:tc>
          <w:tcPr>
            <w:tcW w:w="160" w:type="dxa"/>
            <w:vAlign w:val="bottom"/>
            <w:tcBorders>
              <w:bottom w:val="single" w:sz="8" w:color="1352DE"/>
            </w:tcBorders>
          </w:tcPr>
          <w:p>
            <w:pPr>
              <w:spacing w:after="0"/>
              <w:rPr>
                <w:sz w:val="15"/>
                <w:szCs w:val="15"/>
                <w:color w:val="auto"/>
              </w:rPr>
            </w:pP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352DE"/>
              </w:rPr>
              <w:t>2</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157</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Balance, end of period</w:t>
            </w: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4,766</w:t>
            </w:r>
          </w:p>
        </w:tc>
        <w:tc>
          <w:tcPr>
            <w:tcW w:w="2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3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(72,774)</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3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75,380</w:t>
            </w:r>
          </w:p>
        </w:tc>
        <w:tc>
          <w:tcPr>
            <w:tcW w:w="20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3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38,965</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(7,454)</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3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38,883</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352DE"/>
              </w:rPr>
              <w:t>26</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b w:val="1"/>
                <w:bCs w:val="1"/>
                <w:color w:val="13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38,909</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Arial" w:cs="Arial" w:eastAsia="Arial" w:hAnsi="Arial"/>
                <w:sz w:val="13"/>
                <w:szCs w:val="13"/>
                <w:color w:val="1252DE"/>
              </w:rPr>
              <w:t>Nine Months Ended September 30, 2025</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Balance, beginning of year</w:t>
            </w: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4,766</w:t>
            </w:r>
          </w:p>
        </w:tc>
        <w:tc>
          <w:tcPr>
            <w:tcW w:w="2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(65,573)</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75,348</w:t>
            </w:r>
          </w:p>
        </w:tc>
        <w:tc>
          <w:tcPr>
            <w:tcW w:w="20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35,079</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(7,099)</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42,521</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29</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42,550</w:t>
            </w:r>
          </w:p>
        </w:tc>
        <w:tc>
          <w:tcPr>
            <w:tcW w:w="0" w:type="dxa"/>
            <w:vAlign w:val="bottom"/>
          </w:tcPr>
          <w:p>
            <w:pPr>
              <w:spacing w:after="0"/>
              <w:rPr>
                <w:sz w:val="1"/>
                <w:szCs w:val="1"/>
                <w:color w:val="auto"/>
              </w:rPr>
            </w:pPr>
          </w:p>
        </w:tc>
      </w:tr>
      <w:tr>
        <w:trPr>
          <w:trHeight w:val="163"/>
        </w:trPr>
        <w:tc>
          <w:tcPr>
            <w:tcW w:w="3700" w:type="dxa"/>
            <w:vAlign w:val="bottom"/>
          </w:tcPr>
          <w:p>
            <w:pPr>
              <w:ind w:left="20"/>
              <w:spacing w:after="0"/>
              <w:rPr>
                <w:sz w:val="20"/>
                <w:szCs w:val="20"/>
                <w:color w:val="auto"/>
              </w:rPr>
            </w:pPr>
            <w:r>
              <w:rPr>
                <w:rFonts w:ascii="Arial" w:cs="Arial" w:eastAsia="Arial" w:hAnsi="Arial"/>
                <w:sz w:val="13"/>
                <w:szCs w:val="13"/>
                <w:color w:val="auto"/>
              </w:rPr>
              <w:t>Common stock issued under stock plans</w:t>
            </w:r>
          </w:p>
        </w:tc>
        <w:tc>
          <w:tcPr>
            <w:tcW w:w="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208</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(174)</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71"/>
        </w:trPr>
        <w:tc>
          <w:tcPr>
            <w:tcW w:w="3700" w:type="dxa"/>
            <w:vAlign w:val="bottom"/>
          </w:tcPr>
          <w:p>
            <w:pPr>
              <w:ind w:left="20"/>
              <w:spacing w:after="0"/>
              <w:rPr>
                <w:sz w:val="20"/>
                <w:szCs w:val="20"/>
                <w:color w:val="auto"/>
              </w:rPr>
            </w:pPr>
            <w:r>
              <w:rPr>
                <w:rFonts w:ascii="Arial" w:cs="Arial" w:eastAsia="Arial" w:hAnsi="Arial"/>
                <w:sz w:val="13"/>
                <w:szCs w:val="13"/>
                <w:color w:val="auto"/>
              </w:rPr>
              <w:t>Purchase of common stock</w:t>
            </w:r>
          </w:p>
        </w:tc>
        <w:tc>
          <w:tcPr>
            <w:tcW w:w="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(5,302)</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(5,302)</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(5,302)</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Net income attributable to AIG or noncontrolling interests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2,361</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2,361</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2,366</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Dividends on common stock ($1.30 per share)</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(734)</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(734)</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(734)</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2,053</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2,053</w:t>
            </w:r>
          </w:p>
        </w:tc>
        <w:tc>
          <w:tcPr>
            <w:tcW w:w="16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2,054</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Other</w:t>
            </w:r>
          </w:p>
        </w:tc>
        <w:tc>
          <w:tcPr>
            <w:tcW w:w="68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160</w:t>
            </w:r>
          </w:p>
        </w:tc>
        <w:tc>
          <w:tcPr>
            <w:tcW w:w="20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(8)</w:t>
            </w:r>
          </w:p>
        </w:tc>
        <w:tc>
          <w:tcPr>
            <w:tcW w:w="16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152</w:t>
            </w:r>
          </w:p>
        </w:tc>
        <w:tc>
          <w:tcPr>
            <w:tcW w:w="160" w:type="dxa"/>
            <w:vAlign w:val="bottom"/>
            <w:tcBorders>
              <w:bottom w:val="single" w:sz="8" w:color="1352DE"/>
            </w:tcBorders>
          </w:tcPr>
          <w:p>
            <w:pPr>
              <w:spacing w:after="0"/>
              <w:rPr>
                <w:sz w:val="15"/>
                <w:szCs w:val="15"/>
                <w:color w:val="auto"/>
              </w:rPr>
            </w:pP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2</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74"/>
        </w:trPr>
        <w:tc>
          <w:tcPr>
            <w:tcW w:w="370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Balance, end of period</w:t>
            </w: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4,766</w:t>
            </w:r>
          </w:p>
        </w:tc>
        <w:tc>
          <w:tcPr>
            <w:tcW w:w="2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(70,667)</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75,334</w:t>
            </w:r>
          </w:p>
        </w:tc>
        <w:tc>
          <w:tcPr>
            <w:tcW w:w="20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36,698</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(5,046)</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41,085</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32</w:t>
            </w:r>
          </w:p>
        </w:tc>
        <w:tc>
          <w:tcPr>
            <w:tcW w:w="200" w:type="dxa"/>
            <w:vAlign w:val="bottom"/>
            <w:tcBorders>
              <w:bottom w:val="single" w:sz="8" w:color="1352DE"/>
            </w:tcBorders>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41,117</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8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0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5</w:t>
            </w:r>
          </w:p>
        </w:tc>
      </w:tr>
      <w:tr>
        <w:trPr>
          <w:trHeight w:val="221"/>
        </w:trPr>
        <w:tc>
          <w:tcPr>
            <w:tcW w:w="7560" w:type="dxa"/>
            <w:vAlign w:val="bottom"/>
            <w:tcBorders>
              <w:bottom w:val="single" w:sz="8" w:color="9A9A9A"/>
            </w:tcBorders>
          </w:tcPr>
          <w:p>
            <w:pPr>
              <w:spacing w:after="0"/>
              <w:rPr>
                <w:sz w:val="19"/>
                <w:szCs w:val="19"/>
                <w:color w:val="auto"/>
              </w:rPr>
            </w:pPr>
          </w:p>
        </w:tc>
        <w:tc>
          <w:tcPr>
            <w:tcW w:w="32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234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7"/>
          <w:szCs w:val="27"/>
          <w:color w:val="001871"/>
        </w:rPr>
        <w:t>American International Group, Inc.</w:t>
      </w:r>
    </w:p>
    <w:p>
      <w:pPr>
        <w:spacing w:after="0"/>
        <w:rPr>
          <w:sz w:val="20"/>
          <w:szCs w:val="20"/>
          <w:color w:val="auto"/>
        </w:rPr>
      </w:pPr>
      <w:r>
        <w:rPr>
          <w:rFonts w:ascii="Arial" w:cs="Arial" w:eastAsia="Arial" w:hAnsi="Arial"/>
          <w:sz w:val="27"/>
          <w:szCs w:val="27"/>
          <w:color w:val="001770"/>
        </w:rPr>
        <w:t xml:space="preserve">Condensed Consolidated Statements of Cash Flows </w:t>
      </w:r>
      <w:r>
        <w:rPr>
          <w:rFonts w:ascii="Arial" w:cs="Arial" w:eastAsia="Arial" w:hAnsi="Arial"/>
          <w:sz w:val="17"/>
          <w:szCs w:val="17"/>
          <w:i w:val="1"/>
          <w:iCs w:val="1"/>
          <w:color w:val="001770"/>
        </w:rPr>
        <w:t>(unaudited)</w:t>
      </w:r>
    </w:p>
    <w:p>
      <w:pPr>
        <w:spacing w:after="0" w:line="218" w:lineRule="exact"/>
        <w:rPr>
          <w:sz w:val="20"/>
          <w:szCs w:val="20"/>
          <w:color w:val="auto"/>
        </w:rPr>
      </w:pPr>
    </w:p>
    <w:p>
      <w:pPr>
        <w:ind w:left="8760"/>
        <w:spacing w:after="0"/>
        <w:rPr>
          <w:sz w:val="20"/>
          <w:szCs w:val="20"/>
          <w:color w:val="auto"/>
        </w:rPr>
      </w:pPr>
      <w:r>
        <w:rPr>
          <w:rFonts w:ascii="Arial" w:cs="Arial" w:eastAsia="Arial" w:hAnsi="Arial"/>
          <w:sz w:val="13"/>
          <w:szCs w:val="13"/>
          <w:color w:val="1252DE"/>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20" w:type="dxa"/>
            <w:vAlign w:val="bottom"/>
            <w:tcBorders>
              <w:bottom w:val="single" w:sz="8" w:color="1352DE"/>
            </w:tcBorders>
          </w:tcPr>
          <w:p>
            <w:pPr>
              <w:ind w:left="20"/>
              <w:spacing w:after="0"/>
              <w:rPr>
                <w:sz w:val="20"/>
                <w:szCs w:val="20"/>
                <w:color w:val="auto"/>
              </w:rPr>
            </w:pPr>
            <w:r>
              <w:rPr>
                <w:rFonts w:ascii="Arial" w:cs="Arial" w:eastAsia="Arial" w:hAnsi="Arial"/>
                <w:sz w:val="12"/>
                <w:szCs w:val="12"/>
                <w:i w:val="1"/>
                <w:iCs w:val="1"/>
                <w:color w:val="1252DE"/>
              </w:rPr>
              <w:t>(in millions)</w:t>
            </w:r>
          </w:p>
        </w:tc>
        <w:tc>
          <w:tcPr>
            <w:tcW w:w="520" w:type="dxa"/>
            <w:vAlign w:val="bottom"/>
            <w:tcBorders>
              <w:top w:val="single" w:sz="8" w:color="1352DE"/>
              <w:bottom w:val="single" w:sz="8" w:color="1352DE"/>
            </w:tcBorders>
          </w:tcPr>
          <w:p>
            <w:pPr>
              <w:spacing w:after="0"/>
              <w:rPr>
                <w:sz w:val="16"/>
                <w:szCs w:val="16"/>
                <w:color w:val="auto"/>
              </w:rPr>
            </w:pPr>
          </w:p>
        </w:tc>
        <w:tc>
          <w:tcPr>
            <w:tcW w:w="940" w:type="dxa"/>
            <w:vAlign w:val="bottom"/>
            <w:tcBorders>
              <w:top w:val="single" w:sz="8" w:color="1352DE"/>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2026</w:t>
            </w:r>
          </w:p>
        </w:tc>
        <w:tc>
          <w:tcPr>
            <w:tcW w:w="500" w:type="dxa"/>
            <w:vAlign w:val="bottom"/>
            <w:tcBorders>
              <w:top w:val="single" w:sz="8" w:color="1352DE"/>
              <w:bottom w:val="single" w:sz="8" w:color="1352DE"/>
            </w:tcBorders>
          </w:tcPr>
          <w:p>
            <w:pPr>
              <w:spacing w:after="0"/>
              <w:rPr>
                <w:sz w:val="16"/>
                <w:szCs w:val="16"/>
                <w:color w:val="auto"/>
              </w:rPr>
            </w:pPr>
          </w:p>
        </w:tc>
        <w:tc>
          <w:tcPr>
            <w:tcW w:w="84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color w:val="1252DE"/>
              </w:rPr>
              <w:t>2025</w:t>
            </w:r>
          </w:p>
        </w:tc>
      </w:tr>
      <w:tr>
        <w:trPr>
          <w:trHeight w:val="181"/>
        </w:trPr>
        <w:tc>
          <w:tcPr>
            <w:tcW w:w="8420" w:type="dxa"/>
            <w:vAlign w:val="bottom"/>
          </w:tcPr>
          <w:p>
            <w:pPr>
              <w:ind w:left="20"/>
              <w:spacing w:after="0"/>
              <w:rPr>
                <w:sz w:val="20"/>
                <w:szCs w:val="20"/>
                <w:color w:val="auto"/>
              </w:rPr>
            </w:pPr>
            <w:r>
              <w:rPr>
                <w:rFonts w:ascii="Arial" w:cs="Arial" w:eastAsia="Arial" w:hAnsi="Arial"/>
                <w:sz w:val="13"/>
                <w:szCs w:val="13"/>
                <w:b w:val="1"/>
                <w:bCs w:val="1"/>
                <w:color w:val="1252DE"/>
              </w:rPr>
              <w:t>Cash flows from operating activities:</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842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Net income</w:t>
            </w:r>
          </w:p>
        </w:tc>
        <w:tc>
          <w:tcPr>
            <w:tcW w:w="520" w:type="dxa"/>
            <w:vAlign w:val="bottom"/>
            <w:tcBorders>
              <w:bottom w:val="single" w:sz="8" w:color="1352DE"/>
            </w:tcBorders>
          </w:tcPr>
          <w:p>
            <w:pPr>
              <w:jc w:val="right"/>
              <w:ind w:right="233"/>
              <w:spacing w:after="0"/>
              <w:rPr>
                <w:sz w:val="20"/>
                <w:szCs w:val="20"/>
                <w:color w:val="auto"/>
              </w:rPr>
            </w:pPr>
            <w:r>
              <w:rPr>
                <w:rFonts w:ascii="Arial" w:cs="Arial" w:eastAsia="Arial" w:hAnsi="Arial"/>
                <w:sz w:val="13"/>
                <w:szCs w:val="13"/>
                <w:b w:val="1"/>
                <w:bCs w:val="1"/>
                <w:color w:val="1252DE"/>
              </w:rPr>
              <w:t>$</w:t>
            </w:r>
          </w:p>
        </w:tc>
        <w:tc>
          <w:tcPr>
            <w:tcW w:w="9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1252DE"/>
              </w:rPr>
              <w:t>2,560</w:t>
            </w:r>
          </w:p>
        </w:tc>
        <w:tc>
          <w:tcPr>
            <w:tcW w:w="500" w:type="dxa"/>
            <w:vAlign w:val="bottom"/>
            <w:tcBorders>
              <w:bottom w:val="single" w:sz="8" w:color="1352DE"/>
            </w:tcBorders>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2,366</w:t>
            </w:r>
          </w:p>
        </w:tc>
      </w:tr>
      <w:tr>
        <w:trPr>
          <w:trHeight w:val="182"/>
        </w:trPr>
        <w:tc>
          <w:tcPr>
            <w:tcW w:w="8420" w:type="dxa"/>
            <w:vAlign w:val="bottom"/>
          </w:tcPr>
          <w:p>
            <w:pPr>
              <w:ind w:left="140"/>
              <w:spacing w:after="0"/>
              <w:rPr>
                <w:sz w:val="20"/>
                <w:szCs w:val="20"/>
                <w:color w:val="auto"/>
              </w:rPr>
            </w:pPr>
            <w:r>
              <w:rPr>
                <w:rFonts w:ascii="Arial" w:cs="Arial" w:eastAsia="Arial" w:hAnsi="Arial"/>
                <w:sz w:val="13"/>
                <w:szCs w:val="13"/>
                <w:b w:val="1"/>
                <w:bCs w:val="1"/>
                <w:color w:val="1252DE"/>
              </w:rPr>
              <w:t>Adjustments to reconcile net income (loss) to net cash provided by operating activities:</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8420" w:type="dxa"/>
            <w:vAlign w:val="bottom"/>
          </w:tcPr>
          <w:p>
            <w:pPr>
              <w:ind w:left="140"/>
              <w:spacing w:after="0"/>
              <w:rPr>
                <w:sz w:val="20"/>
                <w:szCs w:val="20"/>
                <w:color w:val="auto"/>
              </w:rPr>
            </w:pPr>
            <w:r>
              <w:rPr>
                <w:rFonts w:ascii="Arial" w:cs="Arial" w:eastAsia="Arial" w:hAnsi="Arial"/>
                <w:sz w:val="13"/>
                <w:szCs w:val="13"/>
                <w:b w:val="1"/>
                <w:bCs w:val="1"/>
                <w:color w:val="1252DE"/>
              </w:rPr>
              <w:t>Noncash revenues, expenses, gains and losses included in income (loss):</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Net losses on sales of securities available for sale and other assets</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406</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539</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Net (gain) loss on divestitures and other</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133</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Gain on extinguishment of debt</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352DE"/>
              </w:rPr>
              <w:t>—</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Unrealized (gains) losses in earnings - net</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205</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(537)</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Equity in income from equity method investments, net of dividends or distributions</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(131)</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Depreciation and other amortization</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2,760</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2,580</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Impairments of assets</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101</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286</w:t>
            </w: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b w:val="1"/>
                <w:bCs w:val="1"/>
                <w:color w:val="1252DE"/>
              </w:rPr>
              <w:t>Changes in operating assets and liabilities:</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Insurance reserves</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1,552</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540</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Premiums and other receivables and payables - net</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(836)</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(932)</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Reinsurance assets, net</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731</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(272)</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Capitalization of deferred policy acquisition costs</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(2,894)</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(2,576)</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Current and deferred income taxes - net</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379</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717</w:t>
            </w:r>
          </w:p>
        </w:tc>
      </w:tr>
      <w:tr>
        <w:trPr>
          <w:trHeight w:val="191"/>
        </w:trPr>
        <w:tc>
          <w:tcPr>
            <w:tcW w:w="8420" w:type="dxa"/>
            <w:vAlign w:val="bottom"/>
            <w:tcBorders>
              <w:bottom w:val="single" w:sz="8" w:color="1352DE"/>
            </w:tcBorders>
          </w:tcPr>
          <w:p>
            <w:pPr>
              <w:ind w:left="240"/>
              <w:spacing w:after="0"/>
              <w:rPr>
                <w:sz w:val="20"/>
                <w:szCs w:val="20"/>
                <w:color w:val="auto"/>
              </w:rPr>
            </w:pPr>
            <w:r>
              <w:rPr>
                <w:rFonts w:ascii="Arial" w:cs="Arial" w:eastAsia="Arial" w:hAnsi="Arial"/>
                <w:sz w:val="13"/>
                <w:szCs w:val="13"/>
                <w:color w:val="auto"/>
              </w:rPr>
              <w:t>Other, net</w:t>
            </w:r>
          </w:p>
        </w:tc>
        <w:tc>
          <w:tcPr>
            <w:tcW w:w="52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(404)</w:t>
            </w:r>
          </w:p>
        </w:tc>
        <w:tc>
          <w:tcPr>
            <w:tcW w:w="5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w:t>
            </w:r>
          </w:p>
        </w:tc>
      </w:tr>
      <w:tr>
        <w:trPr>
          <w:trHeight w:val="183"/>
        </w:trPr>
        <w:tc>
          <w:tcPr>
            <w:tcW w:w="8420" w:type="dxa"/>
            <w:vAlign w:val="bottom"/>
            <w:tcBorders>
              <w:bottom w:val="single" w:sz="8" w:color="1352DE"/>
            </w:tcBorders>
          </w:tcPr>
          <w:p>
            <w:pPr>
              <w:ind w:left="360"/>
              <w:spacing w:after="0"/>
              <w:rPr>
                <w:sz w:val="20"/>
                <w:szCs w:val="20"/>
                <w:color w:val="auto"/>
              </w:rPr>
            </w:pPr>
            <w:r>
              <w:rPr>
                <w:rFonts w:ascii="Arial" w:cs="Arial" w:eastAsia="Arial" w:hAnsi="Arial"/>
                <w:sz w:val="13"/>
                <w:szCs w:val="13"/>
                <w:color w:val="auto"/>
              </w:rPr>
              <w:t>Total adjustments</w:t>
            </w:r>
          </w:p>
        </w:tc>
        <w:tc>
          <w:tcPr>
            <w:tcW w:w="520" w:type="dxa"/>
            <w:vAlign w:val="bottom"/>
            <w:tcBorders>
              <w:bottom w:val="single" w:sz="8" w:color="1352DE"/>
            </w:tcBorders>
          </w:tcPr>
          <w:p>
            <w:pPr>
              <w:spacing w:after="0"/>
              <w:rPr>
                <w:sz w:val="15"/>
                <w:szCs w:val="15"/>
                <w:color w:val="auto"/>
              </w:rPr>
            </w:pPr>
          </w:p>
        </w:tc>
        <w:tc>
          <w:tcPr>
            <w:tcW w:w="9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3051F2"/>
              </w:rPr>
              <w:t>2,002</w:t>
            </w:r>
          </w:p>
        </w:tc>
        <w:tc>
          <w:tcPr>
            <w:tcW w:w="50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312</w:t>
            </w:r>
          </w:p>
        </w:tc>
      </w:tr>
      <w:tr>
        <w:trPr>
          <w:trHeight w:val="182"/>
        </w:trPr>
        <w:tc>
          <w:tcPr>
            <w:tcW w:w="842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Net cash provided by operating activities</w:t>
            </w:r>
          </w:p>
        </w:tc>
        <w:tc>
          <w:tcPr>
            <w:tcW w:w="520" w:type="dxa"/>
            <w:vAlign w:val="bottom"/>
            <w:tcBorders>
              <w:bottom w:val="single" w:sz="8" w:color="1352DE"/>
            </w:tcBorders>
          </w:tcPr>
          <w:p>
            <w:pPr>
              <w:spacing w:after="0"/>
              <w:rPr>
                <w:sz w:val="15"/>
                <w:szCs w:val="15"/>
                <w:color w:val="auto"/>
              </w:rPr>
            </w:pPr>
          </w:p>
        </w:tc>
        <w:tc>
          <w:tcPr>
            <w:tcW w:w="9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3051F2"/>
              </w:rPr>
              <w:t>4,562</w:t>
            </w:r>
          </w:p>
        </w:tc>
        <w:tc>
          <w:tcPr>
            <w:tcW w:w="50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2,678</w:t>
            </w:r>
          </w:p>
        </w:tc>
      </w:tr>
      <w:tr>
        <w:trPr>
          <w:trHeight w:val="181"/>
        </w:trPr>
        <w:tc>
          <w:tcPr>
            <w:tcW w:w="8420" w:type="dxa"/>
            <w:vAlign w:val="bottom"/>
          </w:tcPr>
          <w:p>
            <w:pPr>
              <w:ind w:left="20"/>
              <w:spacing w:after="0"/>
              <w:rPr>
                <w:sz w:val="20"/>
                <w:szCs w:val="20"/>
                <w:color w:val="auto"/>
              </w:rPr>
            </w:pPr>
            <w:r>
              <w:rPr>
                <w:rFonts w:ascii="Arial" w:cs="Arial" w:eastAsia="Arial" w:hAnsi="Arial"/>
                <w:sz w:val="13"/>
                <w:szCs w:val="13"/>
                <w:b w:val="1"/>
                <w:bCs w:val="1"/>
                <w:color w:val="1252DE"/>
              </w:rPr>
              <w:t>Cash flows from investing activities:</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420" w:type="dxa"/>
            <w:vAlign w:val="bottom"/>
          </w:tcPr>
          <w:p>
            <w:pPr>
              <w:ind w:left="20"/>
              <w:spacing w:after="0"/>
              <w:rPr>
                <w:sz w:val="20"/>
                <w:szCs w:val="20"/>
                <w:color w:val="auto"/>
              </w:rPr>
            </w:pPr>
            <w:r>
              <w:rPr>
                <w:rFonts w:ascii="Arial" w:cs="Arial" w:eastAsia="Arial" w:hAnsi="Arial"/>
                <w:sz w:val="13"/>
                <w:szCs w:val="13"/>
                <w:color w:val="auto"/>
              </w:rPr>
              <w:t>Proceeds from (payments for)</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color w:val="auto"/>
              </w:rPr>
              <w:t>Sales or distributions of:</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8420" w:type="dxa"/>
            <w:vAlign w:val="bottom"/>
          </w:tcPr>
          <w:p>
            <w:pPr>
              <w:ind w:left="240"/>
              <w:spacing w:after="0"/>
              <w:rPr>
                <w:sz w:val="20"/>
                <w:szCs w:val="20"/>
                <w:color w:val="auto"/>
              </w:rPr>
            </w:pPr>
            <w:r>
              <w:rPr>
                <w:rFonts w:ascii="Arial" w:cs="Arial" w:eastAsia="Arial" w:hAnsi="Arial"/>
                <w:sz w:val="13"/>
                <w:szCs w:val="13"/>
                <w:color w:val="auto"/>
              </w:rPr>
              <w:t>Available for sale securities</w:t>
            </w:r>
          </w:p>
        </w:tc>
        <w:tc>
          <w:tcPr>
            <w:tcW w:w="5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9,926</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9,866</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Other securities</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954</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Other invested assets</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1,533</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2,371</w:t>
            </w: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color w:val="auto"/>
              </w:rPr>
              <w:t>Maturities of fixed maturity securities available for sale</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7,750</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6,368</w:t>
            </w: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color w:val="auto"/>
              </w:rPr>
              <w:t>Principal payments received on and sales of mortgage and other loans receivable</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688</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880</w:t>
            </w:r>
          </w:p>
        </w:tc>
      </w:tr>
      <w:tr>
        <w:trPr>
          <w:trHeight w:val="181"/>
        </w:trPr>
        <w:tc>
          <w:tcPr>
            <w:tcW w:w="8420" w:type="dxa"/>
            <w:vAlign w:val="bottom"/>
          </w:tcPr>
          <w:p>
            <w:pPr>
              <w:ind w:left="140"/>
              <w:spacing w:after="0"/>
              <w:rPr>
                <w:sz w:val="20"/>
                <w:szCs w:val="20"/>
                <w:color w:val="auto"/>
              </w:rPr>
            </w:pPr>
            <w:r>
              <w:rPr>
                <w:rFonts w:ascii="Arial" w:cs="Arial" w:eastAsia="Arial" w:hAnsi="Arial"/>
                <w:sz w:val="13"/>
                <w:szCs w:val="13"/>
                <w:color w:val="auto"/>
              </w:rPr>
              <w:t>Purchases of:</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7"/>
        </w:trPr>
        <w:tc>
          <w:tcPr>
            <w:tcW w:w="8420" w:type="dxa"/>
            <w:vAlign w:val="bottom"/>
          </w:tcPr>
          <w:p>
            <w:pPr>
              <w:ind w:left="240"/>
              <w:spacing w:after="0"/>
              <w:rPr>
                <w:sz w:val="20"/>
                <w:szCs w:val="20"/>
                <w:color w:val="auto"/>
              </w:rPr>
            </w:pPr>
            <w:r>
              <w:rPr>
                <w:rFonts w:ascii="Arial" w:cs="Arial" w:eastAsia="Arial" w:hAnsi="Arial"/>
                <w:sz w:val="13"/>
                <w:szCs w:val="13"/>
                <w:color w:val="auto"/>
              </w:rPr>
              <w:t>Available for sale securities</w:t>
            </w:r>
          </w:p>
        </w:tc>
        <w:tc>
          <w:tcPr>
            <w:tcW w:w="520" w:type="dxa"/>
            <w:vAlign w:val="bottom"/>
          </w:tcPr>
          <w:p>
            <w:pPr>
              <w:spacing w:after="0"/>
              <w:rPr>
                <w:sz w:val="17"/>
                <w:szCs w:val="17"/>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(20,803)</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(19,887)</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Other securities</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(789)</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Other invested assets</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(2,648)</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(656)</w:t>
            </w:r>
          </w:p>
        </w:tc>
      </w:tr>
      <w:tr>
        <w:trPr>
          <w:trHeight w:val="189"/>
        </w:trPr>
        <w:tc>
          <w:tcPr>
            <w:tcW w:w="8420" w:type="dxa"/>
            <w:vAlign w:val="bottom"/>
          </w:tcPr>
          <w:p>
            <w:pPr>
              <w:ind w:left="240"/>
              <w:spacing w:after="0"/>
              <w:rPr>
                <w:sz w:val="20"/>
                <w:szCs w:val="20"/>
                <w:color w:val="auto"/>
              </w:rPr>
            </w:pPr>
            <w:r>
              <w:rPr>
                <w:rFonts w:ascii="Arial" w:cs="Arial" w:eastAsia="Arial" w:hAnsi="Arial"/>
                <w:sz w:val="13"/>
                <w:szCs w:val="13"/>
                <w:color w:val="auto"/>
              </w:rPr>
              <w:t>Mortgage and other loans receivable</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(144)</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color w:val="auto"/>
              </w:rPr>
              <w:t>Net change in short-term investments</w:t>
            </w:r>
          </w:p>
        </w:tc>
        <w:tc>
          <w:tcPr>
            <w:tcW w:w="52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890</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5,150</w:t>
            </w:r>
          </w:p>
        </w:tc>
      </w:tr>
      <w:tr>
        <w:trPr>
          <w:trHeight w:val="191"/>
        </w:trPr>
        <w:tc>
          <w:tcPr>
            <w:tcW w:w="842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Other, net</w:t>
            </w:r>
          </w:p>
        </w:tc>
        <w:tc>
          <w:tcPr>
            <w:tcW w:w="52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(278)</w:t>
            </w:r>
          </w:p>
        </w:tc>
        <w:tc>
          <w:tcPr>
            <w:tcW w:w="5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(579)</w:t>
            </w:r>
          </w:p>
        </w:tc>
      </w:tr>
      <w:tr>
        <w:trPr>
          <w:trHeight w:val="183"/>
        </w:trPr>
        <w:tc>
          <w:tcPr>
            <w:tcW w:w="842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Net cash provided by (used in) investing activities</w:t>
            </w:r>
          </w:p>
        </w:tc>
        <w:tc>
          <w:tcPr>
            <w:tcW w:w="520" w:type="dxa"/>
            <w:vAlign w:val="bottom"/>
            <w:tcBorders>
              <w:bottom w:val="single" w:sz="8" w:color="1352DE"/>
            </w:tcBorders>
          </w:tcPr>
          <w:p>
            <w:pPr>
              <w:spacing w:after="0"/>
              <w:rPr>
                <w:sz w:val="15"/>
                <w:szCs w:val="15"/>
                <w:color w:val="auto"/>
              </w:rPr>
            </w:pPr>
          </w:p>
        </w:tc>
        <w:tc>
          <w:tcPr>
            <w:tcW w:w="94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(2,921)</w:t>
            </w:r>
          </w:p>
        </w:tc>
        <w:tc>
          <w:tcPr>
            <w:tcW w:w="50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3,259</w:t>
            </w:r>
          </w:p>
        </w:tc>
      </w:tr>
      <w:tr>
        <w:trPr>
          <w:trHeight w:val="181"/>
        </w:trPr>
        <w:tc>
          <w:tcPr>
            <w:tcW w:w="8420" w:type="dxa"/>
            <w:vAlign w:val="bottom"/>
          </w:tcPr>
          <w:p>
            <w:pPr>
              <w:ind w:left="20"/>
              <w:spacing w:after="0"/>
              <w:rPr>
                <w:sz w:val="20"/>
                <w:szCs w:val="20"/>
                <w:color w:val="auto"/>
              </w:rPr>
            </w:pPr>
            <w:r>
              <w:rPr>
                <w:rFonts w:ascii="Arial" w:cs="Arial" w:eastAsia="Arial" w:hAnsi="Arial"/>
                <w:sz w:val="13"/>
                <w:szCs w:val="13"/>
                <w:b w:val="1"/>
                <w:bCs w:val="1"/>
                <w:color w:val="1252DE"/>
              </w:rPr>
              <w:t>Cash flows from financing activities:</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420" w:type="dxa"/>
            <w:vAlign w:val="bottom"/>
          </w:tcPr>
          <w:p>
            <w:pPr>
              <w:ind w:left="20"/>
              <w:spacing w:after="0"/>
              <w:rPr>
                <w:sz w:val="20"/>
                <w:szCs w:val="20"/>
                <w:color w:val="auto"/>
              </w:rPr>
            </w:pPr>
            <w:r>
              <w:rPr>
                <w:rFonts w:ascii="Arial" w:cs="Arial" w:eastAsia="Arial" w:hAnsi="Arial"/>
                <w:sz w:val="13"/>
                <w:szCs w:val="13"/>
                <w:color w:val="auto"/>
              </w:rPr>
              <w:t>Proceeds from (payments for)</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7"/>
        </w:trPr>
        <w:tc>
          <w:tcPr>
            <w:tcW w:w="8420" w:type="dxa"/>
            <w:vAlign w:val="bottom"/>
          </w:tcPr>
          <w:p>
            <w:pPr>
              <w:ind w:left="140"/>
              <w:spacing w:after="0"/>
              <w:rPr>
                <w:sz w:val="20"/>
                <w:szCs w:val="20"/>
                <w:color w:val="auto"/>
              </w:rPr>
            </w:pPr>
            <w:r>
              <w:rPr>
                <w:rFonts w:ascii="Arial" w:cs="Arial" w:eastAsia="Arial" w:hAnsi="Arial"/>
                <w:sz w:val="13"/>
                <w:szCs w:val="13"/>
                <w:color w:val="auto"/>
              </w:rPr>
              <w:t>Issuance of long-term debt</w:t>
            </w:r>
          </w:p>
        </w:tc>
        <w:tc>
          <w:tcPr>
            <w:tcW w:w="5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1,267</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1,241</w:t>
            </w: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color w:val="auto"/>
              </w:rPr>
              <w:t>Repayments of long-term debt</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(15)</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(1,087)</w:t>
            </w: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color w:val="auto"/>
              </w:rPr>
              <w:t>Repayments of debt of consolidated investment entities</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(2)</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color w:val="auto"/>
              </w:rPr>
              <w:t>Purchase of common stock</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(1,682)</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(5,252)</w:t>
            </w:r>
          </w:p>
        </w:tc>
      </w:tr>
      <w:tr>
        <w:trPr>
          <w:trHeight w:val="189"/>
        </w:trPr>
        <w:tc>
          <w:tcPr>
            <w:tcW w:w="8420" w:type="dxa"/>
            <w:vAlign w:val="bottom"/>
          </w:tcPr>
          <w:p>
            <w:pPr>
              <w:ind w:left="140"/>
              <w:spacing w:after="0"/>
              <w:rPr>
                <w:sz w:val="20"/>
                <w:szCs w:val="20"/>
                <w:color w:val="auto"/>
              </w:rPr>
            </w:pPr>
            <w:r>
              <w:rPr>
                <w:rFonts w:ascii="Arial" w:cs="Arial" w:eastAsia="Arial" w:hAnsi="Arial"/>
                <w:sz w:val="13"/>
                <w:szCs w:val="13"/>
                <w:color w:val="auto"/>
              </w:rPr>
              <w:t>Dividends on common stock</w:t>
            </w:r>
          </w:p>
        </w:tc>
        <w:tc>
          <w:tcPr>
            <w:tcW w:w="52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1252DE"/>
              </w:rPr>
              <w:t>(764)</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(734)</w:t>
            </w:r>
          </w:p>
        </w:tc>
      </w:tr>
      <w:tr>
        <w:trPr>
          <w:trHeight w:val="191"/>
        </w:trPr>
        <w:tc>
          <w:tcPr>
            <w:tcW w:w="842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Other, net</w:t>
            </w:r>
          </w:p>
        </w:tc>
        <w:tc>
          <w:tcPr>
            <w:tcW w:w="52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1252DE"/>
              </w:rPr>
              <w:t>(70)</w:t>
            </w:r>
          </w:p>
        </w:tc>
        <w:tc>
          <w:tcPr>
            <w:tcW w:w="5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90</w:t>
            </w:r>
          </w:p>
        </w:tc>
      </w:tr>
      <w:tr>
        <w:trPr>
          <w:trHeight w:val="183"/>
        </w:trPr>
        <w:tc>
          <w:tcPr>
            <w:tcW w:w="842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Net cash used in financing activities</w:t>
            </w:r>
          </w:p>
        </w:tc>
        <w:tc>
          <w:tcPr>
            <w:tcW w:w="520" w:type="dxa"/>
            <w:vAlign w:val="bottom"/>
            <w:tcBorders>
              <w:bottom w:val="single" w:sz="8" w:color="1352DE"/>
            </w:tcBorders>
          </w:tcPr>
          <w:p>
            <w:pPr>
              <w:spacing w:after="0"/>
              <w:rPr>
                <w:sz w:val="15"/>
                <w:szCs w:val="15"/>
                <w:color w:val="auto"/>
              </w:rPr>
            </w:pPr>
          </w:p>
        </w:tc>
        <w:tc>
          <w:tcPr>
            <w:tcW w:w="940" w:type="dxa"/>
            <w:vAlign w:val="bottom"/>
            <w:tcBorders>
              <w:bottom w:val="single" w:sz="8" w:color="1352DE"/>
            </w:tcBorders>
          </w:tcPr>
          <w:p>
            <w:pPr>
              <w:jc w:val="right"/>
              <w:ind w:right="53"/>
              <w:spacing w:after="0"/>
              <w:rPr>
                <w:sz w:val="20"/>
                <w:szCs w:val="20"/>
                <w:color w:val="auto"/>
              </w:rPr>
            </w:pPr>
            <w:r>
              <w:rPr>
                <w:rFonts w:ascii="Arial" w:cs="Arial" w:eastAsia="Arial" w:hAnsi="Arial"/>
                <w:sz w:val="13"/>
                <w:szCs w:val="13"/>
                <w:b w:val="1"/>
                <w:bCs w:val="1"/>
                <w:color w:val="3051F2"/>
              </w:rPr>
              <w:t>(1,266)</w:t>
            </w:r>
          </w:p>
        </w:tc>
        <w:tc>
          <w:tcPr>
            <w:tcW w:w="50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(5,744)</w:t>
            </w:r>
          </w:p>
        </w:tc>
      </w:tr>
      <w:tr>
        <w:trPr>
          <w:trHeight w:val="183"/>
        </w:trPr>
        <w:tc>
          <w:tcPr>
            <w:tcW w:w="842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Effect of exchange rate changes on cash and restricted cash</w:t>
            </w:r>
          </w:p>
        </w:tc>
        <w:tc>
          <w:tcPr>
            <w:tcW w:w="520" w:type="dxa"/>
            <w:vAlign w:val="bottom"/>
            <w:tcBorders>
              <w:bottom w:val="single" w:sz="8" w:color="1352DE"/>
            </w:tcBorders>
          </w:tcPr>
          <w:p>
            <w:pPr>
              <w:spacing w:after="0"/>
              <w:rPr>
                <w:sz w:val="15"/>
                <w:szCs w:val="15"/>
                <w:color w:val="auto"/>
              </w:rPr>
            </w:pPr>
          </w:p>
        </w:tc>
        <w:tc>
          <w:tcPr>
            <w:tcW w:w="9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3051F2"/>
              </w:rPr>
              <w:t>67</w:t>
            </w:r>
          </w:p>
        </w:tc>
        <w:tc>
          <w:tcPr>
            <w:tcW w:w="50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29</w:t>
            </w:r>
          </w:p>
        </w:tc>
      </w:tr>
      <w:tr>
        <w:trPr>
          <w:trHeight w:val="181"/>
        </w:trPr>
        <w:tc>
          <w:tcPr>
            <w:tcW w:w="8420" w:type="dxa"/>
            <w:vAlign w:val="bottom"/>
          </w:tcPr>
          <w:p>
            <w:pPr>
              <w:ind w:left="20"/>
              <w:spacing w:after="0"/>
              <w:rPr>
                <w:sz w:val="20"/>
                <w:szCs w:val="20"/>
                <w:color w:val="auto"/>
              </w:rPr>
            </w:pPr>
            <w:r>
              <w:rPr>
                <w:rFonts w:ascii="Arial" w:cs="Arial" w:eastAsia="Arial" w:hAnsi="Arial"/>
                <w:sz w:val="13"/>
                <w:szCs w:val="13"/>
                <w:color w:val="auto"/>
              </w:rPr>
              <w:t>Net increase in cash and restricted cash</w:t>
            </w:r>
          </w:p>
        </w:tc>
        <w:tc>
          <w:tcPr>
            <w:tcW w:w="520" w:type="dxa"/>
            <w:vAlign w:val="bottom"/>
          </w:tcPr>
          <w:p>
            <w:pPr>
              <w:spacing w:after="0"/>
              <w:rPr>
                <w:sz w:val="15"/>
                <w:szCs w:val="15"/>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252DE"/>
              </w:rPr>
              <w:t>442</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222</w:t>
            </w:r>
          </w:p>
        </w:tc>
      </w:tr>
      <w:tr>
        <w:trPr>
          <w:trHeight w:val="190"/>
        </w:trPr>
        <w:tc>
          <w:tcPr>
            <w:tcW w:w="842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Cash and restricted cash at beginning of year</w:t>
            </w:r>
          </w:p>
        </w:tc>
        <w:tc>
          <w:tcPr>
            <w:tcW w:w="52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1252DE"/>
              </w:rPr>
              <w:t>1,345</w:t>
            </w:r>
          </w:p>
        </w:tc>
        <w:tc>
          <w:tcPr>
            <w:tcW w:w="5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1,372</w:t>
            </w:r>
          </w:p>
        </w:tc>
      </w:tr>
      <w:tr>
        <w:trPr>
          <w:trHeight w:val="183"/>
        </w:trPr>
        <w:tc>
          <w:tcPr>
            <w:tcW w:w="842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Cash and restricted cash at end of period</w:t>
            </w:r>
          </w:p>
        </w:tc>
        <w:tc>
          <w:tcPr>
            <w:tcW w:w="520" w:type="dxa"/>
            <w:vAlign w:val="bottom"/>
            <w:tcBorders>
              <w:bottom w:val="single" w:sz="8" w:color="1352DE"/>
            </w:tcBorders>
          </w:tcPr>
          <w:p>
            <w:pPr>
              <w:jc w:val="right"/>
              <w:ind w:right="233"/>
              <w:spacing w:after="0"/>
              <w:rPr>
                <w:sz w:val="20"/>
                <w:szCs w:val="20"/>
                <w:color w:val="auto"/>
              </w:rPr>
            </w:pPr>
            <w:r>
              <w:rPr>
                <w:rFonts w:ascii="Arial" w:cs="Arial" w:eastAsia="Arial" w:hAnsi="Arial"/>
                <w:sz w:val="13"/>
                <w:szCs w:val="13"/>
                <w:b w:val="1"/>
                <w:bCs w:val="1"/>
                <w:color w:val="1252DE"/>
              </w:rPr>
              <w:t>$</w:t>
            </w:r>
          </w:p>
        </w:tc>
        <w:tc>
          <w:tcPr>
            <w:tcW w:w="9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1252DE"/>
              </w:rPr>
              <w:t>1,787</w:t>
            </w:r>
          </w:p>
        </w:tc>
        <w:tc>
          <w:tcPr>
            <w:tcW w:w="500" w:type="dxa"/>
            <w:vAlign w:val="bottom"/>
            <w:tcBorders>
              <w:bottom w:val="single" w:sz="8" w:color="1352DE"/>
            </w:tcBorders>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24771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760" w:hanging="734"/>
        <w:spacing w:after="0"/>
        <w:tabs>
          <w:tab w:leader="none" w:pos="760" w:val="left"/>
        </w:tabs>
        <w:numPr>
          <w:ilvl w:val="0"/>
          <w:numId w:val="5"/>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234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7"/>
          <w:szCs w:val="27"/>
          <w:color w:val="001871"/>
        </w:rPr>
        <w:t>American International Group, Inc.</w:t>
      </w:r>
    </w:p>
    <w:p>
      <w:pPr>
        <w:spacing w:after="0"/>
        <w:rPr>
          <w:sz w:val="20"/>
          <w:szCs w:val="20"/>
          <w:color w:val="auto"/>
        </w:rPr>
      </w:pPr>
      <w:r>
        <w:rPr>
          <w:rFonts w:ascii="Arial" w:cs="Arial" w:eastAsia="Arial" w:hAnsi="Arial"/>
          <w:sz w:val="27"/>
          <w:szCs w:val="27"/>
          <w:color w:val="001770"/>
        </w:rPr>
        <w:t xml:space="preserve">Condensed Consolidated Statements of Cash Flows </w:t>
      </w:r>
      <w:r>
        <w:rPr>
          <w:rFonts w:ascii="Arial" w:cs="Arial" w:eastAsia="Arial" w:hAnsi="Arial"/>
          <w:sz w:val="17"/>
          <w:szCs w:val="17"/>
          <w:i w:val="1"/>
          <w:iCs w:val="1"/>
          <w:color w:val="001770"/>
        </w:rPr>
        <w:t>(unaudited)(continued)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1252DE"/>
        </w:rPr>
        <w:t>Supplementary Disclosure of Condensed Consolidated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234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65" w:lineRule="exact"/>
        <w:rPr>
          <w:sz w:val="20"/>
          <w:szCs w:val="20"/>
          <w:color w:val="auto"/>
        </w:rPr>
      </w:pPr>
    </w:p>
    <w:p>
      <w:pPr>
        <w:ind w:left="8700"/>
        <w:spacing w:after="0"/>
        <w:rPr>
          <w:sz w:val="20"/>
          <w:szCs w:val="20"/>
          <w:color w:val="auto"/>
        </w:rPr>
      </w:pPr>
      <w:r>
        <w:rPr>
          <w:rFonts w:ascii="Arial" w:cs="Arial" w:eastAsia="Arial" w:hAnsi="Arial"/>
          <w:sz w:val="14"/>
          <w:szCs w:val="14"/>
          <w:color w:val="1252DE"/>
        </w:rPr>
        <w:t>Nine Months Ended 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480" w:type="dxa"/>
            <w:vAlign w:val="bottom"/>
            <w:tcBorders>
              <w:top w:val="single" w:sz="8" w:color="1352DE"/>
              <w:bottom w:val="single" w:sz="8" w:color="1352DE"/>
            </w:tcBorders>
          </w:tcPr>
          <w:p>
            <w:pPr>
              <w:spacing w:after="0"/>
              <w:rPr>
                <w:sz w:val="17"/>
                <w:szCs w:val="17"/>
                <w:color w:val="auto"/>
              </w:rPr>
            </w:pPr>
          </w:p>
        </w:tc>
        <w:tc>
          <w:tcPr>
            <w:tcW w:w="940" w:type="dxa"/>
            <w:vAlign w:val="bottom"/>
            <w:tcBorders>
              <w:top w:val="single" w:sz="8" w:color="1352DE"/>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2026</w:t>
            </w:r>
          </w:p>
        </w:tc>
        <w:tc>
          <w:tcPr>
            <w:tcW w:w="600" w:type="dxa"/>
            <w:vAlign w:val="bottom"/>
            <w:tcBorders>
              <w:top w:val="single" w:sz="8" w:color="1352DE"/>
              <w:bottom w:val="single" w:sz="8" w:color="1352DE"/>
            </w:tcBorders>
          </w:tcPr>
          <w:p>
            <w:pPr>
              <w:spacing w:after="0"/>
              <w:rPr>
                <w:sz w:val="17"/>
                <w:szCs w:val="17"/>
                <w:color w:val="auto"/>
              </w:rPr>
            </w:pPr>
          </w:p>
        </w:tc>
        <w:tc>
          <w:tcPr>
            <w:tcW w:w="8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r>
      <w:tr>
        <w:trPr>
          <w:trHeight w:val="195"/>
        </w:trPr>
        <w:tc>
          <w:tcPr>
            <w:tcW w:w="8400" w:type="dxa"/>
            <w:vAlign w:val="bottom"/>
          </w:tcPr>
          <w:p>
            <w:pPr>
              <w:ind w:left="20"/>
              <w:spacing w:after="0"/>
              <w:rPr>
                <w:sz w:val="20"/>
                <w:szCs w:val="20"/>
                <w:color w:val="auto"/>
              </w:rPr>
            </w:pPr>
            <w:r>
              <w:rPr>
                <w:rFonts w:ascii="Arial" w:cs="Arial" w:eastAsia="Arial" w:hAnsi="Arial"/>
                <w:sz w:val="14"/>
                <w:szCs w:val="14"/>
                <w:color w:val="auto"/>
              </w:rPr>
              <w:t>Cash</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1252DE"/>
              </w:rPr>
              <w:t>$</w:t>
            </w: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1252DE"/>
              </w:rPr>
              <w:t>1,724</w:t>
            </w:r>
          </w:p>
        </w:tc>
        <w:tc>
          <w:tcPr>
            <w:tcW w:w="6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1,589</w:t>
            </w:r>
          </w:p>
        </w:tc>
      </w:tr>
      <w:tr>
        <w:trPr>
          <w:trHeight w:val="203"/>
        </w:trPr>
        <w:tc>
          <w:tcPr>
            <w:tcW w:w="8400" w:type="dxa"/>
            <w:vAlign w:val="bottom"/>
          </w:tcPr>
          <w:p>
            <w:pPr>
              <w:ind w:left="20"/>
              <w:spacing w:after="0"/>
              <w:rPr>
                <w:sz w:val="20"/>
                <w:szCs w:val="20"/>
                <w:color w:val="auto"/>
              </w:rPr>
            </w:pPr>
            <w:r>
              <w:rPr>
                <w:rFonts w:ascii="Arial" w:cs="Arial" w:eastAsia="Arial" w:hAnsi="Arial"/>
                <w:sz w:val="14"/>
                <w:szCs w:val="14"/>
                <w:color w:val="auto"/>
              </w:rPr>
              <w:t>Restricted cash included in Short-term investments*</w:t>
            </w:r>
          </w:p>
        </w:tc>
        <w:tc>
          <w:tcPr>
            <w:tcW w:w="480" w:type="dxa"/>
            <w:vAlign w:val="bottom"/>
          </w:tcPr>
          <w:p>
            <w:pPr>
              <w:spacing w:after="0"/>
              <w:rPr>
                <w:sz w:val="17"/>
                <w:szCs w:val="17"/>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1252DE"/>
              </w:rPr>
              <w:t>56</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84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48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7</w:t>
            </w:r>
          </w:p>
        </w:tc>
        <w:tc>
          <w:tcPr>
            <w:tcW w:w="60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84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Total cash and restricted cash shown in the Condensed Consolidated Statements of Cash Flows</w:t>
            </w:r>
          </w:p>
        </w:tc>
        <w:tc>
          <w:tcPr>
            <w:tcW w:w="480" w:type="dxa"/>
            <w:vAlign w:val="bottom"/>
            <w:tcBorders>
              <w:bottom w:val="single" w:sz="8" w:color="1352DE"/>
            </w:tcBorders>
          </w:tcPr>
          <w:p>
            <w:pPr>
              <w:jc w:val="right"/>
              <w:ind w:right="308"/>
              <w:spacing w:after="0"/>
              <w:rPr>
                <w:sz w:val="20"/>
                <w:szCs w:val="20"/>
                <w:color w:val="auto"/>
              </w:rPr>
            </w:pPr>
            <w:r>
              <w:rPr>
                <w:rFonts w:ascii="Arial" w:cs="Arial" w:eastAsia="Arial" w:hAnsi="Arial"/>
                <w:sz w:val="14"/>
                <w:szCs w:val="14"/>
                <w:b w:val="1"/>
                <w:bCs w:val="1"/>
                <w:color w:val="1252DE"/>
              </w:rPr>
              <w:t>$</w:t>
            </w:r>
          </w:p>
        </w:tc>
        <w:tc>
          <w:tcPr>
            <w:tcW w:w="9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1,787</w:t>
            </w:r>
          </w:p>
        </w:tc>
        <w:tc>
          <w:tcPr>
            <w:tcW w:w="600" w:type="dxa"/>
            <w:vAlign w:val="bottom"/>
            <w:tcBorders>
              <w:bottom w:val="single" w:sz="8" w:color="1352DE"/>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1,594</w:t>
            </w:r>
          </w:p>
        </w:tc>
      </w:tr>
      <w:tr>
        <w:trPr>
          <w:trHeight w:val="195"/>
        </w:trPr>
        <w:tc>
          <w:tcPr>
            <w:tcW w:w="8400" w:type="dxa"/>
            <w:vAlign w:val="bottom"/>
          </w:tcPr>
          <w:p>
            <w:pPr>
              <w:ind w:left="20"/>
              <w:spacing w:after="0"/>
              <w:rPr>
                <w:sz w:val="20"/>
                <w:szCs w:val="20"/>
                <w:color w:val="auto"/>
              </w:rPr>
            </w:pPr>
            <w:r>
              <w:rPr>
                <w:rFonts w:ascii="Arial" w:cs="Arial" w:eastAsia="Arial" w:hAnsi="Arial"/>
                <w:sz w:val="14"/>
                <w:szCs w:val="14"/>
                <w:b w:val="1"/>
                <w:bCs w:val="1"/>
                <w:color w:val="1252DE"/>
              </w:rPr>
              <w:t>Cash paid during the period for:</w:t>
            </w: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8400" w:type="dxa"/>
            <w:vAlign w:val="bottom"/>
          </w:tcPr>
          <w:p>
            <w:pPr>
              <w:ind w:left="140"/>
              <w:spacing w:after="0"/>
              <w:rPr>
                <w:sz w:val="20"/>
                <w:szCs w:val="20"/>
                <w:color w:val="auto"/>
              </w:rPr>
            </w:pPr>
            <w:r>
              <w:rPr>
                <w:rFonts w:ascii="Arial" w:cs="Arial" w:eastAsia="Arial" w:hAnsi="Arial"/>
                <w:sz w:val="14"/>
                <w:szCs w:val="14"/>
                <w:color w:val="auto"/>
              </w:rPr>
              <w:t>Interest</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1252DE"/>
              </w:rPr>
              <w:t>$</w:t>
            </w: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1252DE"/>
              </w:rPr>
              <w:t>273</w:t>
            </w:r>
          </w:p>
        </w:tc>
        <w:tc>
          <w:tcPr>
            <w:tcW w:w="6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03"/>
        </w:trPr>
        <w:tc>
          <w:tcPr>
            <w:tcW w:w="8400" w:type="dxa"/>
            <w:vAlign w:val="bottom"/>
          </w:tcPr>
          <w:p>
            <w:pPr>
              <w:ind w:left="140"/>
              <w:spacing w:after="0"/>
              <w:rPr>
                <w:sz w:val="20"/>
                <w:szCs w:val="20"/>
                <w:color w:val="auto"/>
              </w:rPr>
            </w:pPr>
            <w:r>
              <w:rPr>
                <w:rFonts w:ascii="Arial" w:cs="Arial" w:eastAsia="Arial" w:hAnsi="Arial"/>
                <w:sz w:val="14"/>
                <w:szCs w:val="14"/>
                <w:color w:val="auto"/>
              </w:rPr>
              <w:t>Taxes</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1252DE"/>
              </w:rPr>
              <w:t>$</w:t>
            </w: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1252DE"/>
              </w:rPr>
              <w:t>431</w:t>
            </w:r>
          </w:p>
        </w:tc>
        <w:tc>
          <w:tcPr>
            <w:tcW w:w="6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2"/>
        </w:trPr>
        <w:tc>
          <w:tcPr>
            <w:tcW w:w="8400" w:type="dxa"/>
            <w:vAlign w:val="bottom"/>
          </w:tcPr>
          <w:p>
            <w:pPr>
              <w:ind w:left="20"/>
              <w:spacing w:after="0"/>
              <w:rPr>
                <w:sz w:val="20"/>
                <w:szCs w:val="20"/>
                <w:color w:val="auto"/>
              </w:rPr>
            </w:pPr>
            <w:r>
              <w:rPr>
                <w:rFonts w:ascii="Arial" w:cs="Arial" w:eastAsia="Arial" w:hAnsi="Arial"/>
                <w:sz w:val="14"/>
                <w:szCs w:val="14"/>
                <w:b w:val="1"/>
                <w:bCs w:val="1"/>
                <w:color w:val="1252DE"/>
              </w:rPr>
              <w:t>Non-cash investing activities: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40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Fixed maturity securities and other invested assets transferred in connection with reinsurance transactions</w:t>
            </w:r>
          </w:p>
        </w:tc>
        <w:tc>
          <w:tcPr>
            <w:tcW w:w="480" w:type="dxa"/>
            <w:vAlign w:val="bottom"/>
            <w:tcBorders>
              <w:bottom w:val="single" w:sz="8" w:color="1352DE"/>
            </w:tcBorders>
          </w:tcPr>
          <w:p>
            <w:pPr>
              <w:jc w:val="right"/>
              <w:ind w:right="308"/>
              <w:spacing w:after="0"/>
              <w:rPr>
                <w:sz w:val="20"/>
                <w:szCs w:val="20"/>
                <w:color w:val="auto"/>
              </w:rPr>
            </w:pPr>
            <w:r>
              <w:rPr>
                <w:rFonts w:ascii="Arial" w:cs="Arial" w:eastAsia="Arial" w:hAnsi="Arial"/>
                <w:sz w:val="14"/>
                <w:szCs w:val="14"/>
                <w:b w:val="1"/>
                <w:bCs w:val="1"/>
                <w:color w:val="1252DE"/>
              </w:rPr>
              <w:t>$</w:t>
            </w:r>
          </w:p>
        </w:tc>
        <w:tc>
          <w:tcPr>
            <w:tcW w:w="9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600" w:type="dxa"/>
            <w:vAlign w:val="bottom"/>
            <w:tcBorders>
              <w:bottom w:val="single" w:sz="8" w:color="1352DE"/>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(17)</w:t>
            </w:r>
          </w:p>
        </w:tc>
      </w:tr>
    </w:tbl>
    <w:p>
      <w:pPr>
        <w:spacing w:after="0" w:line="131"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funds held for tax sharing payments to AIG Parent, security deposits, and replacement reserve deposits related to real estate.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8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0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7</w:t>
            </w:r>
          </w:p>
        </w:tc>
      </w:tr>
      <w:tr>
        <w:trPr>
          <w:trHeight w:val="221"/>
        </w:trPr>
        <w:tc>
          <w:tcPr>
            <w:tcW w:w="7560" w:type="dxa"/>
            <w:vAlign w:val="bottom"/>
            <w:tcBorders>
              <w:bottom w:val="single" w:sz="8" w:color="9A9A9A"/>
            </w:tcBorders>
          </w:tcPr>
          <w:p>
            <w:pPr>
              <w:spacing w:after="0"/>
              <w:rPr>
                <w:sz w:val="19"/>
                <w:szCs w:val="19"/>
                <w:color w:val="auto"/>
              </w:rPr>
            </w:pPr>
          </w:p>
        </w:tc>
        <w:tc>
          <w:tcPr>
            <w:tcW w:w="32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1. Basis of Presentation</w:t>
      </w:r>
    </w:p>
    <w:p>
      <w:pPr>
        <w:spacing w:after="0" w:line="22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American International Group, Inc. is a leading global insurance organization. AIG provides insurance solutions that help businesses and individuals in over 200 countries and jurisdictions protect their assets and manage risks through AIG operations, licenses and authorizations as well as network partners. Unless the context indicates otherwise, the terms “AIG,” “we,” “us,” “our” or "the Company" mean American International Group, Inc. and its consolidated subsidiaries, and the term “AIG Parent” means American International Group, Inc. and not any of its consolidated subsidiaries.</w:t>
      </w:r>
    </w:p>
    <w:p>
      <w:pPr>
        <w:spacing w:after="0" w:line="67"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color w:val="auto"/>
        </w:rPr>
        <w:t>These unaudited Condensed Consolidated Financial Statements do not include all disclosures that are normally included in annual financial statements prepared in accordance with accounting principles generally accepted in the United States (GAAP) and should be read in conjunction with the audited Consolidated Financial Statements and the related notes included in our Annual Report on Form 10-K for the year ended December 31, 2025 (the 2025 Annual Report). The condensed consolidated financial information as of December 31, 2025 included herein has been derived from the audited Consolidated Financial Statements in the 2025 Annual Report.</w:t>
      </w:r>
    </w:p>
    <w:p>
      <w:pPr>
        <w:spacing w:after="0" w:line="7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the opinion of management, these Condensed Consolidated Financial Statements contain normal recurring adjustments, including eliminations of material intercompany accounts and transactions, necessary for a fair statement of the results presented herein. Results of operations for the nine months ended September 30, 2026 are not necessarily indicative of the results that may be expected for the year ending December 31, 2026.</w:t>
      </w:r>
    </w:p>
    <w:p>
      <w:pPr>
        <w:spacing w:after="0" w:line="64"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We evaluated the need to recognize or disclose events that occurred subsequent to September 30, 2026 and prior to the issuance of these Condensed Consolidated Financial Statements. There were no significant subsequent events that required disclosure.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STRATEGIC INVESTMENTS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6, 2026, AIG closed its previously announced acquisitions of (i) a 35 percent equity interest in Convex Group Limited (Convex), a global specialty insurer, for $2.1 billion and (ii) a 9.9 percent ownership stake in Onex Corporation (Onex), a global asset manager, for $642 million. AIG reflects its interest in Convex as an equity method investment in Other invested assets. The difference between the purchase price and the value of the underlying net assets acquired is primarily comprised of intangible assets and other basis differences of $520 million and goodwill of $440 million. AIG records its proportionate share of Convex’s net income less amortization of the basis differences described above as a component of Net investment income reported in General Insurance.</w:t>
      </w:r>
    </w:p>
    <w:p>
      <w:pPr>
        <w:spacing w:after="0" w:line="75"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On December 23, 2025, AIG entered into a whole account quota share agreement with Convex to reinsure 7.5 percent, 10.0 percent and 12.5 percent of Convex’s underwriting portfolio beginning in 2026, 2027 and 2028, respectively. The quota share agreement became effective starting on January 1, 2026.</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SALE OF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Corebridge</w:t>
      </w:r>
    </w:p>
    <w:p>
      <w:pPr>
        <w:spacing w:after="0" w:line="6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February 17, 2026, Corebridge Financial, Inc. (Corebridge) purchased 24.7 million shares of Corebridge common stock from AIG at a per share purchase price of $30.42 with aggregate proceeds to AIG Parent of $750 million. On March 23, 2026, in light of the reduction in AIG’s ownership interest in Corebridge, the two remaining AIG designees resigned from Corebridge's board of directors. As of March 31, 2026, we concluded that we no longer have the ability to exert significant influence over Corebridge. AIG's interest in Corebridge changed from being recognized as an equity method investment in Other invested assets to an equity security, at fair value on our Condensed Consolidated Balance Sheets. AIG continued to use Corebridge’s stock price as its fair value for reporting purposes. Dividends received from Corebridge and changes in its stock price continued to be recognized in Net investment income.</w:t>
      </w:r>
    </w:p>
    <w:p>
      <w:pPr>
        <w:spacing w:after="0" w:line="29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On May 7, 2026, we sold 25.5 million shares of Corebridge common stock, representing our remaining interest in Corebridge, at a per share purchase price of $27.90. The aggregate proceeds to AIG Parent were approximately $710 million.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USE OF ESTIMATES</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preparation of financial statements in accordance with U.S. GAAP requires the application of accounting policies that often involve a significant degree of judgment. Accounting policies that we believe are most dependent on the application of estimates and assumptions are considered our critical accounting estimates and are related to the determination of:</w:t>
      </w:r>
    </w:p>
    <w:p>
      <w:pPr>
        <w:spacing w:after="0" w:line="10"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 reserves;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reinsurance assets;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fair value measurements of certain financial assets and financial liabilities;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income taxes, in particular the recoverability of our deferred tax asset and establishment of provisions for 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24771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0" w:hanging="734"/>
        <w:spacing w:after="0"/>
        <w:tabs>
          <w:tab w:leader="none" w:pos="760" w:val="left"/>
        </w:tabs>
        <w:numPr>
          <w:ilvl w:val="0"/>
          <w:numId w:val="8"/>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 Basis of Presentation</w:t>
      </w:r>
    </w:p>
    <w:p>
      <w:pPr>
        <w:spacing w:after="0" w:line="378"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These accounting estimates require the use of assumptions about matters, some of which are highly uncertain at the time of estimation. To the extent actual experience differs from the assumptions used, our consolidated financial condition, results of operations and cash flows could be materially affected.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DEBT</w:t>
      </w:r>
    </w:p>
    <w:p>
      <w:pPr>
        <w:spacing w:after="0" w:line="104"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On September 24, 2026, AIG issued €625 million aggregate principal amount of 4.250% Notes Due 2031 and €500 million aggregate principal amount of 4.750% Notes Due 2036, which was equivalent to approximately $1.3 billion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234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color w:val="001871"/>
        </w:rPr>
        <w:t>2.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FUTURE APPLICATION OF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Disaggregation of Income Statement Expenses</w:t>
      </w:r>
    </w:p>
    <w:p>
      <w:pPr>
        <w:spacing w:after="0" w:line="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November 4, 2024, the FASB issued new guidance that is intended to improve disclosures regarding the nature of expenses included in the income statement. The standard will require companies to disaggregate certain expense captions into specified categories in disclosures within notes to the financial statements and provide qualitative descriptions for those that are not separately disclosed. The guidance is effective for annual reporting periods beginning after December 15, 2026, and interim reporting periods within annual reporting periods beginning after December 15, 2027. The requirements can be applied prospectively or retrospectively for prior periods presented when adopted. We are assessing the impact of adopting these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Improvements to Internal-use Software</w:t>
      </w:r>
    </w:p>
    <w:p>
      <w:pPr>
        <w:spacing w:after="0" w:line="8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September 2025, the FASB issued targeted improvements to modernize the accounting for software development costs. Under the new guidance, qualifying costs will be capitalized when management authorizes a project and it is probable the project will be completed and used to perform the intended function, rather than when a project reaches the application development stage under existing guidance. The effective date for the standard is for annual periods beginning after December 15, 2027 and interim reporting periods within those fiscal years. Early adoption is permitted. The amendments can be applied either prospectively, retrospectively or utilizing a modified transition approach. We are assessing the impact and approach towards adopting the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234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7"/>
          <w:szCs w:val="27"/>
          <w:color w:val="001871"/>
        </w:rPr>
        <w:t>3. Segment Information</w:t>
      </w:r>
    </w:p>
    <w:p>
      <w:pPr>
        <w:spacing w:after="0" w:line="229"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AIG has three reportable segments: North America Commercial, International Commercial and Global Personal. Our Chief Executive Officer and Chief Financial Officer are our chief operating decision makers (CODMs) and use Underwriting income (loss) to benchmark and assess AIG's performance by segment and establish management’s compensation. Our general insurance business (General Insurance) consists of our three segments and the Net investment income and Amortization of intangible assets including renewal rights related to our insurance operations.</w:t>
      </w:r>
    </w:p>
    <w:p>
      <w:pPr>
        <w:spacing w:after="0" w:line="67"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In the first quarter of 2026, AIG realigned and began reporting Amortization of intangible assets in General Insurance from Other Operations; historical results have been recast to reflect these changes.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NORTH AMERICA COMMERCIAL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North America Commercial segment consists of insurance businesses and operations in the United States, Canada and Bermuda.</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INTERNATIONAL COMMERCIAL</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International Commercial segment consists of insurance businesses and operations in Europe, Middle East and Africa (EMEA region), the United Kingdom, Japan, Asia Pacific, Latin America and Caribbean, and China. The International Commercial segment also includes the results of Talbot Holdings Ltd. (Talbot) as well as AIG’s Global Specialty business.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GLOBAL PERSONAL</w:t>
      </w:r>
    </w:p>
    <w:p>
      <w:pPr>
        <w:spacing w:after="0" w:line="117"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The Global Personal segment consists primarily of Global Accident &amp; Health and Personal Lines insurance businesses in the United States, Japan, the United Kingdom, EMEA region, Asia Pacific, Latin America and Caribbean, and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356235</wp:posOffset>
            </wp:positionV>
            <wp:extent cx="23317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8640"/>
        <w:spacing w:after="0"/>
        <w:tabs>
          <w:tab w:leader="none" w:pos="1114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3. Segment Information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PRODUCTS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segments consist of the following products: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North America and International Commercial consists of Property &amp; Short Tail, Casualty, Financial Lines and Global Specialty.</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Global Personal consists of Global Accident &amp; Health and Personal Lines.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OTHER OPERATIONS</w:t>
      </w:r>
    </w:p>
    <w:p>
      <w:pPr>
        <w:spacing w:after="0" w:line="117"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Other Operations predominantly consists of Net investment income from our AIG Parent liquidity portfolio, Corebridge dividend income, corporate General operating expenses, and Interest expense.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SEGMENT RESULTS</w:t>
      </w:r>
    </w:p>
    <w:p>
      <w:pPr>
        <w:spacing w:after="0" w:line="11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Management uses Underwriting income (loss) as the basis for the segment performance reviews. AIG calculates Underwriting income (loss) by subtracting Losses and loss adjustment expense incurred, Amortization of deferred policy acquisition costs (DAC), Other acquisition cost, and General operating expense from Net premiums earned. Assets by reportable segment are not used by the CODMs for purposes of making decisions about allocating resources to the segment and assessing its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AIG’s operations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234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252DE"/>
        </w:rPr>
        <w:t>Three Months Ended September 30,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440" w:type="dxa"/>
            <w:vAlign w:val="bottom"/>
            <w:tcBorders>
              <w:top w:val="single" w:sz="8" w:color="1352DE"/>
            </w:tcBorders>
          </w:tcPr>
          <w:p>
            <w:pPr>
              <w:spacing w:after="0"/>
              <w:rPr>
                <w:sz w:val="11"/>
                <w:szCs w:val="11"/>
                <w:color w:val="auto"/>
              </w:rPr>
            </w:pPr>
          </w:p>
        </w:tc>
        <w:tc>
          <w:tcPr>
            <w:tcW w:w="280" w:type="dxa"/>
            <w:vAlign w:val="bottom"/>
            <w:tcBorders>
              <w:top w:val="single" w:sz="8" w:color="1352DE"/>
            </w:tcBorders>
          </w:tcPr>
          <w:p>
            <w:pPr>
              <w:spacing w:after="0"/>
              <w:rPr>
                <w:sz w:val="11"/>
                <w:szCs w:val="11"/>
                <w:color w:val="auto"/>
              </w:rPr>
            </w:pPr>
          </w:p>
        </w:tc>
        <w:tc>
          <w:tcPr>
            <w:tcW w:w="6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640" w:type="dxa"/>
            <w:vAlign w:val="bottom"/>
            <w:tcBorders>
              <w:top w:val="single" w:sz="8" w:color="1352DE"/>
            </w:tcBorders>
          </w:tcPr>
          <w:p>
            <w:pPr>
              <w:spacing w:after="0"/>
              <w:rPr>
                <w:sz w:val="11"/>
                <w:szCs w:val="11"/>
                <w:color w:val="auto"/>
              </w:rPr>
            </w:pPr>
          </w:p>
        </w:tc>
        <w:tc>
          <w:tcPr>
            <w:tcW w:w="160" w:type="dxa"/>
            <w:vAlign w:val="bottom"/>
            <w:tcBorders>
              <w:top w:val="single" w:sz="8" w:color="1352DE"/>
            </w:tcBorders>
          </w:tcPr>
          <w:p>
            <w:pPr>
              <w:spacing w:after="0"/>
              <w:rPr>
                <w:sz w:val="11"/>
                <w:szCs w:val="11"/>
                <w:color w:val="auto"/>
              </w:rPr>
            </w:pPr>
          </w:p>
        </w:tc>
        <w:tc>
          <w:tcPr>
            <w:tcW w:w="780" w:type="dxa"/>
            <w:vAlign w:val="bottom"/>
            <w:tcBorders>
              <w:top w:val="single" w:sz="8" w:color="1352DE"/>
            </w:tcBorders>
          </w:tcPr>
          <w:p>
            <w:pPr>
              <w:jc w:val="right"/>
              <w:spacing w:after="0" w:line="131" w:lineRule="exact"/>
              <w:rPr>
                <w:sz w:val="20"/>
                <w:szCs w:val="20"/>
                <w:color w:val="auto"/>
              </w:rPr>
            </w:pPr>
            <w:r>
              <w:rPr>
                <w:rFonts w:ascii="Arial" w:cs="Arial" w:eastAsia="Arial" w:hAnsi="Arial"/>
                <w:sz w:val="13"/>
                <w:szCs w:val="13"/>
                <w:color w:val="1252DE"/>
              </w:rPr>
              <w:t>Losses</w:t>
            </w:r>
          </w:p>
        </w:tc>
        <w:tc>
          <w:tcPr>
            <w:tcW w:w="160" w:type="dxa"/>
            <w:vAlign w:val="bottom"/>
            <w:tcBorders>
              <w:top w:val="single" w:sz="8" w:color="1352DE"/>
            </w:tcBorders>
          </w:tcPr>
          <w:p>
            <w:pPr>
              <w:spacing w:after="0"/>
              <w:rPr>
                <w:sz w:val="11"/>
                <w:szCs w:val="11"/>
                <w:color w:val="auto"/>
              </w:rPr>
            </w:pPr>
          </w:p>
        </w:tc>
        <w:tc>
          <w:tcPr>
            <w:tcW w:w="840" w:type="dxa"/>
            <w:vAlign w:val="bottom"/>
            <w:tcBorders>
              <w:top w:val="single" w:sz="8" w:color="1352DE"/>
            </w:tcBorders>
          </w:tcPr>
          <w:p>
            <w:pPr>
              <w:spacing w:after="0"/>
              <w:rPr>
                <w:sz w:val="11"/>
                <w:szCs w:val="11"/>
                <w:color w:val="auto"/>
              </w:rPr>
            </w:pPr>
          </w:p>
        </w:tc>
        <w:tc>
          <w:tcPr>
            <w:tcW w:w="140" w:type="dxa"/>
            <w:vAlign w:val="bottom"/>
            <w:tcBorders>
              <w:top w:val="single" w:sz="8" w:color="1352DE"/>
            </w:tcBorders>
          </w:tcPr>
          <w:p>
            <w:pPr>
              <w:spacing w:after="0"/>
              <w:rPr>
                <w:sz w:val="11"/>
                <w:szCs w:val="11"/>
                <w:color w:val="auto"/>
              </w:rPr>
            </w:pPr>
          </w:p>
        </w:tc>
        <w:tc>
          <w:tcPr>
            <w:tcW w:w="7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8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84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76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940" w:type="dxa"/>
            <w:vAlign w:val="bottom"/>
            <w:tcBorders>
              <w:top w:val="single" w:sz="8" w:color="1352DE"/>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and Loss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1252DE"/>
              </w:rPr>
              <w:t>Other</w:t>
            </w: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1252DE"/>
              </w:rPr>
              <w:t>General</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1252DE"/>
              </w:rPr>
              <w:t>Underwriting</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1252DE"/>
              </w:rPr>
              <w:t>Reconciliation</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Adjustment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1252DE"/>
              </w:rPr>
              <w:t>Amortization</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1252DE"/>
              </w:rPr>
              <w:t>Premiums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1252DE"/>
              </w:rPr>
              <w:t>Premiums</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Expenses</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Acquisition</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1252DE"/>
              </w:rPr>
              <w:t>Operating</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1252DE"/>
              </w:rPr>
              <w:t>Income</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1252DE"/>
              </w:rPr>
              <w:t>Investment</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1252DE"/>
              </w:rPr>
              <w:t>to Pre-tax</w:t>
            </w:r>
          </w:p>
        </w:tc>
        <w:tc>
          <w:tcPr>
            <w:tcW w:w="0" w:type="dxa"/>
            <w:vAlign w:val="bottom"/>
          </w:tcPr>
          <w:p>
            <w:pPr>
              <w:spacing w:after="0"/>
              <w:rPr>
                <w:sz w:val="1"/>
                <w:szCs w:val="1"/>
                <w:color w:val="auto"/>
              </w:rPr>
            </w:pPr>
          </w:p>
        </w:tc>
      </w:tr>
      <w:tr>
        <w:trPr>
          <w:trHeight w:val="188"/>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ind w:left="240"/>
              <w:spacing w:after="0"/>
              <w:rPr>
                <w:sz w:val="20"/>
                <w:szCs w:val="20"/>
                <w:color w:val="auto"/>
              </w:rPr>
            </w:pPr>
            <w:r>
              <w:rPr>
                <w:rFonts w:ascii="Arial" w:cs="Arial" w:eastAsia="Arial" w:hAnsi="Arial"/>
                <w:sz w:val="13"/>
                <w:szCs w:val="13"/>
                <w:color w:val="1252DE"/>
              </w:rPr>
              <w:t>Written</w:t>
            </w:r>
          </w:p>
        </w:tc>
        <w:tc>
          <w:tcPr>
            <w:tcW w:w="18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tcPr>
          <w:p>
            <w:pPr>
              <w:jc w:val="center"/>
              <w:ind w:left="90"/>
              <w:spacing w:after="0"/>
              <w:rPr>
                <w:sz w:val="20"/>
                <w:szCs w:val="20"/>
                <w:color w:val="auto"/>
              </w:rPr>
            </w:pPr>
            <w:r>
              <w:rPr>
                <w:rFonts w:ascii="Arial" w:cs="Arial" w:eastAsia="Arial" w:hAnsi="Arial"/>
                <w:sz w:val="13"/>
                <w:szCs w:val="13"/>
                <w:color w:val="1252DE"/>
              </w:rPr>
              <w:t>Earned</w:t>
            </w:r>
          </w:p>
        </w:tc>
        <w:tc>
          <w:tcPr>
            <w:tcW w:w="16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line="189" w:lineRule="exact"/>
              <w:rPr>
                <w:sz w:val="20"/>
                <w:szCs w:val="20"/>
                <w:color w:val="auto"/>
              </w:rPr>
            </w:pPr>
            <w:r>
              <w:rPr>
                <w:rFonts w:ascii="Arial" w:cs="Arial" w:eastAsia="Arial" w:hAnsi="Arial"/>
                <w:sz w:val="13"/>
                <w:szCs w:val="13"/>
                <w:color w:val="1252DE"/>
              </w:rPr>
              <w:t>Incurred</w:t>
            </w:r>
            <w:r>
              <w:rPr>
                <w:rFonts w:ascii="Arial" w:cs="Arial" w:eastAsia="Arial" w:hAnsi="Arial"/>
                <w:sz w:val="17"/>
                <w:szCs w:val="17"/>
                <w:color w:val="1252DE"/>
                <w:vertAlign w:val="superscript"/>
              </w:rPr>
              <w:t>(a)</w:t>
            </w:r>
          </w:p>
        </w:tc>
        <w:tc>
          <w:tcPr>
            <w:tcW w:w="16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line="189" w:lineRule="exact"/>
              <w:rPr>
                <w:sz w:val="20"/>
                <w:szCs w:val="20"/>
                <w:color w:val="auto"/>
              </w:rPr>
            </w:pPr>
            <w:r>
              <w:rPr>
                <w:rFonts w:ascii="Arial" w:cs="Arial" w:eastAsia="Arial" w:hAnsi="Arial"/>
                <w:sz w:val="13"/>
                <w:szCs w:val="13"/>
                <w:color w:val="1252DE"/>
              </w:rPr>
              <w:t>of DAC</w:t>
            </w:r>
            <w:r>
              <w:rPr>
                <w:rFonts w:ascii="Arial" w:cs="Arial" w:eastAsia="Arial" w:hAnsi="Arial"/>
                <w:sz w:val="17"/>
                <w:szCs w:val="17"/>
                <w:color w:val="1252DE"/>
                <w:vertAlign w:val="superscript"/>
              </w:rPr>
              <w:t>(a)</w:t>
            </w:r>
          </w:p>
        </w:tc>
        <w:tc>
          <w:tcPr>
            <w:tcW w:w="14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line="189" w:lineRule="exact"/>
              <w:rPr>
                <w:sz w:val="20"/>
                <w:szCs w:val="20"/>
                <w:color w:val="auto"/>
              </w:rPr>
            </w:pPr>
            <w:r>
              <w:rPr>
                <w:rFonts w:ascii="Arial" w:cs="Arial" w:eastAsia="Arial" w:hAnsi="Arial"/>
                <w:sz w:val="13"/>
                <w:szCs w:val="13"/>
                <w:color w:val="1252DE"/>
              </w:rPr>
              <w:t>Expenses</w:t>
            </w:r>
            <w:r>
              <w:rPr>
                <w:rFonts w:ascii="Arial" w:cs="Arial" w:eastAsia="Arial" w:hAnsi="Arial"/>
                <w:sz w:val="17"/>
                <w:szCs w:val="17"/>
                <w:color w:val="1252DE"/>
                <w:vertAlign w:val="superscript"/>
              </w:rPr>
              <w:t>(a)</w:t>
            </w:r>
          </w:p>
        </w:tc>
        <w:tc>
          <w:tcPr>
            <w:tcW w:w="180" w:type="dxa"/>
            <w:vAlign w:val="bottom"/>
            <w:tcBorders>
              <w:bottom w:val="single" w:sz="8" w:color="1352DE"/>
            </w:tcBorders>
          </w:tcPr>
          <w:p>
            <w:pPr>
              <w:spacing w:after="0"/>
              <w:rPr>
                <w:sz w:val="16"/>
                <w:szCs w:val="16"/>
                <w:color w:val="auto"/>
              </w:rPr>
            </w:pPr>
          </w:p>
        </w:tc>
        <w:tc>
          <w:tcPr>
            <w:tcW w:w="880" w:type="dxa"/>
            <w:vAlign w:val="bottom"/>
            <w:tcBorders>
              <w:bottom w:val="single" w:sz="8" w:color="1352DE"/>
            </w:tcBorders>
          </w:tcPr>
          <w:p>
            <w:pPr>
              <w:jc w:val="right"/>
              <w:spacing w:after="0" w:line="189" w:lineRule="exact"/>
              <w:rPr>
                <w:sz w:val="20"/>
                <w:szCs w:val="20"/>
                <w:color w:val="auto"/>
              </w:rPr>
            </w:pPr>
            <w:r>
              <w:rPr>
                <w:rFonts w:ascii="Arial" w:cs="Arial" w:eastAsia="Arial" w:hAnsi="Arial"/>
                <w:sz w:val="13"/>
                <w:szCs w:val="13"/>
                <w:color w:val="1252DE"/>
              </w:rPr>
              <w:t>Expenses</w:t>
            </w:r>
            <w:r>
              <w:rPr>
                <w:rFonts w:ascii="Arial" w:cs="Arial" w:eastAsia="Arial" w:hAnsi="Arial"/>
                <w:sz w:val="17"/>
                <w:szCs w:val="17"/>
                <w:color w:val="1252DE"/>
                <w:vertAlign w:val="superscript"/>
              </w:rPr>
              <w:t>(a)(b)</w:t>
            </w:r>
          </w:p>
        </w:tc>
        <w:tc>
          <w:tcPr>
            <w:tcW w:w="18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(Loss)</w:t>
            </w:r>
          </w:p>
        </w:tc>
        <w:tc>
          <w:tcPr>
            <w:tcW w:w="18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Income</w:t>
            </w:r>
          </w:p>
        </w:tc>
        <w:tc>
          <w:tcPr>
            <w:tcW w:w="18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Income (Loss)</w:t>
            </w:r>
          </w:p>
        </w:tc>
        <w:tc>
          <w:tcPr>
            <w:tcW w:w="0" w:type="dxa"/>
            <w:vAlign w:val="bottom"/>
          </w:tcPr>
          <w:p>
            <w:pPr>
              <w:spacing w:after="0"/>
              <w:rPr>
                <w:sz w:val="1"/>
                <w:szCs w:val="1"/>
                <w:color w:val="auto"/>
              </w:rPr>
            </w:pPr>
          </w:p>
        </w:tc>
      </w:tr>
      <w:tr>
        <w:trPr>
          <w:trHeight w:val="194"/>
        </w:trPr>
        <w:tc>
          <w:tcPr>
            <w:tcW w:w="2440" w:type="dxa"/>
            <w:vAlign w:val="bottom"/>
          </w:tcPr>
          <w:p>
            <w:pPr>
              <w:ind w:left="20"/>
              <w:spacing w:after="0"/>
              <w:rPr>
                <w:sz w:val="20"/>
                <w:szCs w:val="20"/>
                <w:color w:val="auto"/>
              </w:rPr>
            </w:pPr>
            <w:r>
              <w:rPr>
                <w:rFonts w:ascii="Arial" w:cs="Arial" w:eastAsia="Arial" w:hAnsi="Arial"/>
                <w:sz w:val="13"/>
                <w:szCs w:val="13"/>
                <w:color w:val="auto"/>
              </w:rPr>
              <w:t>North America Commercial</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1352DE"/>
              </w:rPr>
              <w:t>$</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1352DE"/>
              </w:rPr>
              <w:t>2,481</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352DE"/>
              </w:rPr>
              <w:t>$</w:t>
            </w:r>
          </w:p>
        </w:tc>
        <w:tc>
          <w:tcPr>
            <w:tcW w:w="640" w:type="dxa"/>
            <w:vAlign w:val="bottom"/>
          </w:tcPr>
          <w:p>
            <w:pPr>
              <w:jc w:val="center"/>
              <w:ind w:left="90"/>
              <w:spacing w:after="0"/>
              <w:rPr>
                <w:sz w:val="20"/>
                <w:szCs w:val="20"/>
                <w:color w:val="auto"/>
              </w:rPr>
            </w:pPr>
            <w:r>
              <w:rPr>
                <w:rFonts w:ascii="Arial" w:cs="Arial" w:eastAsia="Arial" w:hAnsi="Arial"/>
                <w:sz w:val="14"/>
                <w:szCs w:val="14"/>
                <w:b w:val="1"/>
                <w:bCs w:val="1"/>
                <w:color w:val="1352DE"/>
              </w:rPr>
              <w:t>2,362</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1352DE"/>
              </w:rPr>
              <w:t>$</w:t>
            </w: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1352DE"/>
              </w:rPr>
              <w:t>1,641</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1352DE"/>
                <w:w w:val="76"/>
              </w:rPr>
              <w:t>$</w:t>
            </w:r>
          </w:p>
        </w:tc>
        <w:tc>
          <w:tcPr>
            <w:tcW w:w="840" w:type="dxa"/>
            <w:vAlign w:val="bottom"/>
          </w:tcPr>
          <w:p>
            <w:pPr>
              <w:jc w:val="right"/>
              <w:ind w:right="10"/>
              <w:spacing w:after="0"/>
              <w:rPr>
                <w:sz w:val="20"/>
                <w:szCs w:val="20"/>
                <w:color w:val="auto"/>
              </w:rPr>
            </w:pPr>
            <w:r>
              <w:rPr>
                <w:rFonts w:ascii="Arial" w:cs="Arial" w:eastAsia="Arial" w:hAnsi="Arial"/>
                <w:sz w:val="14"/>
                <w:szCs w:val="14"/>
                <w:b w:val="1"/>
                <w:bCs w:val="1"/>
                <w:color w:val="1352DE"/>
              </w:rPr>
              <w:t>242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1352DE"/>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1352DE"/>
              </w:rPr>
              <w:t>54</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352DE"/>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1352DE"/>
              </w:rPr>
              <w:t>258</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352DE"/>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1352DE"/>
              </w:rPr>
              <w:t>167</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3"/>
                <w:szCs w:val="13"/>
                <w:color w:val="auto"/>
              </w:rPr>
              <w:t>International Commercial</w:t>
            </w:r>
          </w:p>
        </w:tc>
        <w:tc>
          <w:tcPr>
            <w:tcW w:w="28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4"/>
                <w:szCs w:val="14"/>
                <w:b w:val="1"/>
                <w:bCs w:val="1"/>
                <w:color w:val="1352DE"/>
              </w:rPr>
              <w:t>2,387</w:t>
            </w:r>
          </w:p>
        </w:tc>
        <w:tc>
          <w:tcPr>
            <w:tcW w:w="180" w:type="dxa"/>
            <w:vAlign w:val="bottom"/>
          </w:tcPr>
          <w:p>
            <w:pPr>
              <w:spacing w:after="0"/>
              <w:rPr>
                <w:sz w:val="17"/>
                <w:szCs w:val="17"/>
                <w:color w:val="auto"/>
              </w:rPr>
            </w:pPr>
          </w:p>
        </w:tc>
        <w:tc>
          <w:tcPr>
            <w:tcW w:w="640" w:type="dxa"/>
            <w:vAlign w:val="bottom"/>
          </w:tcPr>
          <w:p>
            <w:pPr>
              <w:jc w:val="center"/>
              <w:ind w:left="90"/>
              <w:spacing w:after="0"/>
              <w:rPr>
                <w:sz w:val="20"/>
                <w:szCs w:val="20"/>
                <w:color w:val="auto"/>
              </w:rPr>
            </w:pPr>
            <w:r>
              <w:rPr>
                <w:rFonts w:ascii="Arial" w:cs="Arial" w:eastAsia="Arial" w:hAnsi="Arial"/>
                <w:sz w:val="14"/>
                <w:szCs w:val="14"/>
                <w:b w:val="1"/>
                <w:bCs w:val="1"/>
                <w:color w:val="1352DE"/>
              </w:rPr>
              <w:t>2,407</w:t>
            </w:r>
          </w:p>
        </w:tc>
        <w:tc>
          <w:tcPr>
            <w:tcW w:w="16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1352DE"/>
              </w:rPr>
              <w:t>1,388</w:t>
            </w:r>
          </w:p>
        </w:tc>
        <w:tc>
          <w:tcPr>
            <w:tcW w:w="16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b w:val="1"/>
                <w:bCs w:val="1"/>
                <w:color w:val="1352DE"/>
              </w:rPr>
              <w:t>324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352DE"/>
              </w:rPr>
              <w:t>92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1352DE"/>
              </w:rPr>
              <w:t>320</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1352DE"/>
              </w:rPr>
              <w:t>283</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Global Personal</w:t>
            </w:r>
          </w:p>
        </w:tc>
        <w:tc>
          <w:tcPr>
            <w:tcW w:w="2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ind w:left="240"/>
              <w:spacing w:after="0"/>
              <w:rPr>
                <w:sz w:val="20"/>
                <w:szCs w:val="20"/>
                <w:color w:val="auto"/>
              </w:rPr>
            </w:pPr>
            <w:r>
              <w:rPr>
                <w:rFonts w:ascii="Arial" w:cs="Arial" w:eastAsia="Arial" w:hAnsi="Arial"/>
                <w:sz w:val="14"/>
                <w:szCs w:val="14"/>
                <w:b w:val="1"/>
                <w:bCs w:val="1"/>
                <w:color w:val="1352DE"/>
              </w:rPr>
              <w:t>1,783</w:t>
            </w: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center"/>
              <w:ind w:left="90"/>
              <w:spacing w:after="0"/>
              <w:rPr>
                <w:sz w:val="20"/>
                <w:szCs w:val="20"/>
                <w:color w:val="auto"/>
              </w:rPr>
            </w:pPr>
            <w:r>
              <w:rPr>
                <w:rFonts w:ascii="Arial" w:cs="Arial" w:eastAsia="Arial" w:hAnsi="Arial"/>
                <w:sz w:val="14"/>
                <w:szCs w:val="14"/>
                <w:b w:val="1"/>
                <w:bCs w:val="1"/>
                <w:color w:val="1352DE"/>
              </w:rPr>
              <w:t>1,666</w:t>
            </w: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11"/>
              <w:spacing w:after="0"/>
              <w:rPr>
                <w:sz w:val="20"/>
                <w:szCs w:val="20"/>
                <w:color w:val="auto"/>
              </w:rPr>
            </w:pPr>
            <w:r>
              <w:rPr>
                <w:rFonts w:ascii="Arial" w:cs="Arial" w:eastAsia="Arial" w:hAnsi="Arial"/>
                <w:sz w:val="14"/>
                <w:szCs w:val="14"/>
                <w:b w:val="1"/>
                <w:bCs w:val="1"/>
                <w:color w:val="1352DE"/>
              </w:rPr>
              <w:t>874</w:t>
            </w: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b w:val="1"/>
                <w:bCs w:val="1"/>
                <w:color w:val="1352DE"/>
              </w:rPr>
              <w:t>362</w:t>
            </w: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96</w:t>
            </w: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220</w:t>
            </w: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114</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3"/>
                <w:szCs w:val="13"/>
                <w:b w:val="1"/>
                <w:bCs w:val="1"/>
                <w:color w:val="1252DE"/>
              </w:rPr>
              <w:t>Total General Insurance</w:t>
            </w:r>
            <w:r>
              <w:rPr>
                <w:rFonts w:ascii="Arial" w:cs="Arial" w:eastAsia="Arial" w:hAnsi="Arial"/>
                <w:sz w:val="17"/>
                <w:szCs w:val="17"/>
                <w:b w:val="1"/>
                <w:bCs w:val="1"/>
                <w:color w:val="1252DE"/>
                <w:vertAlign w:val="superscript"/>
              </w:rPr>
              <w:t>(c)</w:t>
            </w:r>
          </w:p>
        </w:tc>
        <w:tc>
          <w:tcPr>
            <w:tcW w:w="2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w:t>
            </w:r>
          </w:p>
        </w:tc>
        <w:tc>
          <w:tcPr>
            <w:tcW w:w="680" w:type="dxa"/>
            <w:vAlign w:val="bottom"/>
            <w:tcBorders>
              <w:bottom w:val="single" w:sz="8" w:color="1352DE"/>
            </w:tcBorders>
          </w:tcPr>
          <w:p>
            <w:pPr>
              <w:ind w:left="240"/>
              <w:spacing w:after="0"/>
              <w:rPr>
                <w:sz w:val="20"/>
                <w:szCs w:val="20"/>
                <w:color w:val="auto"/>
              </w:rPr>
            </w:pPr>
            <w:r>
              <w:rPr>
                <w:rFonts w:ascii="Arial" w:cs="Arial" w:eastAsia="Arial" w:hAnsi="Arial"/>
                <w:sz w:val="14"/>
                <w:szCs w:val="14"/>
                <w:b w:val="1"/>
                <w:bCs w:val="1"/>
                <w:color w:val="1352DE"/>
              </w:rPr>
              <w:t>6,651</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640" w:type="dxa"/>
            <w:vAlign w:val="bottom"/>
            <w:tcBorders>
              <w:bottom w:val="single" w:sz="8" w:color="1352DE"/>
            </w:tcBorders>
          </w:tcPr>
          <w:p>
            <w:pPr>
              <w:jc w:val="center"/>
              <w:ind w:left="90"/>
              <w:spacing w:after="0"/>
              <w:rPr>
                <w:sz w:val="20"/>
                <w:szCs w:val="20"/>
                <w:color w:val="auto"/>
              </w:rPr>
            </w:pPr>
            <w:r>
              <w:rPr>
                <w:rFonts w:ascii="Arial" w:cs="Arial" w:eastAsia="Arial" w:hAnsi="Arial"/>
                <w:sz w:val="14"/>
                <w:szCs w:val="14"/>
                <w:b w:val="1"/>
                <w:bCs w:val="1"/>
                <w:color w:val="1352DE"/>
              </w:rPr>
              <w:t>6,435</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w:t>
            </w:r>
          </w:p>
        </w:tc>
        <w:tc>
          <w:tcPr>
            <w:tcW w:w="780" w:type="dxa"/>
            <w:vAlign w:val="bottom"/>
            <w:tcBorders>
              <w:bottom w:val="single" w:sz="8" w:color="1352DE"/>
            </w:tcBorders>
          </w:tcPr>
          <w:p>
            <w:pPr>
              <w:jc w:val="right"/>
              <w:ind w:right="11"/>
              <w:spacing w:after="0"/>
              <w:rPr>
                <w:sz w:val="20"/>
                <w:szCs w:val="20"/>
                <w:color w:val="auto"/>
              </w:rPr>
            </w:pPr>
            <w:r>
              <w:rPr>
                <w:rFonts w:ascii="Arial" w:cs="Arial" w:eastAsia="Arial" w:hAnsi="Arial"/>
                <w:sz w:val="14"/>
                <w:szCs w:val="14"/>
                <w:b w:val="1"/>
                <w:bCs w:val="1"/>
                <w:color w:val="1352DE"/>
              </w:rPr>
              <w:t>3,903</w:t>
            </w:r>
          </w:p>
        </w:tc>
        <w:tc>
          <w:tcPr>
            <w:tcW w:w="1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w w:val="76"/>
              </w:rPr>
              <w:t>$</w:t>
            </w:r>
          </w:p>
        </w:tc>
        <w:tc>
          <w:tcPr>
            <w:tcW w:w="84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b w:val="1"/>
                <w:bCs w:val="1"/>
                <w:color w:val="1352DE"/>
              </w:rPr>
              <w:t>928</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w w:val="76"/>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242</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798</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564</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352DE"/>
              </w:rPr>
              <w:t>$</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1,032</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352DE"/>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1,586</w:t>
            </w:r>
          </w:p>
        </w:tc>
        <w:tc>
          <w:tcPr>
            <w:tcW w:w="0" w:type="dxa"/>
            <w:vAlign w:val="bottom"/>
          </w:tcPr>
          <w:p>
            <w:pPr>
              <w:spacing w:after="0"/>
              <w:rPr>
                <w:sz w:val="1"/>
                <w:szCs w:val="1"/>
                <w:color w:val="auto"/>
              </w:rPr>
            </w:pPr>
          </w:p>
        </w:tc>
      </w:tr>
      <w:tr>
        <w:trPr>
          <w:trHeight w:val="180"/>
        </w:trPr>
        <w:tc>
          <w:tcPr>
            <w:tcW w:w="24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(101)</w:t>
            </w: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3"/>
                <w:szCs w:val="13"/>
                <w:color w:val="auto"/>
              </w:rPr>
              <w:t>Other Operations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45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(40)</w:t>
            </w:r>
          </w:p>
        </w:tc>
        <w:tc>
          <w:tcPr>
            <w:tcW w:w="0" w:type="dxa"/>
            <w:vAlign w:val="bottom"/>
          </w:tcPr>
          <w:p>
            <w:pPr>
              <w:spacing w:after="0"/>
              <w:rPr>
                <w:sz w:val="1"/>
                <w:szCs w:val="1"/>
                <w:color w:val="auto"/>
              </w:rPr>
            </w:pPr>
          </w:p>
        </w:tc>
      </w:tr>
      <w:tr>
        <w:trPr>
          <w:trHeight w:val="203"/>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Elimination and consolidations</w:t>
            </w:r>
          </w:p>
        </w:tc>
        <w:tc>
          <w:tcPr>
            <w:tcW w:w="2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w:t>
            </w:r>
          </w:p>
        </w:tc>
        <w:tc>
          <w:tcPr>
            <w:tcW w:w="18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w:t>
            </w:r>
          </w:p>
        </w:tc>
        <w:tc>
          <w:tcPr>
            <w:tcW w:w="0" w:type="dxa"/>
            <w:vAlign w:val="bottom"/>
          </w:tcPr>
          <w:p>
            <w:pPr>
              <w:spacing w:after="0"/>
              <w:rPr>
                <w:sz w:val="1"/>
                <w:szCs w:val="1"/>
                <w:color w:val="auto"/>
              </w:rPr>
            </w:pPr>
          </w:p>
        </w:tc>
      </w:tr>
      <w:tr>
        <w:trPr>
          <w:trHeight w:val="195"/>
        </w:trPr>
        <w:tc>
          <w:tcPr>
            <w:tcW w:w="2440" w:type="dxa"/>
            <w:vAlign w:val="bottom"/>
          </w:tcPr>
          <w:p>
            <w:pPr>
              <w:ind w:left="40"/>
              <w:spacing w:after="0"/>
              <w:rPr>
                <w:sz w:val="20"/>
                <w:szCs w:val="20"/>
                <w:color w:val="auto"/>
              </w:rPr>
            </w:pPr>
            <w:r>
              <w:rPr>
                <w:rFonts w:ascii="Arial" w:cs="Arial" w:eastAsia="Arial" w:hAnsi="Arial"/>
                <w:sz w:val="13"/>
                <w:szCs w:val="13"/>
                <w:b w:val="1"/>
                <w:bCs w:val="1"/>
                <w:color w:val="1252DE"/>
              </w:rPr>
              <w:t>Total</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1,075</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1,445</w:t>
            </w:r>
          </w:p>
        </w:tc>
        <w:tc>
          <w:tcPr>
            <w:tcW w:w="0" w:type="dxa"/>
            <w:vAlign w:val="bottom"/>
          </w:tcPr>
          <w:p>
            <w:pPr>
              <w:spacing w:after="0"/>
              <w:rPr>
                <w:sz w:val="1"/>
                <w:szCs w:val="1"/>
                <w:color w:val="auto"/>
              </w:rPr>
            </w:pPr>
          </w:p>
        </w:tc>
      </w:tr>
      <w:tr>
        <w:trPr>
          <w:trHeight w:val="187"/>
        </w:trPr>
        <w:tc>
          <w:tcPr>
            <w:tcW w:w="2440" w:type="dxa"/>
            <w:vAlign w:val="bottom"/>
          </w:tcPr>
          <w:p>
            <w:pPr>
              <w:ind w:left="20"/>
              <w:spacing w:after="0"/>
              <w:rPr>
                <w:sz w:val="20"/>
                <w:szCs w:val="20"/>
                <w:color w:val="auto"/>
              </w:rPr>
            </w:pPr>
            <w:r>
              <w:rPr>
                <w:rFonts w:ascii="Arial" w:cs="Arial" w:eastAsia="Arial" w:hAnsi="Arial"/>
                <w:sz w:val="13"/>
                <w:szCs w:val="13"/>
                <w:b w:val="1"/>
                <w:bCs w:val="1"/>
                <w:color w:val="1252DE"/>
              </w:rPr>
              <w:t>Reconciling items: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Changes in the fair values of equity securities and AIG's investment in Corebridge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1352DE"/>
              </w:rPr>
              <w:t>(3)</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(3)</w:t>
            </w:r>
          </w:p>
        </w:tc>
        <w:tc>
          <w:tcPr>
            <w:tcW w:w="0" w:type="dxa"/>
            <w:vAlign w:val="bottom"/>
          </w:tcPr>
          <w:p>
            <w:pPr>
              <w:spacing w:after="0"/>
              <w:rPr>
                <w:sz w:val="1"/>
                <w:szCs w:val="1"/>
                <w:color w:val="auto"/>
              </w:rPr>
            </w:pPr>
          </w:p>
        </w:tc>
      </w:tr>
      <w:tr>
        <w:trPr>
          <w:trHeight w:val="203"/>
        </w:trPr>
        <w:tc>
          <w:tcPr>
            <w:tcW w:w="2440" w:type="dxa"/>
            <w:vAlign w:val="bottom"/>
          </w:tcPr>
          <w:p>
            <w:pPr>
              <w:ind w:left="140"/>
              <w:spacing w:after="0"/>
              <w:rPr>
                <w:sz w:val="20"/>
                <w:szCs w:val="20"/>
                <w:color w:val="auto"/>
              </w:rPr>
            </w:pPr>
            <w:r>
              <w:rPr>
                <w:rFonts w:ascii="Arial" w:cs="Arial" w:eastAsia="Arial" w:hAnsi="Arial"/>
                <w:sz w:val="13"/>
                <w:szCs w:val="13"/>
                <w:color w:val="auto"/>
              </w:rPr>
              <w:t>Other income (expense) - net</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w:t>
            </w:r>
          </w:p>
        </w:tc>
        <w:tc>
          <w:tcPr>
            <w:tcW w:w="0" w:type="dxa"/>
            <w:vAlign w:val="bottom"/>
          </w:tcPr>
          <w:p>
            <w:pPr>
              <w:spacing w:after="0"/>
              <w:rPr>
                <w:sz w:val="1"/>
                <w:szCs w:val="1"/>
                <w:color w:val="auto"/>
              </w:rPr>
            </w:pPr>
          </w:p>
        </w:tc>
      </w:tr>
      <w:tr>
        <w:trPr>
          <w:trHeight w:val="203"/>
        </w:trPr>
        <w:tc>
          <w:tcPr>
            <w:tcW w:w="4220" w:type="dxa"/>
            <w:vAlign w:val="bottom"/>
            <w:gridSpan w:val="5"/>
          </w:tcPr>
          <w:p>
            <w:pPr>
              <w:ind w:left="140"/>
              <w:spacing w:after="0"/>
              <w:rPr>
                <w:sz w:val="20"/>
                <w:szCs w:val="20"/>
                <w:color w:val="auto"/>
              </w:rPr>
            </w:pPr>
            <w:r>
              <w:rPr>
                <w:rFonts w:ascii="Arial" w:cs="Arial" w:eastAsia="Arial" w:hAnsi="Arial"/>
                <w:sz w:val="13"/>
                <w:szCs w:val="13"/>
                <w:color w:val="auto"/>
              </w:rPr>
              <w:t>Net investment income on Fortitude Re funds withheld assets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16</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16</w:t>
            </w:r>
          </w:p>
        </w:tc>
        <w:tc>
          <w:tcPr>
            <w:tcW w:w="0" w:type="dxa"/>
            <w:vAlign w:val="bottom"/>
          </w:tcPr>
          <w:p>
            <w:pPr>
              <w:spacing w:after="0"/>
              <w:rPr>
                <w:sz w:val="1"/>
                <w:szCs w:val="1"/>
                <w:color w:val="auto"/>
              </w:rPr>
            </w:pPr>
          </w:p>
        </w:tc>
      </w:tr>
      <w:tr>
        <w:trPr>
          <w:trHeight w:val="203"/>
        </w:trPr>
        <w:tc>
          <w:tcPr>
            <w:tcW w:w="3580" w:type="dxa"/>
            <w:vAlign w:val="bottom"/>
            <w:gridSpan w:val="4"/>
          </w:tcPr>
          <w:p>
            <w:pPr>
              <w:ind w:left="140"/>
              <w:spacing w:after="0"/>
              <w:rPr>
                <w:sz w:val="20"/>
                <w:szCs w:val="20"/>
                <w:color w:val="auto"/>
              </w:rPr>
            </w:pPr>
            <w:r>
              <w:rPr>
                <w:rFonts w:ascii="Arial" w:cs="Arial" w:eastAsia="Arial" w:hAnsi="Arial"/>
                <w:sz w:val="13"/>
                <w:szCs w:val="13"/>
                <w:color w:val="auto"/>
              </w:rPr>
              <w:t>Net realized losses on Fortitude Re funds withheld assets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(28)</w:t>
            </w:r>
          </w:p>
        </w:tc>
        <w:tc>
          <w:tcPr>
            <w:tcW w:w="0" w:type="dxa"/>
            <w:vAlign w:val="bottom"/>
          </w:tcPr>
          <w:p>
            <w:pPr>
              <w:spacing w:after="0"/>
              <w:rPr>
                <w:sz w:val="1"/>
                <w:szCs w:val="1"/>
                <w:color w:val="auto"/>
              </w:rPr>
            </w:pPr>
          </w:p>
        </w:tc>
      </w:tr>
      <w:tr>
        <w:trPr>
          <w:trHeight w:val="203"/>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Net realized gains (losses) on Fortitude Re funds withheld embedded derivative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85</w:t>
            </w:r>
          </w:p>
        </w:tc>
        <w:tc>
          <w:tcPr>
            <w:tcW w:w="0" w:type="dxa"/>
            <w:vAlign w:val="bottom"/>
          </w:tcPr>
          <w:p>
            <w:pPr>
              <w:spacing w:after="0"/>
              <w:rPr>
                <w:sz w:val="1"/>
                <w:szCs w:val="1"/>
                <w:color w:val="auto"/>
              </w:rPr>
            </w:pPr>
          </w:p>
        </w:tc>
      </w:tr>
      <w:tr>
        <w:trPr>
          <w:trHeight w:val="209"/>
        </w:trPr>
        <w:tc>
          <w:tcPr>
            <w:tcW w:w="2440" w:type="dxa"/>
            <w:vAlign w:val="bottom"/>
          </w:tcPr>
          <w:p>
            <w:pPr>
              <w:ind w:left="140"/>
              <w:spacing w:after="0"/>
              <w:rPr>
                <w:sz w:val="20"/>
                <w:szCs w:val="20"/>
                <w:color w:val="auto"/>
              </w:rPr>
            </w:pPr>
            <w:r>
              <w:rPr>
                <w:rFonts w:ascii="Arial" w:cs="Arial" w:eastAsia="Arial" w:hAnsi="Arial"/>
                <w:sz w:val="13"/>
                <w:szCs w:val="13"/>
                <w:color w:val="auto"/>
              </w:rPr>
              <w:t>Net realized losses</w:t>
            </w:r>
            <w:r>
              <w:rPr>
                <w:rFonts w:ascii="Arial" w:cs="Arial" w:eastAsia="Arial" w:hAnsi="Arial"/>
                <w:sz w:val="17"/>
                <w:szCs w:val="17"/>
                <w:color w:val="auto"/>
                <w:vertAlign w:val="superscript"/>
              </w:rPr>
              <w:t>(d)</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(170)</w:t>
            </w:r>
          </w:p>
        </w:tc>
        <w:tc>
          <w:tcPr>
            <w:tcW w:w="0" w:type="dxa"/>
            <w:vAlign w:val="bottom"/>
          </w:tcPr>
          <w:p>
            <w:pPr>
              <w:spacing w:after="0"/>
              <w:rPr>
                <w:sz w:val="1"/>
                <w:szCs w:val="1"/>
                <w:color w:val="auto"/>
              </w:rPr>
            </w:pPr>
          </w:p>
        </w:tc>
      </w:tr>
      <w:tr>
        <w:trPr>
          <w:trHeight w:val="196"/>
        </w:trPr>
        <w:tc>
          <w:tcPr>
            <w:tcW w:w="2720" w:type="dxa"/>
            <w:vAlign w:val="bottom"/>
            <w:gridSpan w:val="2"/>
          </w:tcPr>
          <w:p>
            <w:pPr>
              <w:ind w:left="140"/>
              <w:spacing w:after="0"/>
              <w:rPr>
                <w:sz w:val="20"/>
                <w:szCs w:val="20"/>
                <w:color w:val="auto"/>
              </w:rPr>
            </w:pPr>
            <w:r>
              <w:rPr>
                <w:rFonts w:ascii="Arial" w:cs="Arial" w:eastAsia="Arial" w:hAnsi="Arial"/>
                <w:sz w:val="13"/>
                <w:szCs w:val="13"/>
                <w:color w:val="auto"/>
              </w:rPr>
              <w:t>Net loss reserve discount benefit (charge)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(91)</w:t>
            </w:r>
          </w:p>
        </w:tc>
        <w:tc>
          <w:tcPr>
            <w:tcW w:w="0" w:type="dxa"/>
            <w:vAlign w:val="bottom"/>
          </w:tcPr>
          <w:p>
            <w:pPr>
              <w:spacing w:after="0"/>
              <w:rPr>
                <w:sz w:val="1"/>
                <w:szCs w:val="1"/>
                <w:color w:val="auto"/>
              </w:rPr>
            </w:pPr>
          </w:p>
        </w:tc>
      </w:tr>
      <w:tr>
        <w:trPr>
          <w:trHeight w:val="209"/>
        </w:trPr>
        <w:tc>
          <w:tcPr>
            <w:tcW w:w="2440" w:type="dxa"/>
            <w:vAlign w:val="bottom"/>
          </w:tcPr>
          <w:p>
            <w:pPr>
              <w:ind w:left="140"/>
              <w:spacing w:after="0"/>
              <w:rPr>
                <w:sz w:val="20"/>
                <w:szCs w:val="20"/>
                <w:color w:val="auto"/>
              </w:rPr>
            </w:pPr>
            <w:r>
              <w:rPr>
                <w:rFonts w:ascii="Arial" w:cs="Arial" w:eastAsia="Arial" w:hAnsi="Arial"/>
                <w:sz w:val="13"/>
                <w:szCs w:val="13"/>
                <w:color w:val="auto"/>
              </w:rPr>
              <w:t>Net results of businesses in run-off</w:t>
            </w:r>
            <w:r>
              <w:rPr>
                <w:rFonts w:ascii="Arial" w:cs="Arial" w:eastAsia="Arial" w:hAnsi="Arial"/>
                <w:sz w:val="17"/>
                <w:szCs w:val="17"/>
                <w:color w:val="auto"/>
                <w:vertAlign w:val="superscript"/>
              </w:rPr>
              <w:t>(f)</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10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(12)</w:t>
            </w:r>
          </w:p>
        </w:tc>
        <w:tc>
          <w:tcPr>
            <w:tcW w:w="0" w:type="dxa"/>
            <w:vAlign w:val="bottom"/>
          </w:tcPr>
          <w:p>
            <w:pPr>
              <w:spacing w:after="0"/>
              <w:rPr>
                <w:sz w:val="1"/>
                <w:szCs w:val="1"/>
                <w:color w:val="auto"/>
              </w:rPr>
            </w:pPr>
          </w:p>
        </w:tc>
      </w:tr>
      <w:tr>
        <w:trPr>
          <w:trHeight w:val="196"/>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Integration and transaction costs associated with acquiring or divesting businesses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(20)</w:t>
            </w:r>
          </w:p>
        </w:tc>
        <w:tc>
          <w:tcPr>
            <w:tcW w:w="0" w:type="dxa"/>
            <w:vAlign w:val="bottom"/>
          </w:tcPr>
          <w:p>
            <w:pPr>
              <w:spacing w:after="0"/>
              <w:rPr>
                <w:sz w:val="1"/>
                <w:szCs w:val="1"/>
                <w:color w:val="auto"/>
              </w:rPr>
            </w:pPr>
          </w:p>
        </w:tc>
      </w:tr>
      <w:tr>
        <w:trPr>
          <w:trHeight w:val="202"/>
        </w:trPr>
        <w:tc>
          <w:tcPr>
            <w:tcW w:w="2440" w:type="dxa"/>
            <w:vAlign w:val="bottom"/>
          </w:tcPr>
          <w:p>
            <w:pPr>
              <w:ind w:left="140"/>
              <w:spacing w:after="0"/>
              <w:rPr>
                <w:sz w:val="20"/>
                <w:szCs w:val="20"/>
                <w:color w:val="auto"/>
              </w:rPr>
            </w:pPr>
            <w:r>
              <w:rPr>
                <w:rFonts w:ascii="Arial" w:cs="Arial" w:eastAsia="Arial" w:hAnsi="Arial"/>
                <w:sz w:val="13"/>
                <w:szCs w:val="13"/>
                <w:color w:val="auto"/>
              </w:rPr>
              <w:t>Restructuring and other costs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352DE"/>
              </w:rPr>
              <w:t>(100)</w:t>
            </w:r>
          </w:p>
        </w:tc>
        <w:tc>
          <w:tcPr>
            <w:tcW w:w="0" w:type="dxa"/>
            <w:vAlign w:val="bottom"/>
          </w:tcPr>
          <w:p>
            <w:pPr>
              <w:spacing w:after="0"/>
              <w:rPr>
                <w:sz w:val="1"/>
                <w:szCs w:val="1"/>
                <w:color w:val="auto"/>
              </w:rPr>
            </w:pPr>
          </w:p>
        </w:tc>
      </w:tr>
      <w:tr>
        <w:trPr>
          <w:trHeight w:val="204"/>
        </w:trPr>
        <w:tc>
          <w:tcPr>
            <w:tcW w:w="4220" w:type="dxa"/>
            <w:vAlign w:val="bottom"/>
            <w:tcBorders>
              <w:bottom w:val="single" w:sz="8" w:color="1352DE"/>
            </w:tcBorders>
            <w:gridSpan w:val="5"/>
          </w:tcPr>
          <w:p>
            <w:pPr>
              <w:ind w:left="140"/>
              <w:spacing w:after="0"/>
              <w:rPr>
                <w:sz w:val="20"/>
                <w:szCs w:val="20"/>
                <w:color w:val="auto"/>
              </w:rPr>
            </w:pPr>
            <w:r>
              <w:rPr>
                <w:rFonts w:ascii="Arial" w:cs="Arial" w:eastAsia="Arial" w:hAnsi="Arial"/>
                <w:sz w:val="13"/>
                <w:szCs w:val="13"/>
                <w:color w:val="auto"/>
              </w:rPr>
              <w:t>Non-recurring costs related to regulatory or accounting changes</w:t>
            </w: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Total AIG Consolidated</w:t>
            </w:r>
          </w:p>
        </w:tc>
        <w:tc>
          <w:tcPr>
            <w:tcW w:w="2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b w:val="1"/>
                <w:bCs w:val="1"/>
                <w:color w:val="1352DE"/>
              </w:rPr>
              <w:t>1,100</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24771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hanging="734"/>
        <w:spacing w:after="0"/>
        <w:tabs>
          <w:tab w:leader="none" w:pos="760" w:val="left"/>
        </w:tabs>
        <w:numPr>
          <w:ilvl w:val="0"/>
          <w:numId w:val="10"/>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3.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234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1252DE"/>
        </w:rPr>
        <w:t>Three Months Ended September 30,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440" w:type="dxa"/>
            <w:vAlign w:val="bottom"/>
            <w:tcBorders>
              <w:top w:val="single" w:sz="8" w:color="1352DE"/>
            </w:tcBorders>
          </w:tcPr>
          <w:p>
            <w:pPr>
              <w:spacing w:after="0"/>
              <w:rPr>
                <w:sz w:val="11"/>
                <w:szCs w:val="11"/>
                <w:color w:val="auto"/>
              </w:rPr>
            </w:pPr>
          </w:p>
        </w:tc>
        <w:tc>
          <w:tcPr>
            <w:tcW w:w="280" w:type="dxa"/>
            <w:vAlign w:val="bottom"/>
            <w:tcBorders>
              <w:top w:val="single" w:sz="8" w:color="1352DE"/>
            </w:tcBorders>
          </w:tcPr>
          <w:p>
            <w:pPr>
              <w:spacing w:after="0"/>
              <w:rPr>
                <w:sz w:val="11"/>
                <w:szCs w:val="11"/>
                <w:color w:val="auto"/>
              </w:rPr>
            </w:pPr>
          </w:p>
        </w:tc>
        <w:tc>
          <w:tcPr>
            <w:tcW w:w="6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640" w:type="dxa"/>
            <w:vAlign w:val="bottom"/>
            <w:tcBorders>
              <w:top w:val="single" w:sz="8" w:color="1352DE"/>
            </w:tcBorders>
          </w:tcPr>
          <w:p>
            <w:pPr>
              <w:spacing w:after="0"/>
              <w:rPr>
                <w:sz w:val="11"/>
                <w:szCs w:val="11"/>
                <w:color w:val="auto"/>
              </w:rPr>
            </w:pPr>
          </w:p>
        </w:tc>
        <w:tc>
          <w:tcPr>
            <w:tcW w:w="160" w:type="dxa"/>
            <w:vAlign w:val="bottom"/>
            <w:tcBorders>
              <w:top w:val="single" w:sz="8" w:color="1352DE"/>
            </w:tcBorders>
          </w:tcPr>
          <w:p>
            <w:pPr>
              <w:spacing w:after="0"/>
              <w:rPr>
                <w:sz w:val="11"/>
                <w:szCs w:val="11"/>
                <w:color w:val="auto"/>
              </w:rPr>
            </w:pPr>
          </w:p>
        </w:tc>
        <w:tc>
          <w:tcPr>
            <w:tcW w:w="780" w:type="dxa"/>
            <w:vAlign w:val="bottom"/>
            <w:tcBorders>
              <w:top w:val="single" w:sz="8" w:color="1352DE"/>
            </w:tcBorders>
          </w:tcPr>
          <w:p>
            <w:pPr>
              <w:jc w:val="right"/>
              <w:spacing w:after="0" w:line="138" w:lineRule="exact"/>
              <w:rPr>
                <w:sz w:val="20"/>
                <w:szCs w:val="20"/>
                <w:color w:val="auto"/>
              </w:rPr>
            </w:pPr>
            <w:r>
              <w:rPr>
                <w:rFonts w:ascii="Arial" w:cs="Arial" w:eastAsia="Arial" w:hAnsi="Arial"/>
                <w:sz w:val="13"/>
                <w:szCs w:val="13"/>
                <w:color w:val="1252DE"/>
              </w:rPr>
              <w:t>Losses</w:t>
            </w:r>
          </w:p>
        </w:tc>
        <w:tc>
          <w:tcPr>
            <w:tcW w:w="160" w:type="dxa"/>
            <w:vAlign w:val="bottom"/>
            <w:tcBorders>
              <w:top w:val="single" w:sz="8" w:color="1352DE"/>
            </w:tcBorders>
          </w:tcPr>
          <w:p>
            <w:pPr>
              <w:spacing w:after="0"/>
              <w:rPr>
                <w:sz w:val="11"/>
                <w:szCs w:val="11"/>
                <w:color w:val="auto"/>
              </w:rPr>
            </w:pPr>
          </w:p>
        </w:tc>
        <w:tc>
          <w:tcPr>
            <w:tcW w:w="840" w:type="dxa"/>
            <w:vAlign w:val="bottom"/>
            <w:tcBorders>
              <w:top w:val="single" w:sz="8" w:color="1352DE"/>
            </w:tcBorders>
          </w:tcPr>
          <w:p>
            <w:pPr>
              <w:spacing w:after="0"/>
              <w:rPr>
                <w:sz w:val="11"/>
                <w:szCs w:val="11"/>
                <w:color w:val="auto"/>
              </w:rPr>
            </w:pPr>
          </w:p>
        </w:tc>
        <w:tc>
          <w:tcPr>
            <w:tcW w:w="140" w:type="dxa"/>
            <w:vAlign w:val="bottom"/>
            <w:tcBorders>
              <w:top w:val="single" w:sz="8" w:color="1352DE"/>
            </w:tcBorders>
          </w:tcPr>
          <w:p>
            <w:pPr>
              <w:spacing w:after="0"/>
              <w:rPr>
                <w:sz w:val="11"/>
                <w:szCs w:val="11"/>
                <w:color w:val="auto"/>
              </w:rPr>
            </w:pPr>
          </w:p>
        </w:tc>
        <w:tc>
          <w:tcPr>
            <w:tcW w:w="7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300" w:type="dxa"/>
            <w:vAlign w:val="bottom"/>
            <w:tcBorders>
              <w:top w:val="single" w:sz="8" w:color="1352DE"/>
            </w:tcBorders>
          </w:tcPr>
          <w:p>
            <w:pPr>
              <w:spacing w:after="0"/>
              <w:rPr>
                <w:sz w:val="11"/>
                <w:szCs w:val="11"/>
                <w:color w:val="auto"/>
              </w:rPr>
            </w:pPr>
          </w:p>
        </w:tc>
        <w:tc>
          <w:tcPr>
            <w:tcW w:w="5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84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76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300" w:type="dxa"/>
            <w:vAlign w:val="bottom"/>
            <w:tcBorders>
              <w:top w:val="single" w:sz="8" w:color="1352DE"/>
            </w:tcBorders>
          </w:tcPr>
          <w:p>
            <w:pPr>
              <w:spacing w:after="0"/>
              <w:rPr>
                <w:sz w:val="11"/>
                <w:szCs w:val="11"/>
                <w:color w:val="auto"/>
              </w:rPr>
            </w:pPr>
          </w:p>
        </w:tc>
        <w:tc>
          <w:tcPr>
            <w:tcW w:w="640" w:type="dxa"/>
            <w:vAlign w:val="bottom"/>
            <w:tcBorders>
              <w:top w:val="single" w:sz="8" w:color="1352DE"/>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and Loss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1252DE"/>
              </w:rPr>
              <w:t>Other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1252DE"/>
              </w:rPr>
              <w:t>General</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1252DE"/>
              </w:rPr>
              <w:t>Underwriting</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80" w:type="dxa"/>
            <w:vAlign w:val="bottom"/>
          </w:tcPr>
          <w:p>
            <w:pPr>
              <w:spacing w:after="0"/>
              <w:rPr>
                <w:sz w:val="11"/>
                <w:szCs w:val="11"/>
                <w:color w:val="auto"/>
              </w:rPr>
            </w:pPr>
          </w:p>
        </w:tc>
        <w:tc>
          <w:tcPr>
            <w:tcW w:w="960" w:type="dxa"/>
            <w:vAlign w:val="bottom"/>
            <w:gridSpan w:val="3"/>
            <w:vMerge w:val="restart"/>
          </w:tcPr>
          <w:p>
            <w:pPr>
              <w:jc w:val="right"/>
              <w:ind w:right="40"/>
              <w:spacing w:after="0"/>
              <w:rPr>
                <w:sz w:val="20"/>
                <w:szCs w:val="20"/>
                <w:color w:val="auto"/>
              </w:rPr>
            </w:pPr>
            <w:r>
              <w:rPr>
                <w:rFonts w:ascii="Arial" w:cs="Arial" w:eastAsia="Arial" w:hAnsi="Arial"/>
                <w:sz w:val="13"/>
                <w:szCs w:val="13"/>
                <w:color w:val="1252DE"/>
              </w:rPr>
              <w:t>Reconciliation</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Adjustment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1252DE"/>
              </w:rPr>
              <w:t>Amortization</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1252DE"/>
              </w:rPr>
              <w:t>Premiums</w:t>
            </w:r>
          </w:p>
        </w:tc>
        <w:tc>
          <w:tcPr>
            <w:tcW w:w="1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1252DE"/>
              </w:rPr>
              <w:t>Premiums</w:t>
            </w:r>
          </w:p>
        </w:tc>
        <w:tc>
          <w:tcPr>
            <w:tcW w:w="16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1252DE"/>
              </w:rPr>
              <w:t>Expenses</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1252DE"/>
              </w:rPr>
              <w:t>Acquisition</w:t>
            </w:r>
          </w:p>
        </w:tc>
        <w:tc>
          <w:tcPr>
            <w:tcW w:w="180" w:type="dxa"/>
            <w:vAlign w:val="bottom"/>
          </w:tcPr>
          <w:p>
            <w:pPr>
              <w:spacing w:after="0"/>
              <w:rPr>
                <w:sz w:val="11"/>
                <w:szCs w:val="11"/>
                <w:color w:val="auto"/>
              </w:rPr>
            </w:pPr>
          </w:p>
        </w:tc>
        <w:tc>
          <w:tcPr>
            <w:tcW w:w="880" w:type="dxa"/>
            <w:vAlign w:val="bottom"/>
            <w:gridSpan w:val="2"/>
          </w:tcPr>
          <w:p>
            <w:pPr>
              <w:jc w:val="right"/>
              <w:spacing w:after="0" w:line="134" w:lineRule="exact"/>
              <w:rPr>
                <w:sz w:val="20"/>
                <w:szCs w:val="20"/>
                <w:color w:val="auto"/>
              </w:rPr>
            </w:pPr>
            <w:r>
              <w:rPr>
                <w:rFonts w:ascii="Arial" w:cs="Arial" w:eastAsia="Arial" w:hAnsi="Arial"/>
                <w:sz w:val="13"/>
                <w:szCs w:val="13"/>
                <w:color w:val="1252DE"/>
              </w:rPr>
              <w:t>Operating</w:t>
            </w:r>
          </w:p>
        </w:tc>
        <w:tc>
          <w:tcPr>
            <w:tcW w:w="18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1252DE"/>
              </w:rPr>
              <w:t>Income</w:t>
            </w:r>
          </w:p>
        </w:tc>
        <w:tc>
          <w:tcPr>
            <w:tcW w:w="18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color w:val="1252DE"/>
              </w:rPr>
              <w:t>Investment</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1252DE"/>
              </w:rPr>
              <w:t>to Pre-tax</w:t>
            </w: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Arial" w:cs="Arial" w:eastAsia="Arial" w:hAnsi="Arial"/>
                <w:sz w:val="13"/>
                <w:szCs w:val="13"/>
                <w:i w:val="1"/>
                <w:iCs w:val="1"/>
                <w:color w:val="1252DE"/>
              </w:rPr>
              <w:t>(in millions)</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1252DE"/>
              </w:rPr>
              <w:t>Written</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1252DE"/>
              </w:rPr>
              <w:t>Earned</w:t>
            </w: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3"/>
                <w:szCs w:val="13"/>
                <w:color w:val="1252DE"/>
              </w:rPr>
              <w:t>Incurred</w:t>
            </w:r>
            <w:r>
              <w:rPr>
                <w:rFonts w:ascii="Arial" w:cs="Arial" w:eastAsia="Arial" w:hAnsi="Arial"/>
                <w:sz w:val="17"/>
                <w:szCs w:val="17"/>
                <w:color w:val="1252DE"/>
                <w:vertAlign w:val="superscript"/>
              </w:rPr>
              <w:t>(a)</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3"/>
                <w:szCs w:val="13"/>
                <w:color w:val="1252DE"/>
              </w:rPr>
              <w:t>of DAC</w:t>
            </w:r>
            <w:r>
              <w:rPr>
                <w:rFonts w:ascii="Arial" w:cs="Arial" w:eastAsia="Arial" w:hAnsi="Arial"/>
                <w:sz w:val="17"/>
                <w:szCs w:val="17"/>
                <w:color w:val="1252DE"/>
                <w:vertAlign w:val="superscript"/>
              </w:rPr>
              <w:t>(a)</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3"/>
                <w:szCs w:val="13"/>
                <w:color w:val="1252DE"/>
              </w:rPr>
              <w:t>Expenses</w:t>
            </w:r>
            <w:r>
              <w:rPr>
                <w:rFonts w:ascii="Arial" w:cs="Arial" w:eastAsia="Arial" w:hAnsi="Arial"/>
                <w:sz w:val="17"/>
                <w:szCs w:val="17"/>
                <w:color w:val="1252DE"/>
                <w:vertAlign w:val="superscript"/>
              </w:rPr>
              <w:t>(a)</w:t>
            </w:r>
          </w:p>
        </w:tc>
        <w:tc>
          <w:tcPr>
            <w:tcW w:w="18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3"/>
                <w:szCs w:val="13"/>
                <w:color w:val="1252DE"/>
              </w:rPr>
              <w:t>Expenses</w:t>
            </w:r>
            <w:r>
              <w:rPr>
                <w:rFonts w:ascii="Arial" w:cs="Arial" w:eastAsia="Arial" w:hAnsi="Arial"/>
                <w:sz w:val="17"/>
                <w:szCs w:val="17"/>
                <w:color w:val="1252DE"/>
                <w:vertAlign w:val="superscript"/>
              </w:rPr>
              <w:t>(a)(b)</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252DE"/>
              </w:rPr>
              <w:t>(Loss)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1252DE"/>
              </w:rPr>
              <w:t>Income</w:t>
            </w:r>
          </w:p>
        </w:tc>
        <w:tc>
          <w:tcPr>
            <w:tcW w:w="180" w:type="dxa"/>
            <w:vAlign w:val="bottom"/>
          </w:tcPr>
          <w:p>
            <w:pPr>
              <w:spacing w:after="0"/>
              <w:rPr>
                <w:sz w:val="16"/>
                <w:szCs w:val="16"/>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1252DE"/>
              </w:rPr>
              <w:t>Income (Loss)</w:t>
            </w:r>
          </w:p>
        </w:tc>
        <w:tc>
          <w:tcPr>
            <w:tcW w:w="0" w:type="dxa"/>
            <w:vAlign w:val="bottom"/>
          </w:tcPr>
          <w:p>
            <w:pPr>
              <w:spacing w:after="0"/>
              <w:rPr>
                <w:sz w:val="1"/>
                <w:szCs w:val="1"/>
                <w:color w:val="auto"/>
              </w:rPr>
            </w:pPr>
          </w:p>
        </w:tc>
      </w:tr>
      <w:tr>
        <w:trPr>
          <w:trHeight w:val="188"/>
        </w:trPr>
        <w:tc>
          <w:tcPr>
            <w:tcW w:w="2440" w:type="dxa"/>
            <w:vAlign w:val="bottom"/>
            <w:tcBorders>
              <w:top w:val="single" w:sz="8" w:color="1352DE"/>
            </w:tcBorders>
          </w:tcPr>
          <w:p>
            <w:pPr>
              <w:ind w:left="20"/>
              <w:spacing w:after="0"/>
              <w:rPr>
                <w:sz w:val="20"/>
                <w:szCs w:val="20"/>
                <w:color w:val="auto"/>
              </w:rPr>
            </w:pPr>
            <w:r>
              <w:rPr>
                <w:rFonts w:ascii="Arial" w:cs="Arial" w:eastAsia="Arial" w:hAnsi="Arial"/>
                <w:sz w:val="13"/>
                <w:szCs w:val="13"/>
                <w:color w:val="auto"/>
              </w:rPr>
              <w:t>North America Commercial</w:t>
            </w:r>
          </w:p>
        </w:tc>
        <w:tc>
          <w:tcPr>
            <w:tcW w:w="28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1352DE"/>
            </w:tcBorders>
          </w:tcPr>
          <w:p>
            <w:pPr>
              <w:jc w:val="right"/>
              <w:ind w:right="10"/>
              <w:spacing w:after="0"/>
              <w:rPr>
                <w:sz w:val="20"/>
                <w:szCs w:val="20"/>
                <w:color w:val="auto"/>
              </w:rPr>
            </w:pPr>
            <w:r>
              <w:rPr>
                <w:rFonts w:ascii="Arial" w:cs="Arial" w:eastAsia="Arial" w:hAnsi="Arial"/>
                <w:sz w:val="14"/>
                <w:szCs w:val="14"/>
                <w:color w:val="auto"/>
              </w:rPr>
              <w:t>2,435</w:t>
            </w:r>
          </w:p>
        </w:tc>
        <w:tc>
          <w:tcPr>
            <w:tcW w:w="180" w:type="dxa"/>
            <w:vAlign w:val="bottom"/>
            <w:tcBorders>
              <w:top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auto"/>
              </w:rPr>
              <w:t>2,198</w:t>
            </w:r>
          </w:p>
        </w:tc>
        <w:tc>
          <w:tcPr>
            <w:tcW w:w="160" w:type="dxa"/>
            <w:vAlign w:val="bottom"/>
            <w:tcBorders>
              <w:top w:val="single" w:sz="8" w:color="1352DE"/>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1352DE"/>
            </w:tcBorders>
          </w:tcPr>
          <w:p>
            <w:pPr>
              <w:jc w:val="right"/>
              <w:ind w:right="11"/>
              <w:spacing w:after="0"/>
              <w:rPr>
                <w:sz w:val="20"/>
                <w:szCs w:val="20"/>
                <w:color w:val="auto"/>
              </w:rPr>
            </w:pPr>
            <w:r>
              <w:rPr>
                <w:rFonts w:ascii="Arial" w:cs="Arial" w:eastAsia="Arial" w:hAnsi="Arial"/>
                <w:sz w:val="14"/>
                <w:szCs w:val="14"/>
                <w:color w:val="auto"/>
              </w:rPr>
              <w:t>1,303</w:t>
            </w:r>
          </w:p>
        </w:tc>
        <w:tc>
          <w:tcPr>
            <w:tcW w:w="160" w:type="dxa"/>
            <w:vAlign w:val="bottom"/>
            <w:tcBorders>
              <w:top w:val="single" w:sz="8" w:color="1352DE"/>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1352DE"/>
            </w:tcBorders>
          </w:tcPr>
          <w:p>
            <w:pPr>
              <w:jc w:val="right"/>
              <w:ind w:right="10"/>
              <w:spacing w:after="0"/>
              <w:rPr>
                <w:sz w:val="20"/>
                <w:szCs w:val="20"/>
                <w:color w:val="auto"/>
              </w:rPr>
            </w:pPr>
            <w:r>
              <w:rPr>
                <w:rFonts w:ascii="Arial" w:cs="Arial" w:eastAsia="Arial" w:hAnsi="Arial"/>
                <w:sz w:val="14"/>
                <w:szCs w:val="14"/>
                <w:color w:val="auto"/>
              </w:rPr>
              <w:t>221</w:t>
            </w:r>
          </w:p>
        </w:tc>
        <w:tc>
          <w:tcPr>
            <w:tcW w:w="14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auto"/>
              </w:rPr>
              <w:t>44</w:t>
            </w:r>
          </w:p>
        </w:tc>
        <w:tc>
          <w:tcPr>
            <w:tcW w:w="180" w:type="dxa"/>
            <w:vAlign w:val="bottom"/>
            <w:tcBorders>
              <w:top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1352DE"/>
            </w:tcBorders>
            <w:gridSpan w:val="2"/>
          </w:tcPr>
          <w:p>
            <w:pPr>
              <w:jc w:val="right"/>
              <w:spacing w:after="0"/>
              <w:rPr>
                <w:sz w:val="20"/>
                <w:szCs w:val="20"/>
                <w:color w:val="auto"/>
              </w:rPr>
            </w:pPr>
            <w:r>
              <w:rPr>
                <w:rFonts w:ascii="Arial" w:cs="Arial" w:eastAsia="Arial" w:hAnsi="Arial"/>
                <w:sz w:val="14"/>
                <w:szCs w:val="14"/>
                <w:color w:val="auto"/>
              </w:rPr>
              <w:t>246</w:t>
            </w:r>
          </w:p>
        </w:tc>
        <w:tc>
          <w:tcPr>
            <w:tcW w:w="180" w:type="dxa"/>
            <w:vAlign w:val="bottom"/>
            <w:tcBorders>
              <w:top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auto"/>
              </w:rPr>
              <w:t>384</w:t>
            </w:r>
          </w:p>
        </w:tc>
        <w:tc>
          <w:tcPr>
            <w:tcW w:w="180" w:type="dxa"/>
            <w:vAlign w:val="bottom"/>
            <w:tcBorders>
              <w:top w:val="single" w:sz="8" w:color="1352DE"/>
            </w:tcBorders>
          </w:tcPr>
          <w:p>
            <w:pPr>
              <w:spacing w:after="0"/>
              <w:rPr>
                <w:sz w:val="16"/>
                <w:szCs w:val="16"/>
                <w:color w:val="auto"/>
              </w:rPr>
            </w:pPr>
          </w:p>
        </w:tc>
        <w:tc>
          <w:tcPr>
            <w:tcW w:w="760" w:type="dxa"/>
            <w:vAlign w:val="bottom"/>
            <w:tcBorders>
              <w:top w:val="single" w:sz="8" w:color="1352DE"/>
            </w:tcBorders>
          </w:tcPr>
          <w:p>
            <w:pPr>
              <w:spacing w:after="0"/>
              <w:rPr>
                <w:sz w:val="16"/>
                <w:szCs w:val="16"/>
                <w:color w:val="auto"/>
              </w:rPr>
            </w:pPr>
          </w:p>
        </w:tc>
        <w:tc>
          <w:tcPr>
            <w:tcW w:w="180" w:type="dxa"/>
            <w:vAlign w:val="bottom"/>
            <w:tcBorders>
              <w:top w:val="single" w:sz="8" w:color="1352DE"/>
            </w:tcBorders>
          </w:tcPr>
          <w:p>
            <w:pPr>
              <w:spacing w:after="0"/>
              <w:rPr>
                <w:sz w:val="16"/>
                <w:szCs w:val="16"/>
                <w:color w:val="auto"/>
              </w:rPr>
            </w:pPr>
          </w:p>
        </w:tc>
        <w:tc>
          <w:tcPr>
            <w:tcW w:w="300" w:type="dxa"/>
            <w:vAlign w:val="bottom"/>
            <w:tcBorders>
              <w:top w:val="single" w:sz="8" w:color="1352DE"/>
            </w:tcBorders>
          </w:tcPr>
          <w:p>
            <w:pPr>
              <w:spacing w:after="0"/>
              <w:rPr>
                <w:sz w:val="16"/>
                <w:szCs w:val="16"/>
                <w:color w:val="auto"/>
              </w:rPr>
            </w:pPr>
          </w:p>
        </w:tc>
        <w:tc>
          <w:tcPr>
            <w:tcW w:w="640" w:type="dxa"/>
            <w:vAlign w:val="bottom"/>
            <w:tcBorders>
              <w:top w:val="single" w:sz="8" w:color="1352D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3"/>
                <w:szCs w:val="13"/>
                <w:color w:val="auto"/>
              </w:rPr>
              <w:t>International Commercial</w:t>
            </w:r>
          </w:p>
        </w:tc>
        <w:tc>
          <w:tcPr>
            <w:tcW w:w="280" w:type="dxa"/>
            <w:vAlign w:val="bottom"/>
          </w:tcPr>
          <w:p>
            <w:pPr>
              <w:spacing w:after="0"/>
              <w:rPr>
                <w:sz w:val="17"/>
                <w:szCs w:val="17"/>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2,115</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2,188</w:t>
            </w:r>
          </w:p>
        </w:tc>
        <w:tc>
          <w:tcPr>
            <w:tcW w:w="16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1,167</w:t>
            </w:r>
          </w:p>
        </w:tc>
        <w:tc>
          <w:tcPr>
            <w:tcW w:w="16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285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310</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Global Personal</w:t>
            </w:r>
          </w:p>
        </w:tc>
        <w:tc>
          <w:tcPr>
            <w:tcW w:w="2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color w:val="auto"/>
              </w:rPr>
              <w:t>1,680</w:t>
            </w: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1,654</w:t>
            </w: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11"/>
              <w:spacing w:after="0"/>
              <w:rPr>
                <w:sz w:val="20"/>
                <w:szCs w:val="20"/>
                <w:color w:val="auto"/>
              </w:rPr>
            </w:pPr>
            <w:r>
              <w:rPr>
                <w:rFonts w:ascii="Arial" w:cs="Arial" w:eastAsia="Arial" w:hAnsi="Arial"/>
                <w:sz w:val="14"/>
                <w:szCs w:val="14"/>
                <w:color w:val="auto"/>
              </w:rPr>
              <w:t>909</w:t>
            </w: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color w:val="auto"/>
              </w:rPr>
              <w:t>345</w:t>
            </w: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97</w:t>
            </w: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auto"/>
              </w:rPr>
              <w:t>224</w:t>
            </w: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79</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Borders>
              <w:bottom w:val="single" w:sz="8" w:color="1352DE"/>
            </w:tcBorders>
          </w:tcPr>
          <w:p>
            <w:pPr>
              <w:ind w:left="160"/>
              <w:spacing w:after="0"/>
              <w:rPr>
                <w:sz w:val="20"/>
                <w:szCs w:val="20"/>
                <w:color w:val="auto"/>
              </w:rPr>
            </w:pPr>
            <w:r>
              <w:rPr>
                <w:rFonts w:ascii="Arial" w:cs="Arial" w:eastAsia="Arial" w:hAnsi="Arial"/>
                <w:sz w:val="13"/>
                <w:szCs w:val="13"/>
                <w:b w:val="1"/>
                <w:bCs w:val="1"/>
                <w:color w:val="1252DE"/>
              </w:rPr>
              <w:t>Total General Insurance</w:t>
            </w:r>
            <w:r>
              <w:rPr>
                <w:rFonts w:ascii="Arial" w:cs="Arial" w:eastAsia="Arial" w:hAnsi="Arial"/>
                <w:sz w:val="17"/>
                <w:szCs w:val="17"/>
                <w:b w:val="1"/>
                <w:bCs w:val="1"/>
                <w:color w:val="1252DE"/>
                <w:vertAlign w:val="superscript"/>
              </w:rPr>
              <w:t>(c)</w:t>
            </w:r>
          </w:p>
        </w:tc>
        <w:tc>
          <w:tcPr>
            <w:tcW w:w="2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color w:val="auto"/>
              </w:rPr>
              <w:t>6,230</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6,040</w:t>
            </w:r>
          </w:p>
        </w:tc>
        <w:tc>
          <w:tcPr>
            <w:tcW w:w="16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1352DE"/>
            </w:tcBorders>
          </w:tcPr>
          <w:p>
            <w:pPr>
              <w:jc w:val="right"/>
              <w:ind w:right="11"/>
              <w:spacing w:after="0"/>
              <w:rPr>
                <w:sz w:val="20"/>
                <w:szCs w:val="20"/>
                <w:color w:val="auto"/>
              </w:rPr>
            </w:pPr>
            <w:r>
              <w:rPr>
                <w:rFonts w:ascii="Arial" w:cs="Arial" w:eastAsia="Arial" w:hAnsi="Arial"/>
                <w:sz w:val="14"/>
                <w:szCs w:val="14"/>
                <w:color w:val="auto"/>
              </w:rPr>
              <w:t>3,379</w:t>
            </w:r>
          </w:p>
        </w:tc>
        <w:tc>
          <w:tcPr>
            <w:tcW w:w="1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color w:val="auto"/>
              </w:rPr>
              <w:t>851</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237</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auto"/>
              </w:rPr>
              <w:t>780</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793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945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4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3"/>
                <w:szCs w:val="13"/>
                <w:color w:val="auto"/>
              </w:rPr>
              <w:t>Other Operations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Elimination and consolidations</w:t>
            </w:r>
          </w:p>
        </w:tc>
        <w:tc>
          <w:tcPr>
            <w:tcW w:w="2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rPr>
                <w:sz w:val="20"/>
                <w:szCs w:val="20"/>
                <w:color w:val="auto"/>
              </w:rPr>
            </w:pPr>
            <w:r>
              <w:rPr>
                <w:rFonts w:ascii="Arial" w:cs="Arial" w:eastAsia="Arial" w:hAnsi="Arial"/>
                <w:sz w:val="13"/>
                <w:szCs w:val="13"/>
                <w:b w:val="1"/>
                <w:bCs w:val="1"/>
                <w:color w:val="1252DE"/>
              </w:rPr>
              <w:t>Total</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1,024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40"/>
              <w:spacing w:after="0"/>
              <w:rPr>
                <w:sz w:val="20"/>
                <w:szCs w:val="20"/>
                <w:color w:val="auto"/>
              </w:rPr>
            </w:pPr>
            <w:r>
              <w:rPr>
                <w:rFonts w:ascii="Arial" w:cs="Arial" w:eastAsia="Arial" w:hAnsi="Arial"/>
                <w:sz w:val="13"/>
                <w:szCs w:val="13"/>
                <w:b w:val="1"/>
                <w:bCs w:val="1"/>
                <w:color w:val="1252DE"/>
              </w:rPr>
              <w:t>Reconciling items: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Changes in the fair values of equity securities and AIG's investment in Corebridge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5"/>
          </w:tcPr>
          <w:p>
            <w:pPr>
              <w:ind w:left="140"/>
              <w:spacing w:after="0"/>
              <w:rPr>
                <w:sz w:val="20"/>
                <w:szCs w:val="20"/>
                <w:color w:val="auto"/>
              </w:rPr>
            </w:pPr>
            <w:r>
              <w:rPr>
                <w:rFonts w:ascii="Arial" w:cs="Arial" w:eastAsia="Arial" w:hAnsi="Arial"/>
                <w:sz w:val="13"/>
                <w:szCs w:val="13"/>
                <w:color w:val="auto"/>
              </w:rPr>
              <w:t>Net investment income on Fortitude Re funds withheld assets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4"/>
          </w:tcPr>
          <w:p>
            <w:pPr>
              <w:ind w:left="140"/>
              <w:spacing w:after="0"/>
              <w:rPr>
                <w:sz w:val="20"/>
                <w:szCs w:val="20"/>
                <w:color w:val="auto"/>
              </w:rPr>
            </w:pPr>
            <w:r>
              <w:rPr>
                <w:rFonts w:ascii="Arial" w:cs="Arial" w:eastAsia="Arial" w:hAnsi="Arial"/>
                <w:sz w:val="13"/>
                <w:szCs w:val="13"/>
                <w:color w:val="auto"/>
              </w:rPr>
              <w:t>Net realized losses on Fortitude Re funds withheld assets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Net realized gains (losses) on Fortitude Re funds withheld embedded derivative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140"/>
              <w:spacing w:after="0"/>
              <w:rPr>
                <w:sz w:val="20"/>
                <w:szCs w:val="20"/>
                <w:color w:val="auto"/>
              </w:rPr>
            </w:pPr>
            <w:r>
              <w:rPr>
                <w:rFonts w:ascii="Arial" w:cs="Arial" w:eastAsia="Arial" w:hAnsi="Arial"/>
                <w:sz w:val="13"/>
                <w:szCs w:val="13"/>
                <w:color w:val="auto"/>
              </w:rPr>
              <w:t>Net realized losses</w:t>
            </w:r>
            <w:r>
              <w:rPr>
                <w:rFonts w:ascii="Arial" w:cs="Arial" w:eastAsia="Arial" w:hAnsi="Arial"/>
                <w:sz w:val="17"/>
                <w:szCs w:val="17"/>
                <w:color w:val="auto"/>
                <w:vertAlign w:val="superscript"/>
              </w:rPr>
              <w:t>(d)</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260" w:type="dxa"/>
            <w:vAlign w:val="bottom"/>
            <w:gridSpan w:val="12"/>
          </w:tcPr>
          <w:p>
            <w:pPr>
              <w:ind w:left="140"/>
              <w:spacing w:after="0"/>
              <w:rPr>
                <w:sz w:val="20"/>
                <w:szCs w:val="20"/>
                <w:color w:val="auto"/>
              </w:rPr>
            </w:pPr>
            <w:r>
              <w:rPr>
                <w:rFonts w:ascii="Arial" w:cs="Arial" w:eastAsia="Arial" w:hAnsi="Arial"/>
                <w:sz w:val="13"/>
                <w:szCs w:val="13"/>
                <w:color w:val="auto"/>
              </w:rPr>
              <w:t>Favorable prior year development and related amortization changes ceded under retroactive reinsurance agreements</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gridSpan w:val="2"/>
          </w:tcPr>
          <w:p>
            <w:pPr>
              <w:ind w:left="140"/>
              <w:spacing w:after="0"/>
              <w:rPr>
                <w:sz w:val="20"/>
                <w:szCs w:val="20"/>
                <w:color w:val="auto"/>
              </w:rPr>
            </w:pPr>
            <w:r>
              <w:rPr>
                <w:rFonts w:ascii="Arial" w:cs="Arial" w:eastAsia="Arial" w:hAnsi="Arial"/>
                <w:sz w:val="13"/>
                <w:szCs w:val="13"/>
                <w:color w:val="auto"/>
              </w:rPr>
              <w:t>Net loss reserve discount benefit (charge)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140"/>
              <w:spacing w:after="0"/>
              <w:rPr>
                <w:sz w:val="20"/>
                <w:szCs w:val="20"/>
                <w:color w:val="auto"/>
              </w:rPr>
            </w:pPr>
            <w:r>
              <w:rPr>
                <w:rFonts w:ascii="Arial" w:cs="Arial" w:eastAsia="Arial" w:hAnsi="Arial"/>
                <w:sz w:val="13"/>
                <w:szCs w:val="13"/>
                <w:color w:val="auto"/>
              </w:rPr>
              <w:t>Net results of businesses in run-off</w:t>
            </w:r>
            <w:r>
              <w:rPr>
                <w:rFonts w:ascii="Arial" w:cs="Arial" w:eastAsia="Arial" w:hAnsi="Arial"/>
                <w:sz w:val="17"/>
                <w:szCs w:val="17"/>
                <w:color w:val="auto"/>
                <w:vertAlign w:val="superscript"/>
              </w:rPr>
              <w:t>(f)</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40" w:type="dxa"/>
            <w:vAlign w:val="bottom"/>
          </w:tcPr>
          <w:p>
            <w:pPr>
              <w:ind w:left="140"/>
              <w:spacing w:after="0"/>
              <w:rPr>
                <w:sz w:val="20"/>
                <w:szCs w:val="20"/>
                <w:color w:val="auto"/>
              </w:rPr>
            </w:pPr>
            <w:r>
              <w:rPr>
                <w:rFonts w:ascii="Arial" w:cs="Arial" w:eastAsia="Arial" w:hAnsi="Arial"/>
                <w:sz w:val="13"/>
                <w:szCs w:val="13"/>
                <w:color w:val="auto"/>
              </w:rPr>
              <w:t>Non-operating pension expenses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Integration and transaction costs associated with acquiring or divesting businesses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40"/>
              <w:spacing w:after="0"/>
              <w:rPr>
                <w:sz w:val="20"/>
                <w:szCs w:val="20"/>
                <w:color w:val="auto"/>
              </w:rPr>
            </w:pPr>
            <w:r>
              <w:rPr>
                <w:rFonts w:ascii="Arial" w:cs="Arial" w:eastAsia="Arial" w:hAnsi="Arial"/>
                <w:sz w:val="13"/>
                <w:szCs w:val="13"/>
                <w:color w:val="auto"/>
              </w:rPr>
              <w:t>Restructuring and other costs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20" w:type="dxa"/>
            <w:vAlign w:val="bottom"/>
            <w:tcBorders>
              <w:bottom w:val="single" w:sz="8" w:color="1352DE"/>
            </w:tcBorders>
            <w:gridSpan w:val="5"/>
          </w:tcPr>
          <w:p>
            <w:pPr>
              <w:ind w:left="140"/>
              <w:spacing w:after="0"/>
              <w:rPr>
                <w:sz w:val="20"/>
                <w:szCs w:val="20"/>
                <w:color w:val="auto"/>
              </w:rPr>
            </w:pPr>
            <w:r>
              <w:rPr>
                <w:rFonts w:ascii="Arial" w:cs="Arial" w:eastAsia="Arial" w:hAnsi="Arial"/>
                <w:sz w:val="13"/>
                <w:szCs w:val="13"/>
                <w:color w:val="auto"/>
              </w:rPr>
              <w:t>Non-recurring costs related to regulatory or accounting changes</w:t>
            </w: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Total AIG Consolidated</w:t>
            </w:r>
          </w:p>
        </w:tc>
        <w:tc>
          <w:tcPr>
            <w:tcW w:w="2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color w:val="auto"/>
              </w:rPr>
              <w:t>772</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40" w:type="dxa"/>
            <w:vAlign w:val="bottom"/>
            <w:tcBorders>
              <w:bottom w:val="single" w:sz="8" w:color="1352DE"/>
            </w:tcBorders>
          </w:tcPr>
          <w:p>
            <w:pPr>
              <w:spacing w:after="0"/>
              <w:rPr>
                <w:sz w:val="9"/>
                <w:szCs w:val="9"/>
                <w:color w:val="auto"/>
              </w:rPr>
            </w:pPr>
          </w:p>
        </w:tc>
        <w:tc>
          <w:tcPr>
            <w:tcW w:w="280" w:type="dxa"/>
            <w:vAlign w:val="bottom"/>
            <w:tcBorders>
              <w:bottom w:val="single" w:sz="8" w:color="1352DE"/>
            </w:tcBorders>
          </w:tcPr>
          <w:p>
            <w:pPr>
              <w:spacing w:after="0"/>
              <w:rPr>
                <w:sz w:val="9"/>
                <w:szCs w:val="9"/>
                <w:color w:val="auto"/>
              </w:rPr>
            </w:pPr>
          </w:p>
        </w:tc>
        <w:tc>
          <w:tcPr>
            <w:tcW w:w="680" w:type="dxa"/>
            <w:vAlign w:val="bottom"/>
            <w:tcBorders>
              <w:bottom w:val="single" w:sz="8" w:color="1352DE"/>
            </w:tcBorders>
          </w:tcPr>
          <w:p>
            <w:pPr>
              <w:spacing w:after="0"/>
              <w:rPr>
                <w:sz w:val="9"/>
                <w:szCs w:val="9"/>
                <w:color w:val="auto"/>
              </w:rPr>
            </w:pPr>
          </w:p>
        </w:tc>
        <w:tc>
          <w:tcPr>
            <w:tcW w:w="180" w:type="dxa"/>
            <w:vAlign w:val="bottom"/>
            <w:tcBorders>
              <w:bottom w:val="single" w:sz="8" w:color="1352DE"/>
            </w:tcBorders>
          </w:tcPr>
          <w:p>
            <w:pPr>
              <w:spacing w:after="0"/>
              <w:rPr>
                <w:sz w:val="9"/>
                <w:szCs w:val="9"/>
                <w:color w:val="auto"/>
              </w:rPr>
            </w:pPr>
          </w:p>
        </w:tc>
        <w:tc>
          <w:tcPr>
            <w:tcW w:w="640" w:type="dxa"/>
            <w:vAlign w:val="bottom"/>
            <w:tcBorders>
              <w:bottom w:val="single" w:sz="8" w:color="1352DE"/>
            </w:tcBorders>
          </w:tcPr>
          <w:p>
            <w:pPr>
              <w:spacing w:after="0"/>
              <w:rPr>
                <w:sz w:val="9"/>
                <w:szCs w:val="9"/>
                <w:color w:val="auto"/>
              </w:rPr>
            </w:pPr>
          </w:p>
        </w:tc>
        <w:tc>
          <w:tcPr>
            <w:tcW w:w="2860" w:type="dxa"/>
            <w:vAlign w:val="bottom"/>
            <w:tcBorders>
              <w:bottom w:val="single" w:sz="8" w:color="1352DE"/>
            </w:tcBorders>
            <w:gridSpan w:val="6"/>
          </w:tcPr>
          <w:p>
            <w:pPr>
              <w:spacing w:after="0"/>
              <w:rPr>
                <w:sz w:val="9"/>
                <w:szCs w:val="9"/>
                <w:color w:val="auto"/>
              </w:rPr>
            </w:pPr>
          </w:p>
        </w:tc>
        <w:tc>
          <w:tcPr>
            <w:tcW w:w="180" w:type="dxa"/>
            <w:vAlign w:val="bottom"/>
            <w:tcBorders>
              <w:bottom w:val="single" w:sz="8" w:color="1352DE"/>
            </w:tcBorders>
          </w:tcPr>
          <w:p>
            <w:pPr>
              <w:spacing w:after="0"/>
              <w:rPr>
                <w:sz w:val="9"/>
                <w:szCs w:val="9"/>
                <w:color w:val="auto"/>
              </w:rPr>
            </w:pPr>
          </w:p>
        </w:tc>
        <w:tc>
          <w:tcPr>
            <w:tcW w:w="300" w:type="dxa"/>
            <w:vAlign w:val="bottom"/>
            <w:tcBorders>
              <w:bottom w:val="single" w:sz="8" w:color="1352DE"/>
            </w:tcBorders>
          </w:tcPr>
          <w:p>
            <w:pPr>
              <w:spacing w:after="0"/>
              <w:rPr>
                <w:sz w:val="9"/>
                <w:szCs w:val="9"/>
                <w:color w:val="auto"/>
              </w:rPr>
            </w:pPr>
          </w:p>
        </w:tc>
        <w:tc>
          <w:tcPr>
            <w:tcW w:w="580" w:type="dxa"/>
            <w:vAlign w:val="bottom"/>
            <w:tcBorders>
              <w:bottom w:val="single" w:sz="8" w:color="1352DE"/>
            </w:tcBorders>
          </w:tcPr>
          <w:p>
            <w:pPr>
              <w:spacing w:after="0"/>
              <w:rPr>
                <w:sz w:val="9"/>
                <w:szCs w:val="9"/>
                <w:color w:val="auto"/>
              </w:rPr>
            </w:pPr>
          </w:p>
        </w:tc>
        <w:tc>
          <w:tcPr>
            <w:tcW w:w="180" w:type="dxa"/>
            <w:vAlign w:val="bottom"/>
            <w:tcBorders>
              <w:bottom w:val="single" w:sz="8" w:color="1352DE"/>
            </w:tcBorders>
          </w:tcPr>
          <w:p>
            <w:pPr>
              <w:spacing w:after="0"/>
              <w:rPr>
                <w:sz w:val="9"/>
                <w:szCs w:val="9"/>
                <w:color w:val="auto"/>
              </w:rPr>
            </w:pPr>
          </w:p>
        </w:tc>
        <w:tc>
          <w:tcPr>
            <w:tcW w:w="840" w:type="dxa"/>
            <w:vAlign w:val="bottom"/>
            <w:tcBorders>
              <w:bottom w:val="single" w:sz="8" w:color="1352DE"/>
            </w:tcBorders>
          </w:tcPr>
          <w:p>
            <w:pPr>
              <w:spacing w:after="0"/>
              <w:rPr>
                <w:sz w:val="9"/>
                <w:szCs w:val="9"/>
                <w:color w:val="auto"/>
              </w:rPr>
            </w:pPr>
          </w:p>
        </w:tc>
        <w:tc>
          <w:tcPr>
            <w:tcW w:w="180" w:type="dxa"/>
            <w:vAlign w:val="bottom"/>
            <w:tcBorders>
              <w:bottom w:val="single" w:sz="8" w:color="1352DE"/>
            </w:tcBorders>
          </w:tcPr>
          <w:p>
            <w:pPr>
              <w:spacing w:after="0"/>
              <w:rPr>
                <w:sz w:val="9"/>
                <w:szCs w:val="9"/>
                <w:color w:val="auto"/>
              </w:rPr>
            </w:pPr>
          </w:p>
        </w:tc>
        <w:tc>
          <w:tcPr>
            <w:tcW w:w="760" w:type="dxa"/>
            <w:vAlign w:val="bottom"/>
            <w:tcBorders>
              <w:bottom w:val="single" w:sz="8" w:color="1352DE"/>
            </w:tcBorders>
          </w:tcPr>
          <w:p>
            <w:pPr>
              <w:spacing w:after="0"/>
              <w:rPr>
                <w:sz w:val="9"/>
                <w:szCs w:val="9"/>
                <w:color w:val="auto"/>
              </w:rPr>
            </w:pPr>
          </w:p>
        </w:tc>
        <w:tc>
          <w:tcPr>
            <w:tcW w:w="180" w:type="dxa"/>
            <w:vAlign w:val="bottom"/>
            <w:tcBorders>
              <w:bottom w:val="single" w:sz="8" w:color="1352DE"/>
            </w:tcBorders>
          </w:tcPr>
          <w:p>
            <w:pPr>
              <w:spacing w:after="0"/>
              <w:rPr>
                <w:sz w:val="9"/>
                <w:szCs w:val="9"/>
                <w:color w:val="auto"/>
              </w:rPr>
            </w:pPr>
          </w:p>
        </w:tc>
        <w:tc>
          <w:tcPr>
            <w:tcW w:w="300" w:type="dxa"/>
            <w:vAlign w:val="bottom"/>
            <w:tcBorders>
              <w:bottom w:val="single" w:sz="8" w:color="1352DE"/>
            </w:tcBorders>
          </w:tcPr>
          <w:p>
            <w:pPr>
              <w:spacing w:after="0"/>
              <w:rPr>
                <w:sz w:val="9"/>
                <w:szCs w:val="9"/>
                <w:color w:val="auto"/>
              </w:rPr>
            </w:pPr>
          </w:p>
        </w:tc>
        <w:tc>
          <w:tcPr>
            <w:tcW w:w="640" w:type="dxa"/>
            <w:vAlign w:val="bottom"/>
            <w:tcBorders>
              <w:bottom w:val="single" w:sz="8" w:color="1352DE"/>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40" w:type="dxa"/>
            <w:vAlign w:val="bottom"/>
            <w:tcBorders>
              <w:bottom w:val="single" w:sz="8" w:color="1352DE"/>
            </w:tcBorders>
          </w:tcPr>
          <w:p>
            <w:pPr>
              <w:spacing w:after="0"/>
              <w:rPr>
                <w:sz w:val="16"/>
                <w:szCs w:val="16"/>
                <w:color w:val="auto"/>
              </w:rPr>
            </w:pPr>
          </w:p>
        </w:tc>
        <w:tc>
          <w:tcPr>
            <w:tcW w:w="2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tcPr>
          <w:p>
            <w:pPr>
              <w:spacing w:after="0"/>
              <w:rPr>
                <w:sz w:val="16"/>
                <w:szCs w:val="16"/>
                <w:color w:val="auto"/>
              </w:rPr>
            </w:pPr>
          </w:p>
        </w:tc>
        <w:tc>
          <w:tcPr>
            <w:tcW w:w="2860" w:type="dxa"/>
            <w:vAlign w:val="bottom"/>
            <w:tcBorders>
              <w:bottom w:val="single" w:sz="8" w:color="1352DE"/>
            </w:tcBorders>
            <w:gridSpan w:val="6"/>
          </w:tcPr>
          <w:p>
            <w:pPr>
              <w:ind w:left="40"/>
              <w:spacing w:after="0"/>
              <w:rPr>
                <w:sz w:val="20"/>
                <w:szCs w:val="20"/>
                <w:color w:val="auto"/>
              </w:rPr>
            </w:pPr>
            <w:r>
              <w:rPr>
                <w:rFonts w:ascii="Arial" w:cs="Arial" w:eastAsia="Arial" w:hAnsi="Arial"/>
                <w:sz w:val="14"/>
                <w:szCs w:val="14"/>
                <w:b w:val="1"/>
                <w:bCs w:val="1"/>
                <w:color w:val="1252DE"/>
              </w:rPr>
              <w:t>Nine Months Ended September 30, 2026</w:t>
            </w:r>
          </w:p>
        </w:tc>
        <w:tc>
          <w:tcPr>
            <w:tcW w:w="180" w:type="dxa"/>
            <w:vAlign w:val="bottom"/>
            <w:tcBorders>
              <w:bottom w:val="single" w:sz="8" w:color="1352DE"/>
            </w:tcBorders>
          </w:tcPr>
          <w:p>
            <w:pPr>
              <w:spacing w:after="0"/>
              <w:rPr>
                <w:sz w:val="16"/>
                <w:szCs w:val="16"/>
                <w:color w:val="auto"/>
              </w:rPr>
            </w:pPr>
          </w:p>
        </w:tc>
        <w:tc>
          <w:tcPr>
            <w:tcW w:w="300" w:type="dxa"/>
            <w:vAlign w:val="bottom"/>
            <w:tcBorders>
              <w:bottom w:val="single" w:sz="8" w:color="1352DE"/>
            </w:tcBorders>
          </w:tcPr>
          <w:p>
            <w:pPr>
              <w:spacing w:after="0"/>
              <w:rPr>
                <w:sz w:val="16"/>
                <w:szCs w:val="16"/>
                <w:color w:val="auto"/>
              </w:rPr>
            </w:pPr>
          </w:p>
        </w:tc>
        <w:tc>
          <w:tcPr>
            <w:tcW w:w="58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30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1252DE"/>
              </w:rPr>
              <w:t>Losses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and Loss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1252DE"/>
              </w:rPr>
              <w:t>Other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1252DE"/>
              </w:rPr>
              <w:t>General</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1252DE"/>
              </w:rPr>
              <w:t>Underwriting</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80" w:type="dxa"/>
            <w:vAlign w:val="bottom"/>
          </w:tcPr>
          <w:p>
            <w:pPr>
              <w:spacing w:after="0"/>
              <w:rPr>
                <w:sz w:val="11"/>
                <w:szCs w:val="11"/>
                <w:color w:val="auto"/>
              </w:rPr>
            </w:pPr>
          </w:p>
        </w:tc>
        <w:tc>
          <w:tcPr>
            <w:tcW w:w="960" w:type="dxa"/>
            <w:vAlign w:val="bottom"/>
            <w:gridSpan w:val="3"/>
            <w:vMerge w:val="restart"/>
          </w:tcPr>
          <w:p>
            <w:pPr>
              <w:jc w:val="right"/>
              <w:ind w:right="40"/>
              <w:spacing w:after="0"/>
              <w:rPr>
                <w:sz w:val="20"/>
                <w:szCs w:val="20"/>
                <w:color w:val="auto"/>
              </w:rPr>
            </w:pPr>
            <w:r>
              <w:rPr>
                <w:rFonts w:ascii="Arial" w:cs="Arial" w:eastAsia="Arial" w:hAnsi="Arial"/>
                <w:sz w:val="13"/>
                <w:szCs w:val="13"/>
                <w:color w:val="1252DE"/>
              </w:rPr>
              <w:t>Reconciliation</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Adjustment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1252DE"/>
              </w:rPr>
              <w:t>Amortization</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1252DE"/>
              </w:rPr>
              <w:t>Premiums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1252DE"/>
              </w:rPr>
              <w:t>Premiums</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Expenses</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Acquisition</w:t>
            </w:r>
          </w:p>
        </w:tc>
        <w:tc>
          <w:tcPr>
            <w:tcW w:w="1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1252DE"/>
              </w:rPr>
              <w:t>Operating</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1252DE"/>
              </w:rPr>
              <w:t>Income</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1252DE"/>
              </w:rPr>
              <w:t>Investment</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1252DE"/>
              </w:rPr>
              <w:t>to Pre-tax</w:t>
            </w: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Arial" w:cs="Arial" w:eastAsia="Arial" w:hAnsi="Arial"/>
                <w:sz w:val="13"/>
                <w:szCs w:val="13"/>
                <w:i w:val="1"/>
                <w:iCs w:val="1"/>
                <w:color w:val="1252DE"/>
              </w:rPr>
              <w:t>(in millions)</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1252DE"/>
              </w:rPr>
              <w:t>Written</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1252DE"/>
              </w:rPr>
              <w:t>Earned</w:t>
            </w: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3"/>
                <w:szCs w:val="13"/>
                <w:color w:val="1252DE"/>
              </w:rPr>
              <w:t>Incurred</w:t>
            </w:r>
            <w:r>
              <w:rPr>
                <w:rFonts w:ascii="Arial" w:cs="Arial" w:eastAsia="Arial" w:hAnsi="Arial"/>
                <w:sz w:val="17"/>
                <w:szCs w:val="17"/>
                <w:color w:val="1252DE"/>
                <w:vertAlign w:val="superscript"/>
              </w:rPr>
              <w:t>(a)</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3"/>
                <w:szCs w:val="13"/>
                <w:color w:val="1252DE"/>
              </w:rPr>
              <w:t>of DAC</w:t>
            </w:r>
            <w:r>
              <w:rPr>
                <w:rFonts w:ascii="Arial" w:cs="Arial" w:eastAsia="Arial" w:hAnsi="Arial"/>
                <w:sz w:val="17"/>
                <w:szCs w:val="17"/>
                <w:color w:val="1252DE"/>
                <w:vertAlign w:val="superscript"/>
              </w:rPr>
              <w:t>(a)</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3"/>
                <w:szCs w:val="13"/>
                <w:color w:val="1252DE"/>
              </w:rPr>
              <w:t>Expenses</w:t>
            </w:r>
            <w:r>
              <w:rPr>
                <w:rFonts w:ascii="Arial" w:cs="Arial" w:eastAsia="Arial" w:hAnsi="Arial"/>
                <w:sz w:val="17"/>
                <w:szCs w:val="17"/>
                <w:color w:val="1252DE"/>
                <w:vertAlign w:val="superscript"/>
              </w:rPr>
              <w:t>(a)</w:t>
            </w:r>
          </w:p>
        </w:tc>
        <w:tc>
          <w:tcPr>
            <w:tcW w:w="18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3"/>
                <w:szCs w:val="13"/>
                <w:color w:val="1252DE"/>
              </w:rPr>
              <w:t>Expenses</w:t>
            </w:r>
            <w:r>
              <w:rPr>
                <w:rFonts w:ascii="Arial" w:cs="Arial" w:eastAsia="Arial" w:hAnsi="Arial"/>
                <w:sz w:val="17"/>
                <w:szCs w:val="17"/>
                <w:color w:val="1252DE"/>
                <w:vertAlign w:val="superscript"/>
              </w:rPr>
              <w:t>(a)(b)</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252DE"/>
              </w:rPr>
              <w:t>(Loss)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1252DE"/>
              </w:rPr>
              <w:t>Income</w:t>
            </w:r>
          </w:p>
        </w:tc>
        <w:tc>
          <w:tcPr>
            <w:tcW w:w="180" w:type="dxa"/>
            <w:vAlign w:val="bottom"/>
          </w:tcPr>
          <w:p>
            <w:pPr>
              <w:spacing w:after="0"/>
              <w:rPr>
                <w:sz w:val="16"/>
                <w:szCs w:val="16"/>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1252DE"/>
              </w:rPr>
              <w:t>Income (Loss)</w:t>
            </w:r>
          </w:p>
        </w:tc>
        <w:tc>
          <w:tcPr>
            <w:tcW w:w="0" w:type="dxa"/>
            <w:vAlign w:val="bottom"/>
          </w:tcPr>
          <w:p>
            <w:pPr>
              <w:spacing w:after="0"/>
              <w:rPr>
                <w:sz w:val="1"/>
                <w:szCs w:val="1"/>
                <w:color w:val="auto"/>
              </w:rPr>
            </w:pPr>
          </w:p>
        </w:tc>
      </w:tr>
      <w:tr>
        <w:trPr>
          <w:trHeight w:val="194"/>
        </w:trPr>
        <w:tc>
          <w:tcPr>
            <w:tcW w:w="2440" w:type="dxa"/>
            <w:vAlign w:val="bottom"/>
            <w:tcBorders>
              <w:top w:val="single" w:sz="8" w:color="1352DE"/>
            </w:tcBorders>
          </w:tcPr>
          <w:p>
            <w:pPr>
              <w:ind w:left="20"/>
              <w:spacing w:after="0"/>
              <w:rPr>
                <w:sz w:val="20"/>
                <w:szCs w:val="20"/>
                <w:color w:val="auto"/>
              </w:rPr>
            </w:pPr>
            <w:r>
              <w:rPr>
                <w:rFonts w:ascii="Arial" w:cs="Arial" w:eastAsia="Arial" w:hAnsi="Arial"/>
                <w:sz w:val="13"/>
                <w:szCs w:val="13"/>
                <w:color w:val="auto"/>
              </w:rPr>
              <w:t>North America Commercial</w:t>
            </w:r>
          </w:p>
        </w:tc>
        <w:tc>
          <w:tcPr>
            <w:tcW w:w="280" w:type="dxa"/>
            <w:vAlign w:val="bottom"/>
            <w:tcBorders>
              <w:top w:val="single" w:sz="8" w:color="1352DE"/>
            </w:tcBorders>
          </w:tcPr>
          <w:p>
            <w:pPr>
              <w:jc w:val="right"/>
              <w:spacing w:after="0"/>
              <w:rPr>
                <w:sz w:val="20"/>
                <w:szCs w:val="20"/>
                <w:color w:val="auto"/>
              </w:rPr>
            </w:pPr>
            <w:r>
              <w:rPr>
                <w:rFonts w:ascii="Arial" w:cs="Arial" w:eastAsia="Arial" w:hAnsi="Arial"/>
                <w:sz w:val="14"/>
                <w:szCs w:val="14"/>
                <w:b w:val="1"/>
                <w:bCs w:val="1"/>
                <w:color w:val="1352DE"/>
              </w:rPr>
              <w:t>$</w:t>
            </w:r>
          </w:p>
        </w:tc>
        <w:tc>
          <w:tcPr>
            <w:tcW w:w="680" w:type="dxa"/>
            <w:vAlign w:val="bottom"/>
            <w:tcBorders>
              <w:top w:val="single" w:sz="8" w:color="1352DE"/>
            </w:tcBorders>
          </w:tcPr>
          <w:p>
            <w:pPr>
              <w:jc w:val="right"/>
              <w:ind w:right="10"/>
              <w:spacing w:after="0"/>
              <w:rPr>
                <w:sz w:val="20"/>
                <w:szCs w:val="20"/>
                <w:color w:val="auto"/>
              </w:rPr>
            </w:pPr>
            <w:r>
              <w:rPr>
                <w:rFonts w:ascii="Arial" w:cs="Arial" w:eastAsia="Arial" w:hAnsi="Arial"/>
                <w:sz w:val="14"/>
                <w:szCs w:val="14"/>
                <w:b w:val="1"/>
                <w:bCs w:val="1"/>
                <w:color w:val="1352DE"/>
              </w:rPr>
              <w:t>7,211</w:t>
            </w:r>
          </w:p>
        </w:tc>
        <w:tc>
          <w:tcPr>
            <w:tcW w:w="180" w:type="dxa"/>
            <w:vAlign w:val="bottom"/>
            <w:tcBorders>
              <w:top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640" w:type="dxa"/>
            <w:vAlign w:val="bottom"/>
            <w:tcBorders>
              <w:top w:val="single" w:sz="8" w:color="1352DE"/>
            </w:tcBorders>
          </w:tcPr>
          <w:p>
            <w:pPr>
              <w:jc w:val="right"/>
              <w:spacing w:after="0"/>
              <w:rPr>
                <w:sz w:val="20"/>
                <w:szCs w:val="20"/>
                <w:color w:val="auto"/>
              </w:rPr>
            </w:pPr>
            <w:r>
              <w:rPr>
                <w:rFonts w:ascii="Arial" w:cs="Arial" w:eastAsia="Arial" w:hAnsi="Arial"/>
                <w:sz w:val="14"/>
                <w:szCs w:val="14"/>
                <w:b w:val="1"/>
                <w:bCs w:val="1"/>
                <w:color w:val="1352DE"/>
              </w:rPr>
              <w:t>6,939</w:t>
            </w:r>
          </w:p>
        </w:tc>
        <w:tc>
          <w:tcPr>
            <w:tcW w:w="160" w:type="dxa"/>
            <w:vAlign w:val="bottom"/>
            <w:tcBorders>
              <w:top w:val="single" w:sz="8" w:color="1352DE"/>
            </w:tcBorders>
          </w:tcPr>
          <w:p>
            <w:pPr>
              <w:ind w:left="20"/>
              <w:spacing w:after="0"/>
              <w:rPr>
                <w:sz w:val="20"/>
                <w:szCs w:val="20"/>
                <w:color w:val="auto"/>
              </w:rPr>
            </w:pPr>
            <w:r>
              <w:rPr>
                <w:rFonts w:ascii="Arial" w:cs="Arial" w:eastAsia="Arial" w:hAnsi="Arial"/>
                <w:sz w:val="14"/>
                <w:szCs w:val="14"/>
                <w:b w:val="1"/>
                <w:bCs w:val="1"/>
                <w:color w:val="1352DE"/>
              </w:rPr>
              <w:t>$</w:t>
            </w:r>
          </w:p>
        </w:tc>
        <w:tc>
          <w:tcPr>
            <w:tcW w:w="780" w:type="dxa"/>
            <w:vAlign w:val="bottom"/>
            <w:tcBorders>
              <w:top w:val="single" w:sz="8" w:color="1352DE"/>
            </w:tcBorders>
          </w:tcPr>
          <w:p>
            <w:pPr>
              <w:jc w:val="right"/>
              <w:ind w:right="11"/>
              <w:spacing w:after="0"/>
              <w:rPr>
                <w:sz w:val="20"/>
                <w:szCs w:val="20"/>
                <w:color w:val="auto"/>
              </w:rPr>
            </w:pPr>
            <w:r>
              <w:rPr>
                <w:rFonts w:ascii="Arial" w:cs="Arial" w:eastAsia="Arial" w:hAnsi="Arial"/>
                <w:sz w:val="14"/>
                <w:szCs w:val="14"/>
                <w:b w:val="1"/>
                <w:bCs w:val="1"/>
                <w:color w:val="1352DE"/>
              </w:rPr>
              <w:t>4,472</w:t>
            </w:r>
          </w:p>
        </w:tc>
        <w:tc>
          <w:tcPr>
            <w:tcW w:w="160" w:type="dxa"/>
            <w:vAlign w:val="bottom"/>
            <w:tcBorders>
              <w:top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w w:val="76"/>
              </w:rPr>
              <w:t>$</w:t>
            </w:r>
          </w:p>
        </w:tc>
        <w:tc>
          <w:tcPr>
            <w:tcW w:w="840" w:type="dxa"/>
            <w:vAlign w:val="bottom"/>
            <w:tcBorders>
              <w:top w:val="single" w:sz="8" w:color="1352DE"/>
            </w:tcBorders>
          </w:tcPr>
          <w:p>
            <w:pPr>
              <w:jc w:val="right"/>
              <w:ind w:right="10"/>
              <w:spacing w:after="0"/>
              <w:rPr>
                <w:sz w:val="20"/>
                <w:szCs w:val="20"/>
                <w:color w:val="auto"/>
              </w:rPr>
            </w:pPr>
            <w:r>
              <w:rPr>
                <w:rFonts w:ascii="Arial" w:cs="Arial" w:eastAsia="Arial" w:hAnsi="Arial"/>
                <w:sz w:val="14"/>
                <w:szCs w:val="14"/>
                <w:b w:val="1"/>
                <w:bCs w:val="1"/>
                <w:color w:val="1352DE"/>
              </w:rPr>
              <w:t>703</w:t>
            </w:r>
          </w:p>
        </w:tc>
        <w:tc>
          <w:tcPr>
            <w:tcW w:w="140" w:type="dxa"/>
            <w:vAlign w:val="bottom"/>
            <w:tcBorders>
              <w:top w:val="single" w:sz="8" w:color="1352DE"/>
            </w:tcBorders>
          </w:tcPr>
          <w:p>
            <w:pPr>
              <w:jc w:val="right"/>
              <w:spacing w:after="0"/>
              <w:rPr>
                <w:sz w:val="20"/>
                <w:szCs w:val="20"/>
                <w:color w:val="auto"/>
              </w:rPr>
            </w:pPr>
            <w:r>
              <w:rPr>
                <w:rFonts w:ascii="Arial" w:cs="Arial" w:eastAsia="Arial" w:hAnsi="Arial"/>
                <w:sz w:val="14"/>
                <w:szCs w:val="14"/>
                <w:b w:val="1"/>
                <w:bCs w:val="1"/>
                <w:color w:val="1352DE"/>
                <w:w w:val="76"/>
              </w:rPr>
              <w:t>$</w:t>
            </w:r>
          </w:p>
        </w:tc>
        <w:tc>
          <w:tcPr>
            <w:tcW w:w="780" w:type="dxa"/>
            <w:vAlign w:val="bottom"/>
            <w:tcBorders>
              <w:top w:val="single" w:sz="8" w:color="1352DE"/>
            </w:tcBorders>
          </w:tcPr>
          <w:p>
            <w:pPr>
              <w:jc w:val="right"/>
              <w:spacing w:after="0"/>
              <w:rPr>
                <w:sz w:val="20"/>
                <w:szCs w:val="20"/>
                <w:color w:val="auto"/>
              </w:rPr>
            </w:pPr>
            <w:r>
              <w:rPr>
                <w:rFonts w:ascii="Arial" w:cs="Arial" w:eastAsia="Arial" w:hAnsi="Arial"/>
                <w:sz w:val="14"/>
                <w:szCs w:val="14"/>
                <w:b w:val="1"/>
                <w:bCs w:val="1"/>
                <w:color w:val="1352DE"/>
              </w:rPr>
              <w:t>160</w:t>
            </w:r>
          </w:p>
        </w:tc>
        <w:tc>
          <w:tcPr>
            <w:tcW w:w="180" w:type="dxa"/>
            <w:vAlign w:val="bottom"/>
            <w:tcBorders>
              <w:top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880" w:type="dxa"/>
            <w:vAlign w:val="bottom"/>
            <w:tcBorders>
              <w:top w:val="single" w:sz="8" w:color="1352DE"/>
            </w:tcBorders>
            <w:gridSpan w:val="2"/>
          </w:tcPr>
          <w:p>
            <w:pPr>
              <w:jc w:val="right"/>
              <w:spacing w:after="0"/>
              <w:rPr>
                <w:sz w:val="20"/>
                <w:szCs w:val="20"/>
                <w:color w:val="auto"/>
              </w:rPr>
            </w:pPr>
            <w:r>
              <w:rPr>
                <w:rFonts w:ascii="Arial" w:cs="Arial" w:eastAsia="Arial" w:hAnsi="Arial"/>
                <w:sz w:val="14"/>
                <w:szCs w:val="14"/>
                <w:b w:val="1"/>
                <w:bCs w:val="1"/>
                <w:color w:val="1352DE"/>
              </w:rPr>
              <w:t>738</w:t>
            </w:r>
          </w:p>
        </w:tc>
        <w:tc>
          <w:tcPr>
            <w:tcW w:w="180" w:type="dxa"/>
            <w:vAlign w:val="bottom"/>
            <w:tcBorders>
              <w:top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840" w:type="dxa"/>
            <w:vAlign w:val="bottom"/>
            <w:tcBorders>
              <w:top w:val="single" w:sz="8" w:color="1352DE"/>
            </w:tcBorders>
          </w:tcPr>
          <w:p>
            <w:pPr>
              <w:jc w:val="right"/>
              <w:spacing w:after="0"/>
              <w:rPr>
                <w:sz w:val="20"/>
                <w:szCs w:val="20"/>
                <w:color w:val="auto"/>
              </w:rPr>
            </w:pPr>
            <w:r>
              <w:rPr>
                <w:rFonts w:ascii="Arial" w:cs="Arial" w:eastAsia="Arial" w:hAnsi="Arial"/>
                <w:sz w:val="14"/>
                <w:szCs w:val="14"/>
                <w:b w:val="1"/>
                <w:bCs w:val="1"/>
                <w:color w:val="1352DE"/>
              </w:rPr>
              <w:t>866</w:t>
            </w:r>
          </w:p>
        </w:tc>
        <w:tc>
          <w:tcPr>
            <w:tcW w:w="180" w:type="dxa"/>
            <w:vAlign w:val="bottom"/>
            <w:tcBorders>
              <w:top w:val="single" w:sz="8" w:color="1352DE"/>
            </w:tcBorders>
          </w:tcPr>
          <w:p>
            <w:pPr>
              <w:spacing w:after="0"/>
              <w:rPr>
                <w:sz w:val="16"/>
                <w:szCs w:val="16"/>
                <w:color w:val="auto"/>
              </w:rPr>
            </w:pPr>
          </w:p>
        </w:tc>
        <w:tc>
          <w:tcPr>
            <w:tcW w:w="760" w:type="dxa"/>
            <w:vAlign w:val="bottom"/>
            <w:tcBorders>
              <w:top w:val="single" w:sz="8" w:color="1352DE"/>
            </w:tcBorders>
          </w:tcPr>
          <w:p>
            <w:pPr>
              <w:spacing w:after="0"/>
              <w:rPr>
                <w:sz w:val="16"/>
                <w:szCs w:val="16"/>
                <w:color w:val="auto"/>
              </w:rPr>
            </w:pPr>
          </w:p>
        </w:tc>
        <w:tc>
          <w:tcPr>
            <w:tcW w:w="180" w:type="dxa"/>
            <w:vAlign w:val="bottom"/>
            <w:tcBorders>
              <w:top w:val="single" w:sz="8" w:color="1352DE"/>
            </w:tcBorders>
          </w:tcPr>
          <w:p>
            <w:pPr>
              <w:spacing w:after="0"/>
              <w:rPr>
                <w:sz w:val="16"/>
                <w:szCs w:val="16"/>
                <w:color w:val="auto"/>
              </w:rPr>
            </w:pPr>
          </w:p>
        </w:tc>
        <w:tc>
          <w:tcPr>
            <w:tcW w:w="300" w:type="dxa"/>
            <w:vAlign w:val="bottom"/>
            <w:tcBorders>
              <w:top w:val="single" w:sz="8" w:color="1352DE"/>
            </w:tcBorders>
          </w:tcPr>
          <w:p>
            <w:pPr>
              <w:spacing w:after="0"/>
              <w:rPr>
                <w:sz w:val="16"/>
                <w:szCs w:val="16"/>
                <w:color w:val="auto"/>
              </w:rPr>
            </w:pPr>
          </w:p>
        </w:tc>
        <w:tc>
          <w:tcPr>
            <w:tcW w:w="640" w:type="dxa"/>
            <w:vAlign w:val="bottom"/>
            <w:tcBorders>
              <w:top w:val="single" w:sz="8" w:color="1352D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3"/>
                <w:szCs w:val="13"/>
                <w:color w:val="auto"/>
              </w:rPr>
              <w:t>International Commercial</w:t>
            </w:r>
          </w:p>
        </w:tc>
        <w:tc>
          <w:tcPr>
            <w:tcW w:w="280" w:type="dxa"/>
            <w:vAlign w:val="bottom"/>
          </w:tcPr>
          <w:p>
            <w:pPr>
              <w:spacing w:after="0"/>
              <w:rPr>
                <w:sz w:val="17"/>
                <w:szCs w:val="17"/>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b w:val="1"/>
                <w:bCs w:val="1"/>
                <w:color w:val="1352DE"/>
              </w:rPr>
              <w:t>7,425</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6,866</w:t>
            </w:r>
          </w:p>
        </w:tc>
        <w:tc>
          <w:tcPr>
            <w:tcW w:w="16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1352DE"/>
              </w:rPr>
              <w:t>3,978</w:t>
            </w:r>
          </w:p>
        </w:tc>
        <w:tc>
          <w:tcPr>
            <w:tcW w:w="16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b w:val="1"/>
                <w:bCs w:val="1"/>
                <w:color w:val="1352DE"/>
              </w:rPr>
              <w:t>906</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352DE"/>
              </w:rPr>
              <w:t>279</w:t>
            </w: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1352DE"/>
              </w:rPr>
              <w:t>942</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1352DE"/>
              </w:rPr>
              <w:t>761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Global Personal</w:t>
            </w:r>
          </w:p>
        </w:tc>
        <w:tc>
          <w:tcPr>
            <w:tcW w:w="2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b w:val="1"/>
                <w:bCs w:val="1"/>
                <w:color w:val="1352DE"/>
              </w:rPr>
              <w:t>5,130</w:t>
            </w: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4,878</w:t>
            </w: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11"/>
              <w:spacing w:after="0"/>
              <w:rPr>
                <w:sz w:val="20"/>
                <w:szCs w:val="20"/>
                <w:color w:val="auto"/>
              </w:rPr>
            </w:pPr>
            <w:r>
              <w:rPr>
                <w:rFonts w:ascii="Arial" w:cs="Arial" w:eastAsia="Arial" w:hAnsi="Arial"/>
                <w:sz w:val="14"/>
                <w:szCs w:val="14"/>
                <w:b w:val="1"/>
                <w:bCs w:val="1"/>
                <w:color w:val="1352DE"/>
              </w:rPr>
              <w:t>2,567</w:t>
            </w: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b w:val="1"/>
                <w:bCs w:val="1"/>
                <w:color w:val="1352DE"/>
              </w:rPr>
              <w:t>1,031</w:t>
            </w: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256</w:t>
            </w: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b w:val="1"/>
                <w:bCs w:val="1"/>
                <w:color w:val="1352DE"/>
              </w:rPr>
              <w:t>627</w:t>
            </w: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397</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1352DE"/>
            </w:tcBorders>
          </w:tcPr>
          <w:p>
            <w:pPr>
              <w:ind w:left="160"/>
              <w:spacing w:after="0"/>
              <w:rPr>
                <w:sz w:val="20"/>
                <w:szCs w:val="20"/>
                <w:color w:val="auto"/>
              </w:rPr>
            </w:pPr>
            <w:r>
              <w:rPr>
                <w:rFonts w:ascii="Arial" w:cs="Arial" w:eastAsia="Arial" w:hAnsi="Arial"/>
                <w:sz w:val="14"/>
                <w:szCs w:val="14"/>
                <w:b w:val="1"/>
                <w:bCs w:val="1"/>
                <w:color w:val="1252DE"/>
              </w:rPr>
              <w:t>Total General Insurance</w:t>
            </w:r>
            <w:r>
              <w:rPr>
                <w:rFonts w:ascii="Arial" w:cs="Arial" w:eastAsia="Arial" w:hAnsi="Arial"/>
                <w:sz w:val="9"/>
                <w:szCs w:val="9"/>
                <w:b w:val="1"/>
                <w:bCs w:val="1"/>
                <w:color w:val="1252DE"/>
              </w:rPr>
              <w:t>(c)</w:t>
            </w:r>
          </w:p>
        </w:tc>
        <w:tc>
          <w:tcPr>
            <w:tcW w:w="2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w:t>
            </w:r>
          </w:p>
        </w:tc>
        <w:tc>
          <w:tcPr>
            <w:tcW w:w="68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b w:val="1"/>
                <w:bCs w:val="1"/>
                <w:color w:val="1352DE"/>
              </w:rPr>
              <w:t>19,766</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18,683</w:t>
            </w:r>
          </w:p>
        </w:tc>
        <w:tc>
          <w:tcPr>
            <w:tcW w:w="16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w:t>
            </w:r>
          </w:p>
        </w:tc>
        <w:tc>
          <w:tcPr>
            <w:tcW w:w="780" w:type="dxa"/>
            <w:vAlign w:val="bottom"/>
            <w:tcBorders>
              <w:bottom w:val="single" w:sz="8" w:color="1352DE"/>
            </w:tcBorders>
          </w:tcPr>
          <w:p>
            <w:pPr>
              <w:jc w:val="right"/>
              <w:ind w:right="11"/>
              <w:spacing w:after="0"/>
              <w:rPr>
                <w:sz w:val="20"/>
                <w:szCs w:val="20"/>
                <w:color w:val="auto"/>
              </w:rPr>
            </w:pPr>
            <w:r>
              <w:rPr>
                <w:rFonts w:ascii="Arial" w:cs="Arial" w:eastAsia="Arial" w:hAnsi="Arial"/>
                <w:sz w:val="14"/>
                <w:szCs w:val="14"/>
                <w:b w:val="1"/>
                <w:bCs w:val="1"/>
                <w:color w:val="1352DE"/>
              </w:rPr>
              <w:t>11,017</w:t>
            </w:r>
          </w:p>
        </w:tc>
        <w:tc>
          <w:tcPr>
            <w:tcW w:w="1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w w:val="76"/>
              </w:rPr>
              <w:t>$</w:t>
            </w:r>
          </w:p>
        </w:tc>
        <w:tc>
          <w:tcPr>
            <w:tcW w:w="84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b w:val="1"/>
                <w:bCs w:val="1"/>
                <w:color w:val="1352DE"/>
              </w:rPr>
              <w:t>2,640</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w w:val="76"/>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695</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88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b w:val="1"/>
                <w:bCs w:val="1"/>
                <w:color w:val="1352DE"/>
              </w:rPr>
              <w:t>2,307</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2,024</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352DE"/>
              </w:rPr>
              <w:t>$</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2,767</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352DE"/>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4,760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(300)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3"/>
                <w:szCs w:val="13"/>
                <w:color w:val="auto"/>
              </w:rPr>
              <w:t>Other Operations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133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Arial" w:cs="Arial" w:eastAsia="Arial" w:hAnsi="Arial"/>
                <w:sz w:val="13"/>
                <w:szCs w:val="13"/>
                <w:color w:val="auto"/>
              </w:rPr>
              <w:t>Elimination and consolidations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1352DE"/>
              </w:rPr>
              <w:t>(2)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1352DE"/>
              </w:rPr>
              <w:t>—</w:t>
            </w:r>
          </w:p>
        </w:tc>
        <w:tc>
          <w:tcPr>
            <w:tcW w:w="0" w:type="dxa"/>
            <w:vAlign w:val="bottom"/>
          </w:tcPr>
          <w:p>
            <w:pPr>
              <w:spacing w:after="0"/>
              <w:rPr>
                <w:sz w:val="1"/>
                <w:szCs w:val="1"/>
                <w:color w:val="auto"/>
              </w:rPr>
            </w:pPr>
          </w:p>
        </w:tc>
      </w:tr>
      <w:tr>
        <w:trPr>
          <w:trHeight w:val="195"/>
        </w:trPr>
        <w:tc>
          <w:tcPr>
            <w:tcW w:w="2440" w:type="dxa"/>
            <w:vAlign w:val="bottom"/>
            <w:tcBorders>
              <w:top w:val="single" w:sz="8" w:color="1352DE"/>
            </w:tcBorders>
          </w:tcPr>
          <w:p>
            <w:pPr>
              <w:ind w:left="20"/>
              <w:spacing w:after="0"/>
              <w:rPr>
                <w:sz w:val="20"/>
                <w:szCs w:val="20"/>
                <w:color w:val="auto"/>
              </w:rPr>
            </w:pPr>
            <w:r>
              <w:rPr>
                <w:rFonts w:ascii="Arial" w:cs="Arial" w:eastAsia="Arial" w:hAnsi="Arial"/>
                <w:sz w:val="13"/>
                <w:szCs w:val="13"/>
                <w:b w:val="1"/>
                <w:bCs w:val="1"/>
                <w:color w:val="1252DE"/>
              </w:rPr>
              <w:t>Total</w:t>
            </w:r>
          </w:p>
        </w:tc>
        <w:tc>
          <w:tcPr>
            <w:tcW w:w="280" w:type="dxa"/>
            <w:vAlign w:val="bottom"/>
            <w:tcBorders>
              <w:top w:val="single" w:sz="8" w:color="1352DE"/>
            </w:tcBorders>
          </w:tcPr>
          <w:p>
            <w:pPr>
              <w:spacing w:after="0"/>
              <w:rPr>
                <w:sz w:val="16"/>
                <w:szCs w:val="16"/>
                <w:color w:val="auto"/>
              </w:rPr>
            </w:pPr>
          </w:p>
        </w:tc>
        <w:tc>
          <w:tcPr>
            <w:tcW w:w="680" w:type="dxa"/>
            <w:vAlign w:val="bottom"/>
            <w:tcBorders>
              <w:top w:val="single" w:sz="8" w:color="1352DE"/>
            </w:tcBorders>
          </w:tcPr>
          <w:p>
            <w:pPr>
              <w:spacing w:after="0"/>
              <w:rPr>
                <w:sz w:val="16"/>
                <w:szCs w:val="16"/>
                <w:color w:val="auto"/>
              </w:rPr>
            </w:pPr>
          </w:p>
        </w:tc>
        <w:tc>
          <w:tcPr>
            <w:tcW w:w="180" w:type="dxa"/>
            <w:vAlign w:val="bottom"/>
            <w:tcBorders>
              <w:top w:val="single" w:sz="8" w:color="1352DE"/>
            </w:tcBorders>
          </w:tcPr>
          <w:p>
            <w:pPr>
              <w:spacing w:after="0"/>
              <w:rPr>
                <w:sz w:val="16"/>
                <w:szCs w:val="16"/>
                <w:color w:val="auto"/>
              </w:rPr>
            </w:pPr>
          </w:p>
        </w:tc>
        <w:tc>
          <w:tcPr>
            <w:tcW w:w="640" w:type="dxa"/>
            <w:vAlign w:val="bottom"/>
            <w:tcBorders>
              <w:top w:val="single" w:sz="8" w:color="1352DE"/>
            </w:tcBorders>
          </w:tcPr>
          <w:p>
            <w:pPr>
              <w:spacing w:after="0"/>
              <w:rPr>
                <w:sz w:val="16"/>
                <w:szCs w:val="16"/>
                <w:color w:val="auto"/>
              </w:rPr>
            </w:pPr>
          </w:p>
        </w:tc>
        <w:tc>
          <w:tcPr>
            <w:tcW w:w="160" w:type="dxa"/>
            <w:vAlign w:val="bottom"/>
            <w:tcBorders>
              <w:top w:val="single" w:sz="8" w:color="1352DE"/>
            </w:tcBorders>
          </w:tcPr>
          <w:p>
            <w:pPr>
              <w:spacing w:after="0"/>
              <w:rPr>
                <w:sz w:val="16"/>
                <w:szCs w:val="16"/>
                <w:color w:val="auto"/>
              </w:rPr>
            </w:pPr>
          </w:p>
        </w:tc>
        <w:tc>
          <w:tcPr>
            <w:tcW w:w="780" w:type="dxa"/>
            <w:vAlign w:val="bottom"/>
            <w:tcBorders>
              <w:top w:val="single" w:sz="8" w:color="1352DE"/>
            </w:tcBorders>
          </w:tcPr>
          <w:p>
            <w:pPr>
              <w:spacing w:after="0"/>
              <w:rPr>
                <w:sz w:val="16"/>
                <w:szCs w:val="16"/>
                <w:color w:val="auto"/>
              </w:rPr>
            </w:pPr>
          </w:p>
        </w:tc>
        <w:tc>
          <w:tcPr>
            <w:tcW w:w="160" w:type="dxa"/>
            <w:vAlign w:val="bottom"/>
            <w:tcBorders>
              <w:top w:val="single" w:sz="8" w:color="1352DE"/>
            </w:tcBorders>
          </w:tcPr>
          <w:p>
            <w:pPr>
              <w:spacing w:after="0"/>
              <w:rPr>
                <w:sz w:val="16"/>
                <w:szCs w:val="16"/>
                <w:color w:val="auto"/>
              </w:rPr>
            </w:pPr>
          </w:p>
        </w:tc>
        <w:tc>
          <w:tcPr>
            <w:tcW w:w="840" w:type="dxa"/>
            <w:vAlign w:val="bottom"/>
            <w:tcBorders>
              <w:top w:val="single" w:sz="8" w:color="1352DE"/>
            </w:tcBorders>
          </w:tcPr>
          <w:p>
            <w:pPr>
              <w:spacing w:after="0"/>
              <w:rPr>
                <w:sz w:val="16"/>
                <w:szCs w:val="16"/>
                <w:color w:val="auto"/>
              </w:rPr>
            </w:pPr>
          </w:p>
        </w:tc>
        <w:tc>
          <w:tcPr>
            <w:tcW w:w="140" w:type="dxa"/>
            <w:vAlign w:val="bottom"/>
            <w:tcBorders>
              <w:top w:val="single" w:sz="8" w:color="1352DE"/>
            </w:tcBorders>
          </w:tcPr>
          <w:p>
            <w:pPr>
              <w:spacing w:after="0"/>
              <w:rPr>
                <w:sz w:val="16"/>
                <w:szCs w:val="16"/>
                <w:color w:val="auto"/>
              </w:rPr>
            </w:pPr>
          </w:p>
        </w:tc>
        <w:tc>
          <w:tcPr>
            <w:tcW w:w="780" w:type="dxa"/>
            <w:vAlign w:val="bottom"/>
            <w:tcBorders>
              <w:top w:val="single" w:sz="8" w:color="1352DE"/>
            </w:tcBorders>
          </w:tcPr>
          <w:p>
            <w:pPr>
              <w:spacing w:after="0"/>
              <w:rPr>
                <w:sz w:val="16"/>
                <w:szCs w:val="16"/>
                <w:color w:val="auto"/>
              </w:rPr>
            </w:pPr>
          </w:p>
        </w:tc>
        <w:tc>
          <w:tcPr>
            <w:tcW w:w="180" w:type="dxa"/>
            <w:vAlign w:val="bottom"/>
            <w:tcBorders>
              <w:top w:val="single" w:sz="8" w:color="1352DE"/>
            </w:tcBorders>
          </w:tcPr>
          <w:p>
            <w:pPr>
              <w:spacing w:after="0"/>
              <w:rPr>
                <w:sz w:val="16"/>
                <w:szCs w:val="16"/>
                <w:color w:val="auto"/>
              </w:rPr>
            </w:pPr>
          </w:p>
        </w:tc>
        <w:tc>
          <w:tcPr>
            <w:tcW w:w="300" w:type="dxa"/>
            <w:vAlign w:val="bottom"/>
            <w:tcBorders>
              <w:top w:val="single" w:sz="8" w:color="1352DE"/>
            </w:tcBorders>
          </w:tcPr>
          <w:p>
            <w:pPr>
              <w:spacing w:after="0"/>
              <w:rPr>
                <w:sz w:val="16"/>
                <w:szCs w:val="16"/>
                <w:color w:val="auto"/>
              </w:rPr>
            </w:pPr>
          </w:p>
        </w:tc>
        <w:tc>
          <w:tcPr>
            <w:tcW w:w="580" w:type="dxa"/>
            <w:vAlign w:val="bottom"/>
            <w:tcBorders>
              <w:top w:val="single" w:sz="8" w:color="1352DE"/>
            </w:tcBorders>
          </w:tcPr>
          <w:p>
            <w:pPr>
              <w:spacing w:after="0"/>
              <w:rPr>
                <w:sz w:val="16"/>
                <w:szCs w:val="16"/>
                <w:color w:val="auto"/>
              </w:rPr>
            </w:pPr>
          </w:p>
        </w:tc>
        <w:tc>
          <w:tcPr>
            <w:tcW w:w="180" w:type="dxa"/>
            <w:vAlign w:val="bottom"/>
            <w:tcBorders>
              <w:top w:val="single" w:sz="8" w:color="1352DE"/>
            </w:tcBorders>
          </w:tcPr>
          <w:p>
            <w:pPr>
              <w:spacing w:after="0"/>
              <w:rPr>
                <w:sz w:val="16"/>
                <w:szCs w:val="16"/>
                <w:color w:val="auto"/>
              </w:rPr>
            </w:pPr>
          </w:p>
        </w:tc>
        <w:tc>
          <w:tcPr>
            <w:tcW w:w="840" w:type="dxa"/>
            <w:vAlign w:val="bottom"/>
            <w:tcBorders>
              <w:top w:val="single" w:sz="8" w:color="1352DE"/>
            </w:tcBorders>
          </w:tcPr>
          <w:p>
            <w:pPr>
              <w:spacing w:after="0"/>
              <w:rPr>
                <w:sz w:val="16"/>
                <w:szCs w:val="16"/>
                <w:color w:val="auto"/>
              </w:rPr>
            </w:pPr>
          </w:p>
        </w:tc>
        <w:tc>
          <w:tcPr>
            <w:tcW w:w="180" w:type="dxa"/>
            <w:vAlign w:val="bottom"/>
            <w:tcBorders>
              <w:top w:val="single" w:sz="8" w:color="1352DE"/>
            </w:tcBorders>
          </w:tcPr>
          <w:p>
            <w:pPr>
              <w:spacing w:after="0"/>
              <w:rPr>
                <w:sz w:val="16"/>
                <w:szCs w:val="16"/>
                <w:color w:val="auto"/>
              </w:rPr>
            </w:pPr>
          </w:p>
        </w:tc>
        <w:tc>
          <w:tcPr>
            <w:tcW w:w="760" w:type="dxa"/>
            <w:vAlign w:val="bottom"/>
            <w:tcBorders>
              <w:top w:val="single" w:sz="8" w:color="1352DE"/>
            </w:tcBorders>
          </w:tcPr>
          <w:p>
            <w:pPr>
              <w:jc w:val="right"/>
              <w:ind w:right="9"/>
              <w:spacing w:after="0"/>
              <w:rPr>
                <w:sz w:val="20"/>
                <w:szCs w:val="20"/>
                <w:color w:val="auto"/>
              </w:rPr>
            </w:pPr>
            <w:r>
              <w:rPr>
                <w:rFonts w:ascii="Arial" w:cs="Arial" w:eastAsia="Arial" w:hAnsi="Arial"/>
                <w:sz w:val="14"/>
                <w:szCs w:val="14"/>
                <w:b w:val="1"/>
                <w:bCs w:val="1"/>
                <w:color w:val="1352DE"/>
              </w:rPr>
              <w:t>2,898</w:t>
            </w:r>
          </w:p>
        </w:tc>
        <w:tc>
          <w:tcPr>
            <w:tcW w:w="180" w:type="dxa"/>
            <w:vAlign w:val="bottom"/>
            <w:tcBorders>
              <w:top w:val="single" w:sz="8" w:color="1352DE"/>
            </w:tcBorders>
          </w:tcPr>
          <w:p>
            <w:pPr>
              <w:spacing w:after="0"/>
              <w:rPr>
                <w:sz w:val="16"/>
                <w:szCs w:val="16"/>
                <w:color w:val="auto"/>
              </w:rPr>
            </w:pPr>
          </w:p>
        </w:tc>
        <w:tc>
          <w:tcPr>
            <w:tcW w:w="300" w:type="dxa"/>
            <w:vAlign w:val="bottom"/>
            <w:tcBorders>
              <w:top w:val="single" w:sz="8" w:color="1352DE"/>
            </w:tcBorders>
          </w:tcPr>
          <w:p>
            <w:pPr>
              <w:spacing w:after="0"/>
              <w:rPr>
                <w:sz w:val="16"/>
                <w:szCs w:val="16"/>
                <w:color w:val="auto"/>
              </w:rPr>
            </w:pPr>
          </w:p>
        </w:tc>
        <w:tc>
          <w:tcPr>
            <w:tcW w:w="640" w:type="dxa"/>
            <w:vAlign w:val="bottom"/>
            <w:tcBorders>
              <w:top w:val="single" w:sz="8" w:color="1352DE"/>
            </w:tcBorders>
          </w:tcPr>
          <w:p>
            <w:pPr>
              <w:jc w:val="right"/>
              <w:spacing w:after="0"/>
              <w:rPr>
                <w:sz w:val="20"/>
                <w:szCs w:val="20"/>
                <w:color w:val="auto"/>
              </w:rPr>
            </w:pPr>
            <w:r>
              <w:rPr>
                <w:rFonts w:ascii="Arial" w:cs="Arial" w:eastAsia="Arial" w:hAnsi="Arial"/>
                <w:sz w:val="14"/>
                <w:szCs w:val="14"/>
                <w:b w:val="1"/>
                <w:bCs w:val="1"/>
                <w:color w:val="1352DE"/>
              </w:rPr>
              <w:t>4,352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40" w:type="dxa"/>
            <w:vAlign w:val="bottom"/>
          </w:tcPr>
          <w:p>
            <w:pPr>
              <w:ind w:left="20"/>
              <w:spacing w:after="0"/>
              <w:rPr>
                <w:sz w:val="20"/>
                <w:szCs w:val="20"/>
                <w:color w:val="auto"/>
              </w:rPr>
            </w:pPr>
            <w:r>
              <w:rPr>
                <w:rFonts w:ascii="Arial" w:cs="Arial" w:eastAsia="Arial" w:hAnsi="Arial"/>
                <w:sz w:val="13"/>
                <w:szCs w:val="13"/>
                <w:b w:val="1"/>
                <w:bCs w:val="1"/>
                <w:color w:val="1252DE"/>
              </w:rPr>
              <w:t>Reconciling items: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Changes in the fair values of equity securities and AIG's investment in Corebridge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1352DE"/>
              </w:rPr>
              <w:t>(67)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40"/>
              <w:spacing w:after="0"/>
              <w:rPr>
                <w:sz w:val="20"/>
                <w:szCs w:val="20"/>
                <w:color w:val="auto"/>
              </w:rPr>
            </w:pPr>
            <w:r>
              <w:rPr>
                <w:rFonts w:ascii="Arial" w:cs="Arial" w:eastAsia="Arial" w:hAnsi="Arial"/>
                <w:sz w:val="13"/>
                <w:szCs w:val="13"/>
                <w:color w:val="auto"/>
              </w:rPr>
              <w:t>Other income (expense) - net</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1352DE"/>
              </w:rPr>
              <w:t>—</w:t>
            </w:r>
          </w:p>
        </w:tc>
        <w:tc>
          <w:tcPr>
            <w:tcW w:w="0" w:type="dxa"/>
            <w:vAlign w:val="bottom"/>
          </w:tcPr>
          <w:p>
            <w:pPr>
              <w:spacing w:after="0"/>
              <w:rPr>
                <w:sz w:val="1"/>
                <w:szCs w:val="1"/>
                <w:color w:val="auto"/>
              </w:rPr>
            </w:pPr>
          </w:p>
        </w:tc>
      </w:tr>
      <w:tr>
        <w:trPr>
          <w:trHeight w:val="203"/>
        </w:trPr>
        <w:tc>
          <w:tcPr>
            <w:tcW w:w="4220" w:type="dxa"/>
            <w:vAlign w:val="bottom"/>
            <w:gridSpan w:val="5"/>
          </w:tcPr>
          <w:p>
            <w:pPr>
              <w:ind w:left="140"/>
              <w:spacing w:after="0"/>
              <w:rPr>
                <w:sz w:val="20"/>
                <w:szCs w:val="20"/>
                <w:color w:val="auto"/>
              </w:rPr>
            </w:pPr>
            <w:r>
              <w:rPr>
                <w:rFonts w:ascii="Arial" w:cs="Arial" w:eastAsia="Arial" w:hAnsi="Arial"/>
                <w:sz w:val="13"/>
                <w:szCs w:val="13"/>
                <w:color w:val="auto"/>
              </w:rPr>
              <w:t>Net investment income on Fortitude Re funds withheld assets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75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4"/>
          </w:tcPr>
          <w:p>
            <w:pPr>
              <w:ind w:left="140"/>
              <w:spacing w:after="0"/>
              <w:rPr>
                <w:sz w:val="20"/>
                <w:szCs w:val="20"/>
                <w:color w:val="auto"/>
              </w:rPr>
            </w:pPr>
            <w:r>
              <w:rPr>
                <w:rFonts w:ascii="Arial" w:cs="Arial" w:eastAsia="Arial" w:hAnsi="Arial"/>
                <w:sz w:val="13"/>
                <w:szCs w:val="13"/>
                <w:color w:val="auto"/>
              </w:rPr>
              <w:t>Net realized losses on Fortitude Re funds withheld assets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Net realized gains (losses) on Fortitude Re funds withheld embedded derivative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tcPr>
          <w:p>
            <w:pPr>
              <w:ind w:left="140"/>
              <w:spacing w:after="0"/>
              <w:rPr>
                <w:sz w:val="20"/>
                <w:szCs w:val="20"/>
                <w:color w:val="auto"/>
              </w:rPr>
            </w:pPr>
            <w:r>
              <w:rPr>
                <w:rFonts w:ascii="Arial" w:cs="Arial" w:eastAsia="Arial" w:hAnsi="Arial"/>
                <w:sz w:val="13"/>
                <w:szCs w:val="13"/>
                <w:color w:val="auto"/>
              </w:rPr>
              <w:t>Net realized losses</w:t>
            </w:r>
            <w:r>
              <w:rPr>
                <w:rFonts w:ascii="Arial" w:cs="Arial" w:eastAsia="Arial" w:hAnsi="Arial"/>
                <w:sz w:val="18"/>
                <w:szCs w:val="18"/>
                <w:color w:val="auto"/>
                <w:vertAlign w:val="superscript"/>
              </w:rPr>
              <w:t>(d)</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gridSpan w:val="2"/>
          </w:tcPr>
          <w:p>
            <w:pPr>
              <w:ind w:left="140"/>
              <w:spacing w:after="0" w:line="202" w:lineRule="exact"/>
              <w:rPr>
                <w:sz w:val="20"/>
                <w:szCs w:val="20"/>
                <w:color w:val="auto"/>
              </w:rPr>
            </w:pPr>
            <w:r>
              <w:rPr>
                <w:rFonts w:ascii="Arial" w:cs="Arial" w:eastAsia="Arial" w:hAnsi="Arial"/>
                <w:sz w:val="13"/>
                <w:szCs w:val="13"/>
                <w:color w:val="auto"/>
              </w:rPr>
              <w:t>Net gain (loss) on divestitures and other</w:t>
            </w:r>
            <w:r>
              <w:rPr>
                <w:rFonts w:ascii="Arial" w:cs="Arial" w:eastAsia="Arial" w:hAnsi="Arial"/>
                <w:sz w:val="18"/>
                <w:szCs w:val="18"/>
                <w:color w:val="auto"/>
                <w:vertAlign w:val="superscript"/>
              </w:rPr>
              <w:t>(e)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40" w:type="dxa"/>
            <w:vAlign w:val="bottom"/>
            <w:gridSpan w:val="14"/>
          </w:tcPr>
          <w:p>
            <w:pPr>
              <w:ind w:left="140"/>
              <w:spacing w:after="0"/>
              <w:rPr>
                <w:sz w:val="20"/>
                <w:szCs w:val="20"/>
                <w:color w:val="auto"/>
              </w:rPr>
            </w:pPr>
            <w:r>
              <w:rPr>
                <w:rFonts w:ascii="Arial" w:cs="Arial" w:eastAsia="Arial" w:hAnsi="Arial"/>
                <w:sz w:val="13"/>
                <w:szCs w:val="13"/>
                <w:color w:val="auto"/>
              </w:rPr>
              <w:t>(Unfavorable) favorable prior year development and related amortization changes ceded under retroactive reinsurance agreements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40"/>
              <w:spacing w:after="0"/>
              <w:rPr>
                <w:sz w:val="20"/>
                <w:szCs w:val="20"/>
                <w:color w:val="auto"/>
              </w:rPr>
            </w:pPr>
            <w:r>
              <w:rPr>
                <w:rFonts w:ascii="Arial" w:cs="Arial" w:eastAsia="Arial" w:hAnsi="Arial"/>
                <w:sz w:val="13"/>
                <w:szCs w:val="13"/>
                <w:color w:val="auto"/>
              </w:rPr>
              <w:t>Net loss reserve discount charge</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tcPr>
          <w:p>
            <w:pPr>
              <w:ind w:left="140"/>
              <w:spacing w:after="0"/>
              <w:rPr>
                <w:sz w:val="20"/>
                <w:szCs w:val="20"/>
                <w:color w:val="auto"/>
              </w:rPr>
            </w:pPr>
            <w:r>
              <w:rPr>
                <w:rFonts w:ascii="Arial" w:cs="Arial" w:eastAsia="Arial" w:hAnsi="Arial"/>
                <w:sz w:val="13"/>
                <w:szCs w:val="13"/>
                <w:color w:val="auto"/>
              </w:rPr>
              <w:t>Net results of businesses in run-off</w:t>
            </w:r>
            <w:r>
              <w:rPr>
                <w:rFonts w:ascii="Arial" w:cs="Arial" w:eastAsia="Arial" w:hAnsi="Arial"/>
                <w:sz w:val="17"/>
                <w:szCs w:val="17"/>
                <w:color w:val="auto"/>
                <w:vertAlign w:val="superscript"/>
              </w:rPr>
              <w:t>(f)</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28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140"/>
              <w:spacing w:after="0"/>
              <w:rPr>
                <w:sz w:val="20"/>
                <w:szCs w:val="20"/>
                <w:color w:val="auto"/>
              </w:rPr>
            </w:pPr>
            <w:r>
              <w:rPr>
                <w:rFonts w:ascii="Arial" w:cs="Arial" w:eastAsia="Arial" w:hAnsi="Arial"/>
                <w:sz w:val="13"/>
                <w:szCs w:val="13"/>
                <w:color w:val="auto"/>
              </w:rPr>
              <w:t>Non-operating pension expenses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Integration and transaction costs associated with acquiring or divesting businesses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40"/>
              <w:spacing w:after="0"/>
              <w:rPr>
                <w:sz w:val="20"/>
                <w:szCs w:val="20"/>
                <w:color w:val="auto"/>
              </w:rPr>
            </w:pPr>
            <w:r>
              <w:rPr>
                <w:rFonts w:ascii="Arial" w:cs="Arial" w:eastAsia="Arial" w:hAnsi="Arial"/>
                <w:sz w:val="13"/>
                <w:szCs w:val="13"/>
                <w:color w:val="auto"/>
              </w:rPr>
              <w:t>Restructuring and other costs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20" w:type="dxa"/>
            <w:vAlign w:val="bottom"/>
            <w:tcBorders>
              <w:bottom w:val="single" w:sz="8" w:color="1352DE"/>
            </w:tcBorders>
            <w:gridSpan w:val="5"/>
          </w:tcPr>
          <w:p>
            <w:pPr>
              <w:ind w:left="140"/>
              <w:spacing w:after="0"/>
              <w:rPr>
                <w:sz w:val="20"/>
                <w:szCs w:val="20"/>
                <w:color w:val="auto"/>
              </w:rPr>
            </w:pPr>
            <w:r>
              <w:rPr>
                <w:rFonts w:ascii="Arial" w:cs="Arial" w:eastAsia="Arial" w:hAnsi="Arial"/>
                <w:sz w:val="13"/>
                <w:szCs w:val="13"/>
                <w:color w:val="auto"/>
              </w:rPr>
              <w:t>Non-recurring costs related to regulatory or accounting changes</w:t>
            </w: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b w:val="1"/>
                <w:bCs w:val="1"/>
                <w:color w:val="1352DE"/>
              </w:rPr>
              <w:t>—</w:t>
            </w:r>
          </w:p>
        </w:tc>
        <w:tc>
          <w:tcPr>
            <w:tcW w:w="18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Total AIG Consolidated</w:t>
            </w:r>
          </w:p>
        </w:tc>
        <w:tc>
          <w:tcPr>
            <w:tcW w:w="2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b w:val="1"/>
                <w:bCs w:val="1"/>
                <w:color w:val="1352DE"/>
              </w:rPr>
              <w:t>2,939</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30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3,370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bottom w:val="single" w:sz="8" w:color="001770"/>
            </w:tcBorders>
          </w:tcPr>
          <w:p>
            <w:pPr>
              <w:spacing w:after="0"/>
              <w:rPr>
                <w:sz w:val="24"/>
                <w:szCs w:val="24"/>
                <w:color w:val="auto"/>
              </w:rPr>
            </w:pPr>
          </w:p>
        </w:tc>
        <w:tc>
          <w:tcPr>
            <w:tcW w:w="180" w:type="dxa"/>
            <w:vAlign w:val="bottom"/>
            <w:tcBorders>
              <w:bottom w:val="single" w:sz="8" w:color="001770"/>
            </w:tcBorders>
          </w:tcPr>
          <w:p>
            <w:pPr>
              <w:spacing w:after="0"/>
              <w:rPr>
                <w:sz w:val="24"/>
                <w:szCs w:val="24"/>
                <w:color w:val="auto"/>
              </w:rPr>
            </w:pPr>
          </w:p>
        </w:tc>
        <w:tc>
          <w:tcPr>
            <w:tcW w:w="2260" w:type="dxa"/>
            <w:vAlign w:val="bottom"/>
            <w:tcBorders>
              <w:bottom w:val="single" w:sz="8" w:color="001770"/>
            </w:tcBorders>
            <w:gridSpan w:val="5"/>
          </w:tcPr>
          <w:p>
            <w:pPr>
              <w:spacing w:after="0"/>
              <w:rPr>
                <w:sz w:val="24"/>
                <w:szCs w:val="24"/>
                <w:color w:val="auto"/>
              </w:rPr>
            </w:pPr>
          </w:p>
        </w:tc>
        <w:tc>
          <w:tcPr>
            <w:tcW w:w="640" w:type="dxa"/>
            <w:vAlign w:val="bottom"/>
            <w:tcBorders>
              <w:bottom w:val="single" w:sz="8" w:color="001770"/>
            </w:tcBorders>
          </w:tcPr>
          <w:p>
            <w:pPr>
              <w:spacing w:after="0"/>
              <w:rPr>
                <w:sz w:val="24"/>
                <w:szCs w:val="24"/>
                <w:color w:val="auto"/>
              </w:rPr>
            </w:pPr>
          </w:p>
        </w:tc>
        <w:tc>
          <w:tcPr>
            <w:tcW w:w="20" w:type="dxa"/>
            <w:vAlign w:val="bottom"/>
            <w:tcBorders>
              <w:bottom w:val="single" w:sz="8" w:color="001770"/>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5"/>
          </w:tcPr>
          <w:p>
            <w:pPr>
              <w:ind w:left="320"/>
              <w:spacing w:after="0"/>
              <w:rPr>
                <w:sz w:val="20"/>
                <w:szCs w:val="20"/>
                <w:color w:val="auto"/>
              </w:rPr>
            </w:pPr>
            <w:r>
              <w:rPr>
                <w:rFonts w:ascii="Arial" w:cs="Arial" w:eastAsia="Arial" w:hAnsi="Arial"/>
                <w:sz w:val="12"/>
                <w:szCs w:val="12"/>
                <w:color w:val="auto"/>
                <w:w w:val="99"/>
              </w:rPr>
              <w:t>AIG | Third Quarter 2026 Form 10-Q</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4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3.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234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1252DE"/>
        </w:rPr>
        <w:t>Nine Months Ended September 30,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560" w:type="dxa"/>
            <w:vAlign w:val="bottom"/>
            <w:tcBorders>
              <w:top w:val="single" w:sz="8" w:color="1352DE"/>
            </w:tcBorders>
          </w:tcPr>
          <w:p>
            <w:pPr>
              <w:spacing w:after="0"/>
              <w:rPr>
                <w:sz w:val="11"/>
                <w:szCs w:val="11"/>
                <w:color w:val="auto"/>
              </w:rPr>
            </w:pPr>
          </w:p>
        </w:tc>
        <w:tc>
          <w:tcPr>
            <w:tcW w:w="160" w:type="dxa"/>
            <w:vAlign w:val="bottom"/>
            <w:tcBorders>
              <w:top w:val="single" w:sz="8" w:color="1352DE"/>
            </w:tcBorders>
          </w:tcPr>
          <w:p>
            <w:pPr>
              <w:spacing w:after="0"/>
              <w:rPr>
                <w:sz w:val="11"/>
                <w:szCs w:val="11"/>
                <w:color w:val="auto"/>
              </w:rPr>
            </w:pPr>
          </w:p>
        </w:tc>
        <w:tc>
          <w:tcPr>
            <w:tcW w:w="6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640" w:type="dxa"/>
            <w:vAlign w:val="bottom"/>
            <w:tcBorders>
              <w:top w:val="single" w:sz="8" w:color="1352DE"/>
            </w:tcBorders>
          </w:tcPr>
          <w:p>
            <w:pPr>
              <w:spacing w:after="0"/>
              <w:rPr>
                <w:sz w:val="11"/>
                <w:szCs w:val="11"/>
                <w:color w:val="auto"/>
              </w:rPr>
            </w:pPr>
          </w:p>
        </w:tc>
        <w:tc>
          <w:tcPr>
            <w:tcW w:w="160" w:type="dxa"/>
            <w:vAlign w:val="bottom"/>
            <w:tcBorders>
              <w:top w:val="single" w:sz="8" w:color="1352DE"/>
            </w:tcBorders>
          </w:tcPr>
          <w:p>
            <w:pPr>
              <w:spacing w:after="0"/>
              <w:rPr>
                <w:sz w:val="11"/>
                <w:szCs w:val="11"/>
                <w:color w:val="auto"/>
              </w:rPr>
            </w:pPr>
          </w:p>
        </w:tc>
        <w:tc>
          <w:tcPr>
            <w:tcW w:w="780" w:type="dxa"/>
            <w:vAlign w:val="bottom"/>
            <w:tcBorders>
              <w:top w:val="single" w:sz="8" w:color="1352DE"/>
            </w:tcBorders>
          </w:tcPr>
          <w:p>
            <w:pPr>
              <w:jc w:val="right"/>
              <w:spacing w:after="0" w:line="138" w:lineRule="exact"/>
              <w:rPr>
                <w:sz w:val="20"/>
                <w:szCs w:val="20"/>
                <w:color w:val="auto"/>
              </w:rPr>
            </w:pPr>
            <w:r>
              <w:rPr>
                <w:rFonts w:ascii="Arial" w:cs="Arial" w:eastAsia="Arial" w:hAnsi="Arial"/>
                <w:sz w:val="13"/>
                <w:szCs w:val="13"/>
                <w:color w:val="1252DE"/>
              </w:rPr>
              <w:t>Losses</w:t>
            </w:r>
          </w:p>
        </w:tc>
        <w:tc>
          <w:tcPr>
            <w:tcW w:w="160" w:type="dxa"/>
            <w:vAlign w:val="bottom"/>
            <w:tcBorders>
              <w:top w:val="single" w:sz="8" w:color="1352DE"/>
            </w:tcBorders>
          </w:tcPr>
          <w:p>
            <w:pPr>
              <w:spacing w:after="0"/>
              <w:rPr>
                <w:sz w:val="11"/>
                <w:szCs w:val="11"/>
                <w:color w:val="auto"/>
              </w:rPr>
            </w:pPr>
          </w:p>
        </w:tc>
        <w:tc>
          <w:tcPr>
            <w:tcW w:w="840" w:type="dxa"/>
            <w:vAlign w:val="bottom"/>
            <w:tcBorders>
              <w:top w:val="single" w:sz="8" w:color="1352DE"/>
            </w:tcBorders>
          </w:tcPr>
          <w:p>
            <w:pPr>
              <w:spacing w:after="0"/>
              <w:rPr>
                <w:sz w:val="11"/>
                <w:szCs w:val="11"/>
                <w:color w:val="auto"/>
              </w:rPr>
            </w:pPr>
          </w:p>
        </w:tc>
        <w:tc>
          <w:tcPr>
            <w:tcW w:w="140" w:type="dxa"/>
            <w:vAlign w:val="bottom"/>
            <w:tcBorders>
              <w:top w:val="single" w:sz="8" w:color="1352DE"/>
            </w:tcBorders>
          </w:tcPr>
          <w:p>
            <w:pPr>
              <w:spacing w:after="0"/>
              <w:rPr>
                <w:sz w:val="11"/>
                <w:szCs w:val="11"/>
                <w:color w:val="auto"/>
              </w:rPr>
            </w:pPr>
          </w:p>
        </w:tc>
        <w:tc>
          <w:tcPr>
            <w:tcW w:w="7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88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84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760" w:type="dxa"/>
            <w:vAlign w:val="bottom"/>
            <w:tcBorders>
              <w:top w:val="single" w:sz="8" w:color="1352DE"/>
            </w:tcBorders>
          </w:tcPr>
          <w:p>
            <w:pPr>
              <w:spacing w:after="0"/>
              <w:rPr>
                <w:sz w:val="11"/>
                <w:szCs w:val="11"/>
                <w:color w:val="auto"/>
              </w:rPr>
            </w:pPr>
          </w:p>
        </w:tc>
        <w:tc>
          <w:tcPr>
            <w:tcW w:w="180" w:type="dxa"/>
            <w:vAlign w:val="bottom"/>
            <w:tcBorders>
              <w:top w:val="single" w:sz="8" w:color="1352DE"/>
            </w:tcBorders>
          </w:tcPr>
          <w:p>
            <w:pPr>
              <w:spacing w:after="0"/>
              <w:rPr>
                <w:sz w:val="11"/>
                <w:szCs w:val="11"/>
                <w:color w:val="auto"/>
              </w:rPr>
            </w:pPr>
          </w:p>
        </w:tc>
        <w:tc>
          <w:tcPr>
            <w:tcW w:w="940" w:type="dxa"/>
            <w:vAlign w:val="bottom"/>
            <w:tcBorders>
              <w:top w:val="single" w:sz="8" w:color="1352DE"/>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and Loss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center"/>
              <w:ind w:left="330"/>
              <w:spacing w:after="0"/>
              <w:rPr>
                <w:sz w:val="20"/>
                <w:szCs w:val="20"/>
                <w:color w:val="auto"/>
              </w:rPr>
            </w:pPr>
            <w:r>
              <w:rPr>
                <w:rFonts w:ascii="Arial" w:cs="Arial" w:eastAsia="Arial" w:hAnsi="Arial"/>
                <w:sz w:val="13"/>
                <w:szCs w:val="13"/>
                <w:color w:val="1252DE"/>
              </w:rPr>
              <w:t>Other</w:t>
            </w: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1252DE"/>
              </w:rPr>
              <w:t>General</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1252DE"/>
              </w:rPr>
              <w:t>Underwriting</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1252DE"/>
              </w:rPr>
              <w:t>Net</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1252DE"/>
              </w:rPr>
              <w:t>Reconciliation</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1252DE"/>
              </w:rPr>
              <w:t>Adjustment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1252DE"/>
              </w:rPr>
              <w:t>Amortization</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1252DE"/>
              </w:rPr>
              <w:t>Premiums</w:t>
            </w:r>
          </w:p>
        </w:tc>
        <w:tc>
          <w:tcPr>
            <w:tcW w:w="1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1252DE"/>
              </w:rPr>
              <w:t>Premiums</w:t>
            </w:r>
          </w:p>
        </w:tc>
        <w:tc>
          <w:tcPr>
            <w:tcW w:w="16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1252DE"/>
              </w:rPr>
              <w:t>Expenses</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1252DE"/>
              </w:rPr>
              <w:t>Acquisition</w:t>
            </w:r>
          </w:p>
        </w:tc>
        <w:tc>
          <w:tcPr>
            <w:tcW w:w="18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color w:val="1252DE"/>
              </w:rPr>
              <w:t>Operating</w:t>
            </w:r>
          </w:p>
        </w:tc>
        <w:tc>
          <w:tcPr>
            <w:tcW w:w="18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1252DE"/>
              </w:rPr>
              <w:t>Income</w:t>
            </w:r>
          </w:p>
        </w:tc>
        <w:tc>
          <w:tcPr>
            <w:tcW w:w="18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color w:val="1252DE"/>
              </w:rPr>
              <w:t>Investment</w:t>
            </w:r>
          </w:p>
        </w:tc>
        <w:tc>
          <w:tcPr>
            <w:tcW w:w="180" w:type="dxa"/>
            <w:vAlign w:val="bottom"/>
          </w:tcPr>
          <w:p>
            <w:pPr>
              <w:spacing w:after="0"/>
              <w:rPr>
                <w:sz w:val="11"/>
                <w:szCs w:val="11"/>
                <w:color w:val="auto"/>
              </w:rPr>
            </w:pPr>
          </w:p>
        </w:tc>
        <w:tc>
          <w:tcPr>
            <w:tcW w:w="940" w:type="dxa"/>
            <w:vAlign w:val="bottom"/>
          </w:tcPr>
          <w:p>
            <w:pPr>
              <w:jc w:val="right"/>
              <w:spacing w:after="0" w:line="134" w:lineRule="exact"/>
              <w:rPr>
                <w:sz w:val="20"/>
                <w:szCs w:val="20"/>
                <w:color w:val="auto"/>
              </w:rPr>
            </w:pPr>
            <w:r>
              <w:rPr>
                <w:rFonts w:ascii="Arial" w:cs="Arial" w:eastAsia="Arial" w:hAnsi="Arial"/>
                <w:sz w:val="13"/>
                <w:szCs w:val="13"/>
                <w:color w:val="1252DE"/>
              </w:rPr>
              <w:t>to Pre-tax</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6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Written</w:t>
            </w:r>
          </w:p>
        </w:tc>
        <w:tc>
          <w:tcPr>
            <w:tcW w:w="18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Earned</w:t>
            </w:r>
          </w:p>
        </w:tc>
        <w:tc>
          <w:tcPr>
            <w:tcW w:w="16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line="189" w:lineRule="exact"/>
              <w:rPr>
                <w:sz w:val="20"/>
                <w:szCs w:val="20"/>
                <w:color w:val="auto"/>
              </w:rPr>
            </w:pPr>
            <w:r>
              <w:rPr>
                <w:rFonts w:ascii="Arial" w:cs="Arial" w:eastAsia="Arial" w:hAnsi="Arial"/>
                <w:sz w:val="13"/>
                <w:szCs w:val="13"/>
                <w:color w:val="1252DE"/>
              </w:rPr>
              <w:t>Incurred</w:t>
            </w:r>
            <w:r>
              <w:rPr>
                <w:rFonts w:ascii="Arial" w:cs="Arial" w:eastAsia="Arial" w:hAnsi="Arial"/>
                <w:sz w:val="17"/>
                <w:szCs w:val="17"/>
                <w:color w:val="1252DE"/>
                <w:vertAlign w:val="superscript"/>
              </w:rPr>
              <w:t>(a)</w:t>
            </w:r>
          </w:p>
        </w:tc>
        <w:tc>
          <w:tcPr>
            <w:tcW w:w="16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line="189" w:lineRule="exact"/>
              <w:rPr>
                <w:sz w:val="20"/>
                <w:szCs w:val="20"/>
                <w:color w:val="auto"/>
              </w:rPr>
            </w:pPr>
            <w:r>
              <w:rPr>
                <w:rFonts w:ascii="Arial" w:cs="Arial" w:eastAsia="Arial" w:hAnsi="Arial"/>
                <w:sz w:val="13"/>
                <w:szCs w:val="13"/>
                <w:color w:val="1252DE"/>
              </w:rPr>
              <w:t>of DAC</w:t>
            </w:r>
            <w:r>
              <w:rPr>
                <w:rFonts w:ascii="Arial" w:cs="Arial" w:eastAsia="Arial" w:hAnsi="Arial"/>
                <w:sz w:val="17"/>
                <w:szCs w:val="17"/>
                <w:color w:val="1252DE"/>
                <w:vertAlign w:val="superscript"/>
              </w:rPr>
              <w:t>(a)</w:t>
            </w:r>
          </w:p>
        </w:tc>
        <w:tc>
          <w:tcPr>
            <w:tcW w:w="14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line="189" w:lineRule="exact"/>
              <w:rPr>
                <w:sz w:val="20"/>
                <w:szCs w:val="20"/>
                <w:color w:val="auto"/>
              </w:rPr>
            </w:pPr>
            <w:r>
              <w:rPr>
                <w:rFonts w:ascii="Arial" w:cs="Arial" w:eastAsia="Arial" w:hAnsi="Arial"/>
                <w:sz w:val="13"/>
                <w:szCs w:val="13"/>
                <w:color w:val="1252DE"/>
              </w:rPr>
              <w:t>Expenses</w:t>
            </w:r>
            <w:r>
              <w:rPr>
                <w:rFonts w:ascii="Arial" w:cs="Arial" w:eastAsia="Arial" w:hAnsi="Arial"/>
                <w:sz w:val="17"/>
                <w:szCs w:val="17"/>
                <w:color w:val="1252DE"/>
                <w:vertAlign w:val="superscript"/>
              </w:rPr>
              <w:t>(a)</w:t>
            </w:r>
          </w:p>
        </w:tc>
        <w:tc>
          <w:tcPr>
            <w:tcW w:w="180" w:type="dxa"/>
            <w:vAlign w:val="bottom"/>
            <w:tcBorders>
              <w:bottom w:val="single" w:sz="8" w:color="1352DE"/>
            </w:tcBorders>
          </w:tcPr>
          <w:p>
            <w:pPr>
              <w:spacing w:after="0"/>
              <w:rPr>
                <w:sz w:val="16"/>
                <w:szCs w:val="16"/>
                <w:color w:val="auto"/>
              </w:rPr>
            </w:pPr>
          </w:p>
        </w:tc>
        <w:tc>
          <w:tcPr>
            <w:tcW w:w="880" w:type="dxa"/>
            <w:vAlign w:val="bottom"/>
            <w:tcBorders>
              <w:bottom w:val="single" w:sz="8" w:color="1352DE"/>
            </w:tcBorders>
          </w:tcPr>
          <w:p>
            <w:pPr>
              <w:jc w:val="right"/>
              <w:spacing w:after="0" w:line="189" w:lineRule="exact"/>
              <w:rPr>
                <w:sz w:val="20"/>
                <w:szCs w:val="20"/>
                <w:color w:val="auto"/>
              </w:rPr>
            </w:pPr>
            <w:r>
              <w:rPr>
                <w:rFonts w:ascii="Arial" w:cs="Arial" w:eastAsia="Arial" w:hAnsi="Arial"/>
                <w:sz w:val="13"/>
                <w:szCs w:val="13"/>
                <w:color w:val="1252DE"/>
              </w:rPr>
              <w:t>Expenses</w:t>
            </w:r>
            <w:r>
              <w:rPr>
                <w:rFonts w:ascii="Arial" w:cs="Arial" w:eastAsia="Arial" w:hAnsi="Arial"/>
                <w:sz w:val="17"/>
                <w:szCs w:val="17"/>
                <w:color w:val="1252DE"/>
                <w:vertAlign w:val="superscript"/>
              </w:rPr>
              <w:t>(a)(b)</w:t>
            </w:r>
          </w:p>
        </w:tc>
        <w:tc>
          <w:tcPr>
            <w:tcW w:w="18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(Loss)</w:t>
            </w:r>
          </w:p>
        </w:tc>
        <w:tc>
          <w:tcPr>
            <w:tcW w:w="18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Income</w:t>
            </w:r>
          </w:p>
        </w:tc>
        <w:tc>
          <w:tcPr>
            <w:tcW w:w="18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Income (Loss)</w:t>
            </w:r>
          </w:p>
        </w:tc>
        <w:tc>
          <w:tcPr>
            <w:tcW w:w="0" w:type="dxa"/>
            <w:vAlign w:val="bottom"/>
          </w:tcPr>
          <w:p>
            <w:pPr>
              <w:spacing w:after="0"/>
              <w:rPr>
                <w:sz w:val="1"/>
                <w:szCs w:val="1"/>
                <w:color w:val="auto"/>
              </w:rPr>
            </w:pPr>
          </w:p>
        </w:tc>
      </w:tr>
      <w:tr>
        <w:trPr>
          <w:trHeight w:val="188"/>
        </w:trPr>
        <w:tc>
          <w:tcPr>
            <w:tcW w:w="2560" w:type="dxa"/>
            <w:vAlign w:val="bottom"/>
          </w:tcPr>
          <w:p>
            <w:pPr>
              <w:ind w:left="20"/>
              <w:spacing w:after="0"/>
              <w:rPr>
                <w:sz w:val="20"/>
                <w:szCs w:val="20"/>
                <w:color w:val="auto"/>
              </w:rPr>
            </w:pPr>
            <w:r>
              <w:rPr>
                <w:rFonts w:ascii="Arial" w:cs="Arial" w:eastAsia="Arial" w:hAnsi="Arial"/>
                <w:sz w:val="13"/>
                <w:szCs w:val="13"/>
                <w:color w:val="auto"/>
              </w:rPr>
              <w:t>North America Commercial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6,472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6,455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4,169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654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center"/>
              <w:ind w:left="350"/>
              <w:spacing w:after="0"/>
              <w:rPr>
                <w:sz w:val="20"/>
                <w:szCs w:val="20"/>
                <w:color w:val="auto"/>
              </w:rPr>
            </w:pPr>
            <w:r>
              <w:rPr>
                <w:rFonts w:ascii="Arial" w:cs="Arial" w:eastAsia="Arial" w:hAnsi="Arial"/>
                <w:sz w:val="14"/>
                <w:szCs w:val="14"/>
                <w:color w:val="auto"/>
              </w:rPr>
              <w:t>137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814</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rPr>
                <w:sz w:val="20"/>
                <w:szCs w:val="20"/>
                <w:color w:val="auto"/>
              </w:rPr>
            </w:pPr>
            <w:r>
              <w:rPr>
                <w:rFonts w:ascii="Arial" w:cs="Arial" w:eastAsia="Arial" w:hAnsi="Arial"/>
                <w:sz w:val="13"/>
                <w:szCs w:val="13"/>
                <w:color w:val="auto"/>
              </w:rPr>
              <w:t>International Commercial</w:t>
            </w:r>
          </w:p>
        </w:tc>
        <w:tc>
          <w:tcPr>
            <w:tcW w:w="160" w:type="dxa"/>
            <w:vAlign w:val="bottom"/>
          </w:tcPr>
          <w:p>
            <w:pPr>
              <w:spacing w:after="0"/>
              <w:rPr>
                <w:sz w:val="17"/>
                <w:szCs w:val="17"/>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6,467</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6,363</w:t>
            </w:r>
          </w:p>
        </w:tc>
        <w:tc>
          <w:tcPr>
            <w:tcW w:w="16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3,515</w:t>
            </w:r>
          </w:p>
        </w:tc>
        <w:tc>
          <w:tcPr>
            <w:tcW w:w="16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799</w:t>
            </w:r>
          </w:p>
        </w:tc>
        <w:tc>
          <w:tcPr>
            <w:tcW w:w="140" w:type="dxa"/>
            <w:vAlign w:val="bottom"/>
          </w:tcPr>
          <w:p>
            <w:pPr>
              <w:spacing w:after="0"/>
              <w:rPr>
                <w:sz w:val="17"/>
                <w:szCs w:val="17"/>
                <w:color w:val="auto"/>
              </w:rPr>
            </w:pPr>
          </w:p>
        </w:tc>
        <w:tc>
          <w:tcPr>
            <w:tcW w:w="780" w:type="dxa"/>
            <w:vAlign w:val="bottom"/>
          </w:tcPr>
          <w:p>
            <w:pPr>
              <w:jc w:val="center"/>
              <w:ind w:left="350"/>
              <w:spacing w:after="0"/>
              <w:rPr>
                <w:sz w:val="20"/>
                <w:szCs w:val="20"/>
                <w:color w:val="auto"/>
              </w:rPr>
            </w:pPr>
            <w:r>
              <w:rPr>
                <w:rFonts w:ascii="Arial" w:cs="Arial" w:eastAsia="Arial" w:hAnsi="Arial"/>
                <w:sz w:val="14"/>
                <w:szCs w:val="14"/>
                <w:color w:val="auto"/>
              </w:rPr>
              <w:t>274</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905</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870</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6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Global Personal</w:t>
            </w:r>
          </w:p>
        </w:tc>
        <w:tc>
          <w:tcPr>
            <w:tcW w:w="16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color w:val="auto"/>
              </w:rPr>
              <w:t>4,697</w:t>
            </w: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4,869</w:t>
            </w: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11"/>
              <w:spacing w:after="0"/>
              <w:rPr>
                <w:sz w:val="20"/>
                <w:szCs w:val="20"/>
                <w:color w:val="auto"/>
              </w:rPr>
            </w:pPr>
            <w:r>
              <w:rPr>
                <w:rFonts w:ascii="Arial" w:cs="Arial" w:eastAsia="Arial" w:hAnsi="Arial"/>
                <w:sz w:val="14"/>
                <w:szCs w:val="14"/>
                <w:color w:val="auto"/>
              </w:rPr>
              <w:t>2,889</w:t>
            </w: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color w:val="auto"/>
              </w:rPr>
              <w:t>1,069</w:t>
            </w: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center"/>
              <w:ind w:left="350"/>
              <w:spacing w:after="0"/>
              <w:rPr>
                <w:sz w:val="20"/>
                <w:szCs w:val="20"/>
                <w:color w:val="auto"/>
              </w:rPr>
            </w:pPr>
            <w:r>
              <w:rPr>
                <w:rFonts w:ascii="Arial" w:cs="Arial" w:eastAsia="Arial" w:hAnsi="Arial"/>
                <w:sz w:val="14"/>
                <w:szCs w:val="14"/>
                <w:color w:val="auto"/>
              </w:rPr>
              <w:t>259</w:t>
            </w: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674</w:t>
            </w: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1352DE"/>
            </w:tcBorders>
          </w:tcPr>
          <w:p>
            <w:pPr>
              <w:ind w:left="160"/>
              <w:spacing w:after="0" w:line="202" w:lineRule="exact"/>
              <w:rPr>
                <w:sz w:val="20"/>
                <w:szCs w:val="20"/>
                <w:color w:val="auto"/>
              </w:rPr>
            </w:pPr>
            <w:r>
              <w:rPr>
                <w:rFonts w:ascii="Arial" w:cs="Arial" w:eastAsia="Arial" w:hAnsi="Arial"/>
                <w:sz w:val="14"/>
                <w:szCs w:val="14"/>
                <w:b w:val="1"/>
                <w:bCs w:val="1"/>
                <w:color w:val="1252DE"/>
              </w:rPr>
              <w:t>Total General Insurance</w:t>
            </w:r>
            <w:r>
              <w:rPr>
                <w:rFonts w:ascii="Arial" w:cs="Arial" w:eastAsia="Arial" w:hAnsi="Arial"/>
                <w:sz w:val="18"/>
                <w:szCs w:val="18"/>
                <w:b w:val="1"/>
                <w:bCs w:val="1"/>
                <w:color w:val="1252DE"/>
                <w:vertAlign w:val="superscript"/>
              </w:rPr>
              <w:t>(c)</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color w:val="auto"/>
              </w:rPr>
              <w:t>17,636</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17,687</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1352DE"/>
            </w:tcBorders>
          </w:tcPr>
          <w:p>
            <w:pPr>
              <w:jc w:val="right"/>
              <w:ind w:right="11"/>
              <w:spacing w:after="0"/>
              <w:rPr>
                <w:sz w:val="20"/>
                <w:szCs w:val="20"/>
                <w:color w:val="auto"/>
              </w:rPr>
            </w:pPr>
            <w:r>
              <w:rPr>
                <w:rFonts w:ascii="Arial" w:cs="Arial" w:eastAsia="Arial" w:hAnsi="Arial"/>
                <w:sz w:val="14"/>
                <w:szCs w:val="14"/>
                <w:color w:val="auto"/>
              </w:rPr>
              <w:t>10,573</w:t>
            </w:r>
          </w:p>
        </w:tc>
        <w:tc>
          <w:tcPr>
            <w:tcW w:w="1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color w:val="auto"/>
              </w:rPr>
              <w:t>2,522</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1352DE"/>
            </w:tcBorders>
          </w:tcPr>
          <w:p>
            <w:pPr>
              <w:jc w:val="center"/>
              <w:ind w:left="350"/>
              <w:spacing w:after="0"/>
              <w:rPr>
                <w:sz w:val="20"/>
                <w:szCs w:val="20"/>
                <w:color w:val="auto"/>
              </w:rPr>
            </w:pPr>
            <w:r>
              <w:rPr>
                <w:rFonts w:ascii="Arial" w:cs="Arial" w:eastAsia="Arial" w:hAnsi="Arial"/>
                <w:sz w:val="14"/>
                <w:szCs w:val="14"/>
                <w:color w:val="auto"/>
              </w:rPr>
              <w:t>670</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2,260</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1,662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2,552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4,201</w:t>
            </w:r>
          </w:p>
        </w:tc>
        <w:tc>
          <w:tcPr>
            <w:tcW w:w="0" w:type="dxa"/>
            <w:vAlign w:val="bottom"/>
          </w:tcPr>
          <w:p>
            <w:pPr>
              <w:spacing w:after="0"/>
              <w:rPr>
                <w:sz w:val="1"/>
                <w:szCs w:val="1"/>
                <w:color w:val="auto"/>
              </w:rPr>
            </w:pPr>
          </w:p>
        </w:tc>
      </w:tr>
      <w:tr>
        <w:trPr>
          <w:trHeight w:val="174"/>
        </w:trPr>
        <w:tc>
          <w:tcPr>
            <w:tcW w:w="256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rPr>
                <w:sz w:val="20"/>
                <w:szCs w:val="20"/>
                <w:color w:val="auto"/>
              </w:rPr>
            </w:pPr>
            <w:r>
              <w:rPr>
                <w:rFonts w:ascii="Arial" w:cs="Arial" w:eastAsia="Arial" w:hAnsi="Arial"/>
                <w:sz w:val="13"/>
                <w:szCs w:val="13"/>
                <w:color w:val="auto"/>
              </w:rPr>
              <w:t>Other Operations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273</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auto"/>
              </w:rPr>
              <w:t>Elimination and consolidations</w:t>
            </w:r>
          </w:p>
        </w:tc>
        <w:tc>
          <w:tcPr>
            <w:tcW w:w="16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560" w:type="dxa"/>
            <w:vAlign w:val="bottom"/>
          </w:tcPr>
          <w:p>
            <w:pPr>
              <w:ind w:left="20"/>
              <w:spacing w:after="0"/>
              <w:rPr>
                <w:sz w:val="20"/>
                <w:szCs w:val="20"/>
                <w:color w:val="auto"/>
              </w:rPr>
            </w:pPr>
            <w:r>
              <w:rPr>
                <w:rFonts w:ascii="Arial" w:cs="Arial" w:eastAsia="Arial" w:hAnsi="Arial"/>
                <w:sz w:val="13"/>
                <w:szCs w:val="13"/>
                <w:b w:val="1"/>
                <w:bCs w:val="1"/>
                <w:color w:val="1252DE"/>
              </w:rPr>
              <w:t>Total</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2,824</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3,922</w:t>
            </w:r>
          </w:p>
        </w:tc>
        <w:tc>
          <w:tcPr>
            <w:tcW w:w="0" w:type="dxa"/>
            <w:vAlign w:val="bottom"/>
          </w:tcPr>
          <w:p>
            <w:pPr>
              <w:spacing w:after="0"/>
              <w:rPr>
                <w:sz w:val="1"/>
                <w:szCs w:val="1"/>
                <w:color w:val="auto"/>
              </w:rPr>
            </w:pPr>
          </w:p>
        </w:tc>
      </w:tr>
      <w:tr>
        <w:trPr>
          <w:trHeight w:val="189"/>
        </w:trPr>
        <w:tc>
          <w:tcPr>
            <w:tcW w:w="2560" w:type="dxa"/>
            <w:vAlign w:val="bottom"/>
          </w:tcPr>
          <w:p>
            <w:pPr>
              <w:ind w:left="20"/>
              <w:spacing w:after="0"/>
              <w:rPr>
                <w:sz w:val="20"/>
                <w:szCs w:val="20"/>
                <w:color w:val="auto"/>
              </w:rPr>
            </w:pPr>
            <w:r>
              <w:rPr>
                <w:rFonts w:ascii="Arial" w:cs="Arial" w:eastAsia="Arial" w:hAnsi="Arial"/>
                <w:sz w:val="13"/>
                <w:szCs w:val="13"/>
                <w:b w:val="1"/>
                <w:bCs w:val="1"/>
                <w:color w:val="1252DE"/>
              </w:rPr>
              <w:t>Reconciling items: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Changes in the fair values of equity securities and AIG's investment in Corebridge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393</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03"/>
        </w:trPr>
        <w:tc>
          <w:tcPr>
            <w:tcW w:w="2560" w:type="dxa"/>
            <w:vAlign w:val="bottom"/>
          </w:tcPr>
          <w:p>
            <w:pPr>
              <w:ind w:left="140"/>
              <w:spacing w:after="0"/>
              <w:rPr>
                <w:sz w:val="20"/>
                <w:szCs w:val="20"/>
                <w:color w:val="auto"/>
              </w:rPr>
            </w:pPr>
            <w:r>
              <w:rPr>
                <w:rFonts w:ascii="Arial" w:cs="Arial" w:eastAsia="Arial" w:hAnsi="Arial"/>
                <w:sz w:val="13"/>
                <w:szCs w:val="13"/>
                <w:color w:val="auto"/>
              </w:rPr>
              <w:t>Gain on extinguishment of debt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4220" w:type="dxa"/>
            <w:vAlign w:val="bottom"/>
            <w:gridSpan w:val="5"/>
          </w:tcPr>
          <w:p>
            <w:pPr>
              <w:ind w:left="140"/>
              <w:spacing w:after="0"/>
              <w:rPr>
                <w:sz w:val="20"/>
                <w:szCs w:val="20"/>
                <w:color w:val="auto"/>
              </w:rPr>
            </w:pPr>
            <w:r>
              <w:rPr>
                <w:rFonts w:ascii="Arial" w:cs="Arial" w:eastAsia="Arial" w:hAnsi="Arial"/>
                <w:sz w:val="13"/>
                <w:szCs w:val="13"/>
                <w:color w:val="auto"/>
              </w:rPr>
              <w:t>Net investment income on Fortitude Re funds withheld assets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108</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3"/>
        </w:trPr>
        <w:tc>
          <w:tcPr>
            <w:tcW w:w="3580" w:type="dxa"/>
            <w:vAlign w:val="bottom"/>
            <w:gridSpan w:val="4"/>
          </w:tcPr>
          <w:p>
            <w:pPr>
              <w:ind w:left="140"/>
              <w:spacing w:after="0"/>
              <w:rPr>
                <w:sz w:val="20"/>
                <w:szCs w:val="20"/>
                <w:color w:val="auto"/>
              </w:rPr>
            </w:pPr>
            <w:r>
              <w:rPr>
                <w:rFonts w:ascii="Arial" w:cs="Arial" w:eastAsia="Arial" w:hAnsi="Arial"/>
                <w:sz w:val="13"/>
                <w:szCs w:val="13"/>
                <w:color w:val="auto"/>
              </w:rPr>
              <w:t>Net realized losses on Fortitude Re funds withheld assets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3"/>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Net realized gains (losses) on Fortitude Re funds withheld embedded derivative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15"/>
        </w:trPr>
        <w:tc>
          <w:tcPr>
            <w:tcW w:w="2560" w:type="dxa"/>
            <w:vAlign w:val="bottom"/>
          </w:tcPr>
          <w:p>
            <w:pPr>
              <w:ind w:left="140"/>
              <w:spacing w:after="0"/>
              <w:rPr>
                <w:sz w:val="20"/>
                <w:szCs w:val="20"/>
                <w:color w:val="auto"/>
              </w:rPr>
            </w:pPr>
            <w:r>
              <w:rPr>
                <w:rFonts w:ascii="Arial" w:cs="Arial" w:eastAsia="Arial" w:hAnsi="Arial"/>
                <w:sz w:val="13"/>
                <w:szCs w:val="13"/>
                <w:color w:val="auto"/>
              </w:rPr>
              <w:t>Net realized losses</w:t>
            </w:r>
            <w:r>
              <w:rPr>
                <w:rFonts w:ascii="Arial" w:cs="Arial" w:eastAsia="Arial" w:hAnsi="Arial"/>
                <w:sz w:val="17"/>
                <w:szCs w:val="17"/>
                <w:color w:val="auto"/>
                <w:vertAlign w:val="superscript"/>
              </w:rPr>
              <w:t>(d)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0"/>
        </w:trPr>
        <w:tc>
          <w:tcPr>
            <w:tcW w:w="2560" w:type="dxa"/>
            <w:vAlign w:val="bottom"/>
          </w:tcPr>
          <w:p>
            <w:pPr>
              <w:ind w:left="140"/>
              <w:spacing w:after="0"/>
              <w:rPr>
                <w:sz w:val="20"/>
                <w:szCs w:val="20"/>
                <w:color w:val="auto"/>
              </w:rPr>
            </w:pPr>
            <w:r>
              <w:rPr>
                <w:rFonts w:ascii="Arial" w:cs="Arial" w:eastAsia="Arial" w:hAnsi="Arial"/>
                <w:sz w:val="13"/>
                <w:szCs w:val="13"/>
                <w:color w:val="auto"/>
              </w:rPr>
              <w:t>Net gain (loss) on divestitures and other</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3"/>
        </w:trPr>
        <w:tc>
          <w:tcPr>
            <w:tcW w:w="3400" w:type="dxa"/>
            <w:vAlign w:val="bottom"/>
            <w:gridSpan w:val="3"/>
          </w:tcPr>
          <w:p>
            <w:pPr>
              <w:ind w:left="140"/>
              <w:spacing w:after="0"/>
              <w:rPr>
                <w:sz w:val="20"/>
                <w:szCs w:val="20"/>
                <w:color w:val="auto"/>
              </w:rPr>
            </w:pPr>
            <w:r>
              <w:rPr>
                <w:rFonts w:ascii="Arial" w:cs="Arial" w:eastAsia="Arial" w:hAnsi="Arial"/>
                <w:sz w:val="13"/>
                <w:szCs w:val="13"/>
                <w:color w:val="auto"/>
              </w:rPr>
              <w:t>Non-operating litigation reserves and settlements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8140" w:type="dxa"/>
            <w:vAlign w:val="bottom"/>
            <w:gridSpan w:val="13"/>
          </w:tcPr>
          <w:p>
            <w:pPr>
              <w:ind w:left="140"/>
              <w:spacing w:after="0"/>
              <w:rPr>
                <w:sz w:val="20"/>
                <w:szCs w:val="20"/>
                <w:color w:val="auto"/>
              </w:rPr>
            </w:pPr>
            <w:r>
              <w:rPr>
                <w:rFonts w:ascii="Arial" w:cs="Arial" w:eastAsia="Arial" w:hAnsi="Arial"/>
                <w:sz w:val="13"/>
                <w:szCs w:val="13"/>
                <w:color w:val="auto"/>
              </w:rPr>
              <w:t>(Unfavorable) favorable prior year development and related amortization changes ceded under retroactive reinsurance agreements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3"/>
        </w:trPr>
        <w:tc>
          <w:tcPr>
            <w:tcW w:w="2560" w:type="dxa"/>
            <w:vAlign w:val="bottom"/>
          </w:tcPr>
          <w:p>
            <w:pPr>
              <w:ind w:left="140"/>
              <w:spacing w:after="0"/>
              <w:rPr>
                <w:sz w:val="20"/>
                <w:szCs w:val="20"/>
                <w:color w:val="auto"/>
              </w:rPr>
            </w:pPr>
            <w:r>
              <w:rPr>
                <w:rFonts w:ascii="Arial" w:cs="Arial" w:eastAsia="Arial" w:hAnsi="Arial"/>
                <w:sz w:val="13"/>
                <w:szCs w:val="13"/>
                <w:color w:val="auto"/>
              </w:rPr>
              <w:t>Net loss reserve discount charge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5"/>
        </w:trPr>
        <w:tc>
          <w:tcPr>
            <w:tcW w:w="2560" w:type="dxa"/>
            <w:vAlign w:val="bottom"/>
          </w:tcPr>
          <w:p>
            <w:pPr>
              <w:ind w:left="140"/>
              <w:spacing w:after="0"/>
              <w:rPr>
                <w:sz w:val="20"/>
                <w:szCs w:val="20"/>
                <w:color w:val="auto"/>
              </w:rPr>
            </w:pPr>
            <w:r>
              <w:rPr>
                <w:rFonts w:ascii="Arial" w:cs="Arial" w:eastAsia="Arial" w:hAnsi="Arial"/>
                <w:sz w:val="13"/>
                <w:szCs w:val="13"/>
                <w:color w:val="auto"/>
              </w:rPr>
              <w:t>Net results of businesses in run-off</w:t>
            </w:r>
            <w:r>
              <w:rPr>
                <w:rFonts w:ascii="Arial" w:cs="Arial" w:eastAsia="Arial" w:hAnsi="Arial"/>
                <w:sz w:val="17"/>
                <w:szCs w:val="17"/>
                <w:color w:val="auto"/>
                <w:vertAlign w:val="superscript"/>
              </w:rPr>
              <w:t>(f)</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0"/>
        </w:trPr>
        <w:tc>
          <w:tcPr>
            <w:tcW w:w="2560" w:type="dxa"/>
            <w:vAlign w:val="bottom"/>
          </w:tcPr>
          <w:p>
            <w:pPr>
              <w:ind w:left="140"/>
              <w:spacing w:after="0"/>
              <w:rPr>
                <w:sz w:val="20"/>
                <w:szCs w:val="20"/>
                <w:color w:val="auto"/>
              </w:rPr>
            </w:pPr>
            <w:r>
              <w:rPr>
                <w:rFonts w:ascii="Arial" w:cs="Arial" w:eastAsia="Arial" w:hAnsi="Arial"/>
                <w:sz w:val="13"/>
                <w:szCs w:val="13"/>
                <w:color w:val="auto"/>
              </w:rPr>
              <w:t>Non-operating pension expenses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3"/>
        </w:trPr>
        <w:tc>
          <w:tcPr>
            <w:tcW w:w="5160" w:type="dxa"/>
            <w:vAlign w:val="bottom"/>
            <w:gridSpan w:val="7"/>
          </w:tcPr>
          <w:p>
            <w:pPr>
              <w:ind w:left="140"/>
              <w:spacing w:after="0"/>
              <w:rPr>
                <w:sz w:val="20"/>
                <w:szCs w:val="20"/>
                <w:color w:val="auto"/>
              </w:rPr>
            </w:pPr>
            <w:r>
              <w:rPr>
                <w:rFonts w:ascii="Arial" w:cs="Arial" w:eastAsia="Arial" w:hAnsi="Arial"/>
                <w:sz w:val="13"/>
                <w:szCs w:val="13"/>
                <w:color w:val="auto"/>
              </w:rPr>
              <w:t>Integration and transaction costs associated with acquiring or divesting businesses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2560" w:type="dxa"/>
            <w:vAlign w:val="bottom"/>
          </w:tcPr>
          <w:p>
            <w:pPr>
              <w:ind w:left="140"/>
              <w:spacing w:after="0"/>
              <w:rPr>
                <w:sz w:val="20"/>
                <w:szCs w:val="20"/>
                <w:color w:val="auto"/>
              </w:rPr>
            </w:pPr>
            <w:r>
              <w:rPr>
                <w:rFonts w:ascii="Arial" w:cs="Arial" w:eastAsia="Arial" w:hAnsi="Arial"/>
                <w:sz w:val="13"/>
                <w:szCs w:val="13"/>
                <w:color w:val="auto"/>
              </w:rPr>
              <w:t>Restructuring and other costs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1352DE"/>
            </w:tcBorders>
            <w:gridSpan w:val="5"/>
          </w:tcPr>
          <w:p>
            <w:pPr>
              <w:ind w:left="140"/>
              <w:spacing w:after="0"/>
              <w:rPr>
                <w:sz w:val="20"/>
                <w:szCs w:val="20"/>
                <w:color w:val="auto"/>
              </w:rPr>
            </w:pPr>
            <w:r>
              <w:rPr>
                <w:rFonts w:ascii="Arial" w:cs="Arial" w:eastAsia="Arial" w:hAnsi="Arial"/>
                <w:sz w:val="13"/>
                <w:szCs w:val="13"/>
                <w:color w:val="auto"/>
              </w:rPr>
              <w:t>Non-recurring costs related to regulatory or accounting changes</w:t>
            </w: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256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AIG Consolidated</w:t>
            </w:r>
          </w:p>
        </w:tc>
        <w:tc>
          <w:tcPr>
            <w:tcW w:w="16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color w:val="auto"/>
              </w:rPr>
              <w:t>3,343</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These represent our significant expense categories of which amounts align with the segment-level information that is regularly provided to the CODMs.</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General operating expenses are primarily comprised of employee compensation and benefits, as well as professional fees.</w:t>
      </w:r>
    </w:p>
    <w:p>
      <w:pPr>
        <w:spacing w:after="0" w:line="85" w:lineRule="exact"/>
        <w:rPr>
          <w:rFonts w:ascii="Arial" w:cs="Arial" w:eastAsia="Arial" w:hAnsi="Arial"/>
          <w:sz w:val="13"/>
          <w:szCs w:val="13"/>
          <w:color w:val="auto"/>
        </w:rPr>
      </w:pPr>
    </w:p>
    <w:p>
      <w:pPr>
        <w:ind w:left="220" w:right="140" w:hanging="212"/>
        <w:spacing w:after="0" w:line="278" w:lineRule="auto"/>
        <w:tabs>
          <w:tab w:leader="none" w:pos="214" w:val="left"/>
        </w:tabs>
        <w:numPr>
          <w:ilvl w:val="0"/>
          <w:numId w:val="11"/>
        </w:numPr>
        <w:rPr>
          <w:rFonts w:ascii="Arial" w:cs="Arial" w:eastAsia="Arial" w:hAnsi="Arial"/>
          <w:sz w:val="13"/>
          <w:szCs w:val="13"/>
          <w:color w:val="auto"/>
        </w:rPr>
      </w:pPr>
      <w:r>
        <w:rPr>
          <w:rFonts w:ascii="Arial" w:cs="Arial" w:eastAsia="Arial" w:hAnsi="Arial"/>
          <w:sz w:val="13"/>
          <w:szCs w:val="13"/>
          <w:color w:val="auto"/>
        </w:rPr>
        <w:t>Amortization of intangible assets including renewal rights was $10 million and $4 million for the three months ended September 30, 2026 and 2025, respectively, and $31 million and $13 million for the nine months ended September 30, 2026 and 2025, respectively.</w:t>
      </w:r>
    </w:p>
    <w:p>
      <w:pPr>
        <w:spacing w:after="0" w:line="39" w:lineRule="exact"/>
        <w:rPr>
          <w:rFonts w:ascii="Arial" w:cs="Arial" w:eastAsia="Arial" w:hAnsi="Arial"/>
          <w:sz w:val="13"/>
          <w:szCs w:val="13"/>
          <w:color w:val="auto"/>
        </w:rPr>
      </w:pPr>
    </w:p>
    <w:p>
      <w:pPr>
        <w:ind w:left="220" w:right="160" w:hanging="212"/>
        <w:spacing w:after="0" w:line="273" w:lineRule="auto"/>
        <w:tabs>
          <w:tab w:leader="none" w:pos="208"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all Net realized gains and losses except earned income (periodic settlements and changes in settlement accruals) on derivative instruments used for non-qualifying (economic) hedging or for asset replication and net realized gains and losses on Fortitude Re funds withheld assets held by AIG in support of Fortitude Re’s reinsurance obligations to AIG (Fortitude Re funds withheld assets).</w:t>
      </w:r>
    </w:p>
    <w:p>
      <w:pPr>
        <w:spacing w:after="0" w:line="29" w:lineRule="exact"/>
        <w:rPr>
          <w:rFonts w:ascii="Arial" w:cs="Arial" w:eastAsia="Arial" w:hAnsi="Arial"/>
          <w:sz w:val="13"/>
          <w:szCs w:val="13"/>
          <w:color w:val="auto"/>
        </w:rPr>
      </w:pPr>
    </w:p>
    <w:p>
      <w:pPr>
        <w:ind w:left="220" w:right="400" w:hanging="212"/>
        <w:spacing w:after="0" w:line="286" w:lineRule="auto"/>
        <w:tabs>
          <w:tab w:leader="none" w:pos="208"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the nine months ended September 30, 2026, Net gain (loss) on divestitures and other primarily relates to a change in estimate for earn-out considerations associated with the dispositions of Validus Reinsurance, Ltd. and the global personal travel and assistance business.</w:t>
      </w:r>
    </w:p>
    <w:p>
      <w:pPr>
        <w:spacing w:after="0" w:line="35" w:lineRule="exact"/>
        <w:rPr>
          <w:rFonts w:ascii="Arial" w:cs="Arial" w:eastAsia="Arial" w:hAnsi="Arial"/>
          <w:sz w:val="13"/>
          <w:szCs w:val="13"/>
          <w:color w:val="auto"/>
        </w:rPr>
      </w:pPr>
    </w:p>
    <w:p>
      <w:pPr>
        <w:ind w:left="220" w:hanging="212"/>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the third quarter of 2025, AIG began excluding the net results of run-off businesses previously reported in General Insurance from Adjusted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234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color w:val="001871"/>
        </w:rPr>
        <w:t>4. Fair Value Measurements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FAIR VALUE MEASUREMENTS ON A RECURRING BASIS</w:t>
      </w:r>
    </w:p>
    <w:p>
      <w:pPr>
        <w:spacing w:after="0" w:line="117"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Assets and liabilities recorded at fair value in the Condensed Consolidated Balance Sheets are measured and classified in accordance with a fair value hierarchy consisting of three “levels” based on the observability of valuation inputs:</w:t>
      </w:r>
    </w:p>
    <w:p>
      <w:pPr>
        <w:spacing w:after="0" w:line="48" w:lineRule="exact"/>
        <w:rPr>
          <w:sz w:val="20"/>
          <w:szCs w:val="20"/>
          <w:color w:val="auto"/>
        </w:rPr>
      </w:pPr>
    </w:p>
    <w:p>
      <w:pPr>
        <w:ind w:left="220" w:right="600" w:hanging="212"/>
        <w:spacing w:after="0" w:line="321" w:lineRule="auto"/>
        <w:tabs>
          <w:tab w:leader="none" w:pos="218"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001871"/>
        </w:rPr>
        <w:t xml:space="preserve">Level 1: </w:t>
      </w:r>
      <w:r>
        <w:rPr>
          <w:rFonts w:ascii="Arial" w:cs="Arial" w:eastAsia="Arial" w:hAnsi="Arial"/>
          <w:sz w:val="16"/>
          <w:szCs w:val="16"/>
          <w:color w:val="000000"/>
        </w:rPr>
        <w:t>Fair value measurements based on quoted prices (unadjusted) in active markets that we have the ability to access for identical assets or</w:t>
      </w:r>
      <w:r>
        <w:rPr>
          <w:rFonts w:ascii="Arial" w:cs="Arial" w:eastAsia="Arial" w:hAnsi="Arial"/>
          <w:sz w:val="16"/>
          <w:szCs w:val="16"/>
          <w:b w:val="1"/>
          <w:bCs w:val="1"/>
          <w:color w:val="001871"/>
        </w:rPr>
        <w:t xml:space="preserve"> </w:t>
      </w:r>
      <w:r>
        <w:rPr>
          <w:rFonts w:ascii="Arial" w:cs="Arial" w:eastAsia="Arial" w:hAnsi="Arial"/>
          <w:sz w:val="16"/>
          <w:szCs w:val="16"/>
          <w:color w:val="000000"/>
        </w:rPr>
        <w:t>liabilities. Market price data generally is obtained from exchange or dealer markets. We do not adjust the quoted price for such instruments.</w:t>
      </w:r>
    </w:p>
    <w:p>
      <w:pPr>
        <w:spacing w:after="0" w:line="47" w:lineRule="exact"/>
        <w:rPr>
          <w:rFonts w:ascii="Arial" w:cs="Arial" w:eastAsia="Arial" w:hAnsi="Arial"/>
          <w:sz w:val="16"/>
          <w:szCs w:val="16"/>
          <w:color w:val="auto"/>
        </w:rPr>
      </w:pPr>
    </w:p>
    <w:p>
      <w:pPr>
        <w:jc w:val="both"/>
        <w:ind w:left="220" w:right="40" w:hanging="212"/>
        <w:spacing w:after="0" w:line="295" w:lineRule="auto"/>
        <w:tabs>
          <w:tab w:leader="none" w:pos="218"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001871"/>
        </w:rPr>
        <w:t xml:space="preserve">Level 2: </w:t>
      </w:r>
      <w:r>
        <w:rPr>
          <w:rFonts w:ascii="Arial" w:cs="Arial" w:eastAsia="Arial" w:hAnsi="Arial"/>
          <w:sz w:val="16"/>
          <w:szCs w:val="16"/>
          <w:color w:val="000000"/>
        </w:rPr>
        <w:t>Fair value measurements based on inputs other than quoted prices included in Level 1 that are observable for the asset or liability, either directly</w:t>
      </w:r>
      <w:r>
        <w:rPr>
          <w:rFonts w:ascii="Arial" w:cs="Arial" w:eastAsia="Arial" w:hAnsi="Arial"/>
          <w:sz w:val="16"/>
          <w:szCs w:val="16"/>
          <w:b w:val="1"/>
          <w:bCs w:val="1"/>
          <w:color w:val="001871"/>
        </w:rPr>
        <w:t xml:space="preserve"> </w:t>
      </w:r>
      <w:r>
        <w:rPr>
          <w:rFonts w:ascii="Arial" w:cs="Arial" w:eastAsia="Arial" w:hAnsi="Arial"/>
          <w:sz w:val="16"/>
          <w:szCs w:val="16"/>
          <w:color w:val="000000"/>
        </w:rPr>
        <w:t>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67" w:lineRule="exact"/>
        <w:rPr>
          <w:rFonts w:ascii="Arial" w:cs="Arial" w:eastAsia="Arial" w:hAnsi="Arial"/>
          <w:sz w:val="16"/>
          <w:szCs w:val="16"/>
          <w:color w:val="auto"/>
        </w:rPr>
      </w:pPr>
    </w:p>
    <w:p>
      <w:pPr>
        <w:ind w:left="220" w:right="240" w:hanging="212"/>
        <w:spacing w:after="0" w:line="289" w:lineRule="auto"/>
        <w:tabs>
          <w:tab w:leader="none" w:pos="218"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001871"/>
        </w:rPr>
        <w:t xml:space="preserve">Level 3: </w:t>
      </w:r>
      <w:r>
        <w:rPr>
          <w:rFonts w:ascii="Arial" w:cs="Arial" w:eastAsia="Arial" w:hAnsi="Arial"/>
          <w:sz w:val="16"/>
          <w:szCs w:val="16"/>
          <w:color w:val="000000"/>
        </w:rPr>
        <w:t>Fair value measurements based on valuation techniques that use significant inputs that are unobservable. Both observable and unobservable</w:t>
      </w:r>
      <w:r>
        <w:rPr>
          <w:rFonts w:ascii="Arial" w:cs="Arial" w:eastAsia="Arial" w:hAnsi="Arial"/>
          <w:sz w:val="16"/>
          <w:szCs w:val="16"/>
          <w:b w:val="1"/>
          <w:bCs w:val="1"/>
          <w:color w:val="001871"/>
        </w:rPr>
        <w:t xml:space="preserve"> </w:t>
      </w:r>
      <w:r>
        <w:rPr>
          <w:rFonts w:ascii="Arial" w:cs="Arial" w:eastAsia="Arial" w:hAnsi="Arial"/>
          <w:sz w:val="16"/>
          <w:szCs w:val="16"/>
          <w:color w:val="000000"/>
        </w:rPr>
        <w:t>inputs may be used to determine the fair values of positions classified in Level 3. The circumstances for using these measurements include those in which there is little, if any, market activity for the asset or liability. Therefore, we must make certain assumptions about the inputs a hypothetical market participant would use to value that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24771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760" w:hanging="734"/>
        <w:spacing w:after="0"/>
        <w:tabs>
          <w:tab w:leader="none" w:pos="760" w:val="left"/>
        </w:tabs>
        <w:numPr>
          <w:ilvl w:val="0"/>
          <w:numId w:val="13"/>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4. Fair Value Measurements</w:t>
      </w:r>
    </w:p>
    <w:p>
      <w:pPr>
        <w:spacing w:after="0" w:line="200" w:lineRule="exact"/>
        <w:rPr>
          <w:sz w:val="20"/>
          <w:szCs w:val="20"/>
          <w:color w:val="auto"/>
        </w:rPr>
      </w:pPr>
    </w:p>
    <w:p>
      <w:pPr>
        <w:spacing w:after="0" w:line="232" w:lineRule="exact"/>
        <w:rPr>
          <w:sz w:val="20"/>
          <w:szCs w:val="20"/>
          <w:color w:val="auto"/>
        </w:rPr>
      </w:pPr>
    </w:p>
    <w:p>
      <w:pPr>
        <w:ind w:right="580"/>
        <w:spacing w:after="0" w:line="301"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the level in the fair value hierarchy within which the fair value measurement in its entirety falls is determined based on the lowest level input that is significant to the fair value measurement in its entirety.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ASSETS AND LIABILITIES MEASURED AT FAIR VALUE ON A RECURRING BASIS</w:t>
      </w:r>
    </w:p>
    <w:p>
      <w:pPr>
        <w:spacing w:after="0" w:line="239" w:lineRule="exact"/>
        <w:rPr>
          <w:sz w:val="20"/>
          <w:szCs w:val="20"/>
          <w:color w:val="auto"/>
        </w:rPr>
      </w:pPr>
    </w:p>
    <w:p>
      <w:pPr>
        <w:ind w:right="100"/>
        <w:spacing w:after="0" w:line="367" w:lineRule="auto"/>
        <w:rPr>
          <w:sz w:val="20"/>
          <w:szCs w:val="20"/>
          <w:color w:val="auto"/>
        </w:rPr>
      </w:pPr>
      <w:r>
        <w:rPr>
          <w:rFonts w:ascii="Arial" w:cs="Arial" w:eastAsia="Arial" w:hAnsi="Arial"/>
          <w:sz w:val="16"/>
          <w:szCs w:val="16"/>
          <w:b w:val="1"/>
          <w:bCs w:val="1"/>
          <w:color w:val="1352DE"/>
        </w:rPr>
        <w:t>The following table presents information about assets and liabilities measured at fair value on a recurring basis and indicates the level of the fair value measurement based on the observability of the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234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ind w:left="20"/>
              <w:spacing w:after="0"/>
              <w:rPr>
                <w:sz w:val="20"/>
                <w:szCs w:val="20"/>
                <w:color w:val="auto"/>
              </w:rPr>
            </w:pPr>
            <w:r>
              <w:rPr>
                <w:rFonts w:ascii="Arial" w:cs="Arial" w:eastAsia="Arial" w:hAnsi="Arial"/>
                <w:sz w:val="14"/>
                <w:szCs w:val="14"/>
                <w:b w:val="1"/>
                <w:bCs w:val="1"/>
                <w:color w:val="1252DE"/>
              </w:rPr>
              <w:t>September 30, 2026</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252DE"/>
              </w:rPr>
              <w:t>Counterparty</w:t>
            </w:r>
          </w:p>
        </w:tc>
        <w:tc>
          <w:tcPr>
            <w:tcW w:w="220" w:type="dxa"/>
            <w:vAlign w:val="bottom"/>
          </w:tcPr>
          <w:p>
            <w:pPr>
              <w:spacing w:after="0"/>
              <w:rPr>
                <w:sz w:val="17"/>
                <w:szCs w:val="17"/>
                <w:color w:val="auto"/>
              </w:rPr>
            </w:pPr>
          </w:p>
        </w:tc>
        <w:tc>
          <w:tcPr>
            <w:tcW w:w="740" w:type="dxa"/>
            <w:vAlign w:val="bottom"/>
          </w:tcPr>
          <w:p>
            <w:pPr>
              <w:ind w:left="380"/>
              <w:spacing w:after="0"/>
              <w:rPr>
                <w:sz w:val="20"/>
                <w:szCs w:val="20"/>
                <w:color w:val="auto"/>
              </w:rPr>
            </w:pPr>
            <w:r>
              <w:rPr>
                <w:rFonts w:ascii="Arial" w:cs="Arial" w:eastAsia="Arial" w:hAnsi="Arial"/>
                <w:sz w:val="14"/>
                <w:szCs w:val="14"/>
                <w:color w:val="1252DE"/>
              </w:rPr>
              <w:t>Cash</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8"/>
        </w:trPr>
        <w:tc>
          <w:tcPr>
            <w:tcW w:w="44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660" w:type="dxa"/>
            <w:vAlign w:val="bottom"/>
            <w:tcBorders>
              <w:bottom w:val="single" w:sz="8" w:color="1352DE"/>
            </w:tcBorders>
          </w:tcPr>
          <w:p>
            <w:pPr>
              <w:spacing w:after="0"/>
              <w:rPr>
                <w:sz w:val="18"/>
                <w:szCs w:val="18"/>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1</w:t>
            </w:r>
          </w:p>
        </w:tc>
        <w:tc>
          <w:tcPr>
            <w:tcW w:w="340" w:type="dxa"/>
            <w:vAlign w:val="bottom"/>
            <w:tcBorders>
              <w:bottom w:val="single" w:sz="8" w:color="1352DE"/>
            </w:tcBorders>
          </w:tcPr>
          <w:p>
            <w:pPr>
              <w:spacing w:after="0"/>
              <w:rPr>
                <w:sz w:val="18"/>
                <w:szCs w:val="18"/>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2</w:t>
            </w:r>
          </w:p>
        </w:tc>
        <w:tc>
          <w:tcPr>
            <w:tcW w:w="34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3</w:t>
            </w:r>
          </w:p>
        </w:tc>
        <w:tc>
          <w:tcPr>
            <w:tcW w:w="220" w:type="dxa"/>
            <w:vAlign w:val="bottom"/>
            <w:tcBorders>
              <w:bottom w:val="single" w:sz="8" w:color="1352DE"/>
            </w:tcBorders>
          </w:tcPr>
          <w:p>
            <w:pPr>
              <w:spacing w:after="0"/>
              <w:rPr>
                <w:sz w:val="18"/>
                <w:szCs w:val="18"/>
                <w:color w:val="auto"/>
              </w:rPr>
            </w:pPr>
          </w:p>
        </w:tc>
        <w:tc>
          <w:tcPr>
            <w:tcW w:w="9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Netting</w:t>
            </w:r>
            <w:r>
              <w:rPr>
                <w:rFonts w:ascii="Arial" w:cs="Arial" w:eastAsia="Arial" w:hAnsi="Arial"/>
                <w:sz w:val="9"/>
                <w:szCs w:val="9"/>
                <w:color w:val="1252DE"/>
              </w:rPr>
              <w:t>(a)</w:t>
            </w:r>
          </w:p>
        </w:tc>
        <w:tc>
          <w:tcPr>
            <w:tcW w:w="22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ind w:left="100"/>
              <w:spacing w:after="0"/>
              <w:rPr>
                <w:sz w:val="20"/>
                <w:szCs w:val="20"/>
                <w:color w:val="auto"/>
              </w:rPr>
            </w:pPr>
            <w:r>
              <w:rPr>
                <w:rFonts w:ascii="Arial" w:cs="Arial" w:eastAsia="Arial" w:hAnsi="Arial"/>
                <w:sz w:val="14"/>
                <w:szCs w:val="14"/>
                <w:color w:val="1252DE"/>
              </w:rPr>
              <w:t>Collateral</w:t>
            </w:r>
          </w:p>
        </w:tc>
        <w:tc>
          <w:tcPr>
            <w:tcW w:w="340" w:type="dxa"/>
            <w:vAlign w:val="bottom"/>
            <w:tcBorders>
              <w:bottom w:val="single" w:sz="8" w:color="1352DE"/>
            </w:tcBorders>
          </w:tcPr>
          <w:p>
            <w:pPr>
              <w:spacing w:after="0"/>
              <w:rPr>
                <w:sz w:val="18"/>
                <w:szCs w:val="18"/>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b w:val="1"/>
                <w:bCs w:val="1"/>
                <w:color w:val="1252DE"/>
              </w:rPr>
              <w:t>Assets:</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2"/>
        </w:trPr>
        <w:tc>
          <w:tcPr>
            <w:tcW w:w="4480" w:type="dxa"/>
            <w:vAlign w:val="bottom"/>
          </w:tcPr>
          <w:p>
            <w:pPr>
              <w:ind w:left="140"/>
              <w:spacing w:after="0"/>
              <w:rPr>
                <w:sz w:val="20"/>
                <w:szCs w:val="20"/>
                <w:color w:val="auto"/>
              </w:rPr>
            </w:pPr>
            <w:r>
              <w:rPr>
                <w:rFonts w:ascii="Arial" w:cs="Arial" w:eastAsia="Arial" w:hAnsi="Arial"/>
                <w:sz w:val="14"/>
                <w:szCs w:val="14"/>
                <w:b w:val="1"/>
                <w:bCs w:val="1"/>
                <w:color w:val="1252DE"/>
              </w:rPr>
              <w:t>Bonds available for sale:</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U.S. government and government sponsored entities</w:t>
            </w: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586</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3,038</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3,624</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Obligations of states, municipalities and political subdivisions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2,325</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4</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2,329</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Non-U.S. governments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232</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5,941</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6,173</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Corporate debt</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38,249</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34</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38,283</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RMBS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9,680</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1,350</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11,030</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CMBS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4,720</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30</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4,750</w:t>
            </w:r>
          </w:p>
        </w:tc>
      </w:tr>
      <w:tr>
        <w:trPr>
          <w:trHeight w:val="203"/>
        </w:trPr>
        <w:tc>
          <w:tcPr>
            <w:tcW w:w="4480" w:type="dxa"/>
            <w:vAlign w:val="bottom"/>
            <w:tcBorders>
              <w:bottom w:val="single" w:sz="8" w:color="3051F2"/>
            </w:tcBorders>
          </w:tcPr>
          <w:p>
            <w:pPr>
              <w:ind w:left="240"/>
              <w:spacing w:after="0"/>
              <w:rPr>
                <w:sz w:val="20"/>
                <w:szCs w:val="20"/>
                <w:color w:val="auto"/>
              </w:rPr>
            </w:pPr>
            <w:r>
              <w:rPr>
                <w:rFonts w:ascii="Arial" w:cs="Arial" w:eastAsia="Arial" w:hAnsi="Arial"/>
                <w:sz w:val="14"/>
                <w:szCs w:val="14"/>
                <w:color w:val="auto"/>
              </w:rPr>
              <w:t>CLO/ABS</w:t>
            </w:r>
          </w:p>
        </w:tc>
        <w:tc>
          <w:tcPr>
            <w:tcW w:w="66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3,463</w:t>
            </w:r>
          </w:p>
        </w:tc>
        <w:tc>
          <w:tcPr>
            <w:tcW w:w="34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b w:val="1"/>
                <w:bCs w:val="1"/>
                <w:color w:val="1252DE"/>
              </w:rPr>
              <w:t>1,990</w:t>
            </w:r>
          </w:p>
        </w:tc>
        <w:tc>
          <w:tcPr>
            <w:tcW w:w="220" w:type="dxa"/>
            <w:vAlign w:val="bottom"/>
            <w:tcBorders>
              <w:bottom w:val="single" w:sz="8" w:color="3051F2"/>
            </w:tcBorders>
          </w:tcPr>
          <w:p>
            <w:pPr>
              <w:spacing w:after="0"/>
              <w:rPr>
                <w:sz w:val="17"/>
                <w:szCs w:val="17"/>
                <w:color w:val="auto"/>
              </w:rPr>
            </w:pPr>
          </w:p>
        </w:tc>
        <w:tc>
          <w:tcPr>
            <w:tcW w:w="980" w:type="dxa"/>
            <w:vAlign w:val="bottom"/>
            <w:tcBorders>
              <w:bottom w:val="single" w:sz="8" w:color="3051F2"/>
            </w:tcBorders>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5,453</w:t>
            </w:r>
          </w:p>
        </w:tc>
      </w:tr>
      <w:tr>
        <w:trPr>
          <w:trHeight w:val="196"/>
        </w:trPr>
        <w:tc>
          <w:tcPr>
            <w:tcW w:w="4480" w:type="dxa"/>
            <w:vAlign w:val="bottom"/>
            <w:tcBorders>
              <w:bottom w:val="single" w:sz="8" w:color="3051F2"/>
            </w:tcBorders>
          </w:tcPr>
          <w:p>
            <w:pPr>
              <w:ind w:left="140"/>
              <w:spacing w:after="0"/>
              <w:rPr>
                <w:sz w:val="20"/>
                <w:szCs w:val="20"/>
                <w:color w:val="auto"/>
              </w:rPr>
            </w:pPr>
            <w:r>
              <w:rPr>
                <w:rFonts w:ascii="Arial" w:cs="Arial" w:eastAsia="Arial" w:hAnsi="Arial"/>
                <w:sz w:val="14"/>
                <w:szCs w:val="14"/>
                <w:b w:val="1"/>
                <w:bCs w:val="1"/>
                <w:color w:val="1252DE"/>
              </w:rPr>
              <w:t>Total bonds available for sale</w:t>
            </w:r>
          </w:p>
        </w:tc>
        <w:tc>
          <w:tcPr>
            <w:tcW w:w="66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818</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67,416</w:t>
            </w:r>
          </w:p>
        </w:tc>
        <w:tc>
          <w:tcPr>
            <w:tcW w:w="34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b w:val="1"/>
                <w:bCs w:val="1"/>
                <w:color w:val="1252DE"/>
              </w:rPr>
              <w:t>3,408</w:t>
            </w:r>
          </w:p>
        </w:tc>
        <w:tc>
          <w:tcPr>
            <w:tcW w:w="220" w:type="dxa"/>
            <w:vAlign w:val="bottom"/>
            <w:tcBorders>
              <w:bottom w:val="single" w:sz="8" w:color="3051F2"/>
            </w:tcBorders>
          </w:tcPr>
          <w:p>
            <w:pPr>
              <w:spacing w:after="0"/>
              <w:rPr>
                <w:sz w:val="17"/>
                <w:szCs w:val="17"/>
                <w:color w:val="auto"/>
              </w:rPr>
            </w:pPr>
          </w:p>
        </w:tc>
        <w:tc>
          <w:tcPr>
            <w:tcW w:w="980" w:type="dxa"/>
            <w:vAlign w:val="bottom"/>
            <w:tcBorders>
              <w:bottom w:val="single" w:sz="8" w:color="3051F2"/>
            </w:tcBorders>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71,642</w:t>
            </w:r>
          </w:p>
        </w:tc>
      </w:tr>
      <w:tr>
        <w:trPr>
          <w:trHeight w:val="195"/>
        </w:trPr>
        <w:tc>
          <w:tcPr>
            <w:tcW w:w="4480" w:type="dxa"/>
            <w:vAlign w:val="bottom"/>
          </w:tcPr>
          <w:p>
            <w:pPr>
              <w:ind w:left="140"/>
              <w:spacing w:after="0"/>
              <w:rPr>
                <w:sz w:val="20"/>
                <w:szCs w:val="20"/>
                <w:color w:val="auto"/>
              </w:rPr>
            </w:pPr>
            <w:r>
              <w:rPr>
                <w:rFonts w:ascii="Arial" w:cs="Arial" w:eastAsia="Arial" w:hAnsi="Arial"/>
                <w:sz w:val="14"/>
                <w:szCs w:val="14"/>
                <w:b w:val="1"/>
                <w:bCs w:val="1"/>
                <w:color w:val="1252DE"/>
              </w:rPr>
              <w:t>Other bond securities:</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Obligations of states, municipalities and political subdivisions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47</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47</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Non-U.S. governments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21</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21</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Corporate debt</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200</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200</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RMBS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39</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50</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89</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CMBS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35</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35</w:t>
            </w:r>
          </w:p>
        </w:tc>
      </w:tr>
      <w:tr>
        <w:trPr>
          <w:trHeight w:val="203"/>
        </w:trPr>
        <w:tc>
          <w:tcPr>
            <w:tcW w:w="4480" w:type="dxa"/>
            <w:vAlign w:val="bottom"/>
            <w:tcBorders>
              <w:bottom w:val="single" w:sz="8" w:color="3051F2"/>
            </w:tcBorders>
          </w:tcPr>
          <w:p>
            <w:pPr>
              <w:ind w:left="240"/>
              <w:spacing w:after="0"/>
              <w:rPr>
                <w:sz w:val="20"/>
                <w:szCs w:val="20"/>
                <w:color w:val="auto"/>
              </w:rPr>
            </w:pPr>
            <w:r>
              <w:rPr>
                <w:rFonts w:ascii="Arial" w:cs="Arial" w:eastAsia="Arial" w:hAnsi="Arial"/>
                <w:sz w:val="14"/>
                <w:szCs w:val="14"/>
                <w:color w:val="auto"/>
              </w:rPr>
              <w:t>CLO/ABS</w:t>
            </w:r>
          </w:p>
        </w:tc>
        <w:tc>
          <w:tcPr>
            <w:tcW w:w="66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151</w:t>
            </w:r>
          </w:p>
        </w:tc>
        <w:tc>
          <w:tcPr>
            <w:tcW w:w="34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b w:val="1"/>
                <w:bCs w:val="1"/>
                <w:color w:val="1252DE"/>
              </w:rPr>
              <w:t>106</w:t>
            </w:r>
          </w:p>
        </w:tc>
        <w:tc>
          <w:tcPr>
            <w:tcW w:w="220" w:type="dxa"/>
            <w:vAlign w:val="bottom"/>
            <w:tcBorders>
              <w:bottom w:val="single" w:sz="8" w:color="3051F2"/>
            </w:tcBorders>
          </w:tcPr>
          <w:p>
            <w:pPr>
              <w:spacing w:after="0"/>
              <w:rPr>
                <w:sz w:val="17"/>
                <w:szCs w:val="17"/>
                <w:color w:val="auto"/>
              </w:rPr>
            </w:pPr>
          </w:p>
        </w:tc>
        <w:tc>
          <w:tcPr>
            <w:tcW w:w="980" w:type="dxa"/>
            <w:vAlign w:val="bottom"/>
            <w:tcBorders>
              <w:bottom w:val="single" w:sz="8" w:color="3051F2"/>
            </w:tcBorders>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257</w:t>
            </w:r>
          </w:p>
        </w:tc>
      </w:tr>
      <w:tr>
        <w:trPr>
          <w:trHeight w:val="196"/>
        </w:trPr>
        <w:tc>
          <w:tcPr>
            <w:tcW w:w="4480" w:type="dxa"/>
            <w:vAlign w:val="bottom"/>
            <w:tcBorders>
              <w:bottom w:val="single" w:sz="8" w:color="3051F2"/>
            </w:tcBorders>
          </w:tcPr>
          <w:p>
            <w:pPr>
              <w:ind w:left="140"/>
              <w:spacing w:after="0"/>
              <w:rPr>
                <w:sz w:val="20"/>
                <w:szCs w:val="20"/>
                <w:color w:val="auto"/>
              </w:rPr>
            </w:pPr>
            <w:r>
              <w:rPr>
                <w:rFonts w:ascii="Arial" w:cs="Arial" w:eastAsia="Arial" w:hAnsi="Arial"/>
                <w:sz w:val="14"/>
                <w:szCs w:val="14"/>
                <w:b w:val="1"/>
                <w:bCs w:val="1"/>
                <w:color w:val="1252DE"/>
              </w:rPr>
              <w:t>Total other bond securities</w:t>
            </w:r>
          </w:p>
        </w:tc>
        <w:tc>
          <w:tcPr>
            <w:tcW w:w="66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493</w:t>
            </w:r>
          </w:p>
        </w:tc>
        <w:tc>
          <w:tcPr>
            <w:tcW w:w="34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b w:val="1"/>
                <w:bCs w:val="1"/>
                <w:color w:val="1252DE"/>
              </w:rPr>
              <w:t>156</w:t>
            </w:r>
          </w:p>
        </w:tc>
        <w:tc>
          <w:tcPr>
            <w:tcW w:w="220" w:type="dxa"/>
            <w:vAlign w:val="bottom"/>
            <w:tcBorders>
              <w:bottom w:val="single" w:sz="8" w:color="3051F2"/>
            </w:tcBorders>
          </w:tcPr>
          <w:p>
            <w:pPr>
              <w:spacing w:after="0"/>
              <w:rPr>
                <w:sz w:val="17"/>
                <w:szCs w:val="17"/>
                <w:color w:val="auto"/>
              </w:rPr>
            </w:pPr>
          </w:p>
        </w:tc>
        <w:tc>
          <w:tcPr>
            <w:tcW w:w="980" w:type="dxa"/>
            <w:vAlign w:val="bottom"/>
            <w:tcBorders>
              <w:bottom w:val="single" w:sz="8" w:color="3051F2"/>
            </w:tcBorders>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649</w:t>
            </w:r>
          </w:p>
        </w:tc>
      </w:tr>
      <w:tr>
        <w:trPr>
          <w:trHeight w:val="199"/>
        </w:trPr>
        <w:tc>
          <w:tcPr>
            <w:tcW w:w="4480" w:type="dxa"/>
            <w:vAlign w:val="bottom"/>
          </w:tcPr>
          <w:p>
            <w:pPr>
              <w:ind w:left="140"/>
              <w:spacing w:after="0" w:line="199" w:lineRule="exact"/>
              <w:rPr>
                <w:sz w:val="20"/>
                <w:szCs w:val="20"/>
                <w:color w:val="auto"/>
              </w:rPr>
            </w:pPr>
            <w:r>
              <w:rPr>
                <w:rFonts w:ascii="Arial" w:cs="Arial" w:eastAsia="Arial" w:hAnsi="Arial"/>
                <w:sz w:val="14"/>
                <w:szCs w:val="14"/>
                <w:b w:val="1"/>
                <w:bCs w:val="1"/>
                <w:color w:val="1252DE"/>
              </w:rPr>
              <w:t>Equity securities</w:t>
            </w:r>
            <w:r>
              <w:rPr>
                <w:rFonts w:ascii="Arial" w:cs="Arial" w:eastAsia="Arial" w:hAnsi="Arial"/>
                <w:sz w:val="18"/>
                <w:szCs w:val="18"/>
                <w:b w:val="1"/>
                <w:bCs w:val="1"/>
                <w:color w:val="1252DE"/>
                <w:vertAlign w:val="superscript"/>
              </w:rPr>
              <w:t>(b)</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973</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4</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81</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1,058</w:t>
            </w:r>
          </w:p>
        </w:tc>
      </w:tr>
      <w:tr>
        <w:trPr>
          <w:trHeight w:val="203"/>
        </w:trPr>
        <w:tc>
          <w:tcPr>
            <w:tcW w:w="4480" w:type="dxa"/>
            <w:vAlign w:val="bottom"/>
          </w:tcPr>
          <w:p>
            <w:pPr>
              <w:ind w:left="140"/>
              <w:spacing w:after="0" w:line="202" w:lineRule="exact"/>
              <w:rPr>
                <w:sz w:val="20"/>
                <w:szCs w:val="20"/>
                <w:color w:val="auto"/>
              </w:rPr>
            </w:pPr>
            <w:r>
              <w:rPr>
                <w:rFonts w:ascii="Arial" w:cs="Arial" w:eastAsia="Arial" w:hAnsi="Arial"/>
                <w:sz w:val="14"/>
                <w:szCs w:val="14"/>
                <w:b w:val="1"/>
                <w:bCs w:val="1"/>
                <w:color w:val="1252DE"/>
              </w:rPr>
              <w:t>Other invested assets</w:t>
            </w:r>
            <w:r>
              <w:rPr>
                <w:rFonts w:ascii="Arial" w:cs="Arial" w:eastAsia="Arial" w:hAnsi="Arial"/>
                <w:sz w:val="18"/>
                <w:szCs w:val="18"/>
                <w:b w:val="1"/>
                <w:bCs w:val="1"/>
                <w:color w:val="1252DE"/>
                <w:vertAlign w:val="superscript"/>
              </w:rPr>
              <w:t>(c)</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137</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78</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215</w:t>
            </w:r>
          </w:p>
        </w:tc>
      </w:tr>
      <w:tr>
        <w:trPr>
          <w:trHeight w:val="205"/>
        </w:trPr>
        <w:tc>
          <w:tcPr>
            <w:tcW w:w="4480" w:type="dxa"/>
            <w:vAlign w:val="bottom"/>
          </w:tcPr>
          <w:p>
            <w:pPr>
              <w:ind w:left="140"/>
              <w:spacing w:after="0" w:line="205" w:lineRule="exact"/>
              <w:rPr>
                <w:sz w:val="20"/>
                <w:szCs w:val="20"/>
                <w:color w:val="auto"/>
              </w:rPr>
            </w:pPr>
            <w:r>
              <w:rPr>
                <w:rFonts w:ascii="Arial" w:cs="Arial" w:eastAsia="Arial" w:hAnsi="Arial"/>
                <w:sz w:val="14"/>
                <w:szCs w:val="14"/>
                <w:b w:val="1"/>
                <w:bCs w:val="1"/>
                <w:color w:val="1252DE"/>
              </w:rPr>
              <w:t>Derivative assets</w:t>
            </w:r>
            <w:r>
              <w:rPr>
                <w:rFonts w:ascii="Arial" w:cs="Arial" w:eastAsia="Arial" w:hAnsi="Arial"/>
                <w:sz w:val="18"/>
                <w:szCs w:val="18"/>
                <w:b w:val="1"/>
                <w:bCs w:val="1"/>
                <w:color w:val="1252DE"/>
                <w:vertAlign w:val="superscript"/>
              </w:rPr>
              <w:t>(d)</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3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352DE"/>
              </w:rPr>
              <w:t>272</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352DE"/>
              </w:rPr>
              <w:t>24</w:t>
            </w:r>
          </w:p>
        </w:tc>
        <w:tc>
          <w:tcPr>
            <w:tcW w:w="220" w:type="dxa"/>
            <w:vAlign w:val="bottom"/>
          </w:tcPr>
          <w:p>
            <w:pPr>
              <w:spacing w:after="0"/>
              <w:rPr>
                <w:sz w:val="17"/>
                <w:szCs w:val="17"/>
                <w:color w:val="auto"/>
              </w:rPr>
            </w:pPr>
          </w:p>
        </w:tc>
        <w:tc>
          <w:tcPr>
            <w:tcW w:w="980" w:type="dxa"/>
            <w:vAlign w:val="bottom"/>
          </w:tcPr>
          <w:p>
            <w:pPr>
              <w:ind w:left="600"/>
              <w:spacing w:after="0"/>
              <w:rPr>
                <w:sz w:val="20"/>
                <w:szCs w:val="20"/>
                <w:color w:val="auto"/>
              </w:rPr>
            </w:pPr>
            <w:r>
              <w:rPr>
                <w:rFonts w:ascii="Arial" w:cs="Arial" w:eastAsia="Arial" w:hAnsi="Arial"/>
                <w:sz w:val="14"/>
                <w:szCs w:val="14"/>
                <w:b w:val="1"/>
                <w:bCs w:val="1"/>
                <w:color w:val="1352DE"/>
              </w:rPr>
              <w:t>(142)</w:t>
            </w:r>
          </w:p>
        </w:tc>
        <w:tc>
          <w:tcPr>
            <w:tcW w:w="220" w:type="dxa"/>
            <w:vAlign w:val="bottom"/>
          </w:tcPr>
          <w:p>
            <w:pPr>
              <w:spacing w:after="0"/>
              <w:rPr>
                <w:sz w:val="17"/>
                <w:szCs w:val="17"/>
                <w:color w:val="auto"/>
              </w:rPr>
            </w:pPr>
          </w:p>
        </w:tc>
        <w:tc>
          <w:tcPr>
            <w:tcW w:w="740" w:type="dxa"/>
            <w:vAlign w:val="bottom"/>
          </w:tcPr>
          <w:p>
            <w:pPr>
              <w:ind w:left="360"/>
              <w:spacing w:after="0"/>
              <w:rPr>
                <w:sz w:val="20"/>
                <w:szCs w:val="20"/>
                <w:color w:val="auto"/>
              </w:rPr>
            </w:pPr>
            <w:r>
              <w:rPr>
                <w:rFonts w:ascii="Arial" w:cs="Arial" w:eastAsia="Arial" w:hAnsi="Arial"/>
                <w:sz w:val="14"/>
                <w:szCs w:val="14"/>
                <w:b w:val="1"/>
                <w:bCs w:val="1"/>
                <w:color w:val="1352DE"/>
              </w:rPr>
              <w:t>(143)</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352DE"/>
              </w:rPr>
              <w:t>11</w:t>
            </w:r>
          </w:p>
        </w:tc>
      </w:tr>
      <w:tr>
        <w:trPr>
          <w:trHeight w:val="197"/>
        </w:trPr>
        <w:tc>
          <w:tcPr>
            <w:tcW w:w="4480" w:type="dxa"/>
            <w:vAlign w:val="bottom"/>
            <w:tcBorders>
              <w:bottom w:val="single" w:sz="8" w:color="3051F2"/>
            </w:tcBorders>
          </w:tcPr>
          <w:p>
            <w:pPr>
              <w:ind w:left="140"/>
              <w:spacing w:after="0"/>
              <w:rPr>
                <w:sz w:val="20"/>
                <w:szCs w:val="20"/>
                <w:color w:val="auto"/>
              </w:rPr>
            </w:pPr>
            <w:r>
              <w:rPr>
                <w:rFonts w:ascii="Arial" w:cs="Arial" w:eastAsia="Arial" w:hAnsi="Arial"/>
                <w:sz w:val="14"/>
                <w:szCs w:val="14"/>
                <w:b w:val="1"/>
                <w:bCs w:val="1"/>
                <w:color w:val="1252DE"/>
              </w:rPr>
              <w:t>Short-term investments</w:t>
            </w:r>
          </w:p>
        </w:tc>
        <w:tc>
          <w:tcPr>
            <w:tcW w:w="66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352DE"/>
              </w:rPr>
              <w:t>4,282</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352DE"/>
              </w:rPr>
              <w:t>248</w:t>
            </w:r>
          </w:p>
        </w:tc>
        <w:tc>
          <w:tcPr>
            <w:tcW w:w="34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b w:val="1"/>
                <w:bCs w:val="1"/>
                <w:color w:val="1352DE"/>
              </w:rPr>
              <w:t>—</w:t>
            </w:r>
          </w:p>
        </w:tc>
        <w:tc>
          <w:tcPr>
            <w:tcW w:w="220" w:type="dxa"/>
            <w:vAlign w:val="bottom"/>
            <w:tcBorders>
              <w:bottom w:val="single" w:sz="8" w:color="3051F2"/>
            </w:tcBorders>
          </w:tcPr>
          <w:p>
            <w:pPr>
              <w:spacing w:after="0"/>
              <w:rPr>
                <w:sz w:val="17"/>
                <w:szCs w:val="17"/>
                <w:color w:val="auto"/>
              </w:rPr>
            </w:pPr>
          </w:p>
        </w:tc>
        <w:tc>
          <w:tcPr>
            <w:tcW w:w="980" w:type="dxa"/>
            <w:vAlign w:val="bottom"/>
            <w:tcBorders>
              <w:bottom w:val="single" w:sz="8" w:color="3051F2"/>
            </w:tcBorders>
          </w:tcPr>
          <w:p>
            <w:pPr>
              <w:ind w:left="740"/>
              <w:spacing w:after="0"/>
              <w:rPr>
                <w:sz w:val="20"/>
                <w:szCs w:val="20"/>
                <w:color w:val="auto"/>
              </w:rPr>
            </w:pPr>
            <w:r>
              <w:rPr>
                <w:rFonts w:ascii="Arial" w:cs="Arial" w:eastAsia="Arial" w:hAnsi="Arial"/>
                <w:sz w:val="14"/>
                <w:szCs w:val="14"/>
                <w:b w:val="1"/>
                <w:bCs w:val="1"/>
                <w:color w:val="1352DE"/>
              </w:rPr>
              <w:t>—</w:t>
            </w:r>
          </w:p>
        </w:tc>
        <w:tc>
          <w:tcPr>
            <w:tcW w:w="220" w:type="dxa"/>
            <w:vAlign w:val="bottom"/>
            <w:tcBorders>
              <w:bottom w:val="single" w:sz="8" w:color="3051F2"/>
            </w:tcBorders>
          </w:tcPr>
          <w:p>
            <w:pPr>
              <w:spacing w:after="0"/>
              <w:rPr>
                <w:sz w:val="17"/>
                <w:szCs w:val="17"/>
                <w:color w:val="auto"/>
              </w:rPr>
            </w:pPr>
          </w:p>
        </w:tc>
        <w:tc>
          <w:tcPr>
            <w:tcW w:w="740" w:type="dxa"/>
            <w:vAlign w:val="bottom"/>
            <w:tcBorders>
              <w:bottom w:val="single" w:sz="8" w:color="3051F2"/>
            </w:tcBorders>
          </w:tcPr>
          <w:p>
            <w:pPr>
              <w:ind w:left="520"/>
              <w:spacing w:after="0"/>
              <w:rPr>
                <w:sz w:val="20"/>
                <w:szCs w:val="20"/>
                <w:color w:val="auto"/>
              </w:rPr>
            </w:pPr>
            <w:r>
              <w:rPr>
                <w:rFonts w:ascii="Arial" w:cs="Arial" w:eastAsia="Arial" w:hAnsi="Arial"/>
                <w:sz w:val="14"/>
                <w:szCs w:val="14"/>
                <w:b w:val="1"/>
                <w:bCs w:val="1"/>
                <w:color w:val="1352DE"/>
              </w:rPr>
              <w:t>—</w:t>
            </w:r>
          </w:p>
        </w:tc>
        <w:tc>
          <w:tcPr>
            <w:tcW w:w="340" w:type="dxa"/>
            <w:vAlign w:val="bottom"/>
            <w:tcBorders>
              <w:bottom w:val="single" w:sz="8" w:color="3051F2"/>
            </w:tcBorders>
          </w:tcPr>
          <w:p>
            <w:pPr>
              <w:spacing w:after="0"/>
              <w:rPr>
                <w:sz w:val="17"/>
                <w:szCs w:val="17"/>
                <w:color w:val="auto"/>
              </w:rPr>
            </w:pPr>
          </w:p>
        </w:tc>
        <w:tc>
          <w:tcPr>
            <w:tcW w:w="72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352DE"/>
              </w:rPr>
              <w:t>4,530</w:t>
            </w:r>
          </w:p>
        </w:tc>
      </w:tr>
      <w:tr>
        <w:trPr>
          <w:trHeight w:val="196"/>
        </w:trPr>
        <w:tc>
          <w:tcPr>
            <w:tcW w:w="448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66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6,073</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68,570</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352DE"/>
              </w:rPr>
              <w:t>$</w:t>
            </w: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3,747</w:t>
            </w:r>
          </w:p>
        </w:tc>
        <w:tc>
          <w:tcPr>
            <w:tcW w:w="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w:t>
            </w:r>
          </w:p>
        </w:tc>
        <w:tc>
          <w:tcPr>
            <w:tcW w:w="980" w:type="dxa"/>
            <w:vAlign w:val="bottom"/>
            <w:tcBorders>
              <w:bottom w:val="single" w:sz="8" w:color="1352DE"/>
            </w:tcBorders>
          </w:tcPr>
          <w:p>
            <w:pPr>
              <w:ind w:left="600"/>
              <w:spacing w:after="0"/>
              <w:rPr>
                <w:sz w:val="20"/>
                <w:szCs w:val="20"/>
                <w:color w:val="auto"/>
              </w:rPr>
            </w:pPr>
            <w:r>
              <w:rPr>
                <w:rFonts w:ascii="Arial" w:cs="Arial" w:eastAsia="Arial" w:hAnsi="Arial"/>
                <w:sz w:val="14"/>
                <w:szCs w:val="14"/>
                <w:b w:val="1"/>
                <w:bCs w:val="1"/>
                <w:color w:val="1352DE"/>
              </w:rPr>
              <w:t>(142)</w:t>
            </w:r>
          </w:p>
        </w:tc>
        <w:tc>
          <w:tcPr>
            <w:tcW w:w="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w:t>
            </w:r>
          </w:p>
        </w:tc>
        <w:tc>
          <w:tcPr>
            <w:tcW w:w="740" w:type="dxa"/>
            <w:vAlign w:val="bottom"/>
            <w:tcBorders>
              <w:bottom w:val="single" w:sz="8" w:color="1352DE"/>
            </w:tcBorders>
          </w:tcPr>
          <w:p>
            <w:pPr>
              <w:ind w:left="360"/>
              <w:spacing w:after="0"/>
              <w:rPr>
                <w:sz w:val="20"/>
                <w:szCs w:val="20"/>
                <w:color w:val="auto"/>
              </w:rPr>
            </w:pPr>
            <w:r>
              <w:rPr>
                <w:rFonts w:ascii="Arial" w:cs="Arial" w:eastAsia="Arial" w:hAnsi="Arial"/>
                <w:sz w:val="14"/>
                <w:szCs w:val="14"/>
                <w:b w:val="1"/>
                <w:bCs w:val="1"/>
                <w:color w:val="1352DE"/>
              </w:rPr>
              <w:t>(143)</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78,105</w:t>
            </w:r>
          </w:p>
        </w:tc>
      </w:tr>
      <w:tr>
        <w:trPr>
          <w:trHeight w:val="195"/>
        </w:trPr>
        <w:tc>
          <w:tcPr>
            <w:tcW w:w="4480" w:type="dxa"/>
            <w:vAlign w:val="bottom"/>
          </w:tcPr>
          <w:p>
            <w:pPr>
              <w:ind w:left="20"/>
              <w:spacing w:after="0"/>
              <w:rPr>
                <w:sz w:val="20"/>
                <w:szCs w:val="20"/>
                <w:color w:val="auto"/>
              </w:rPr>
            </w:pPr>
            <w:r>
              <w:rPr>
                <w:rFonts w:ascii="Arial" w:cs="Arial" w:eastAsia="Arial" w:hAnsi="Arial"/>
                <w:sz w:val="14"/>
                <w:szCs w:val="14"/>
                <w:b w:val="1"/>
                <w:bCs w:val="1"/>
                <w:color w:val="1252DE"/>
              </w:rPr>
              <w:t>Liabilities:</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9"/>
        </w:trPr>
        <w:tc>
          <w:tcPr>
            <w:tcW w:w="4480" w:type="dxa"/>
            <w:vAlign w:val="bottom"/>
          </w:tcPr>
          <w:p>
            <w:pPr>
              <w:ind w:left="140"/>
              <w:spacing w:after="0"/>
              <w:rPr>
                <w:sz w:val="20"/>
                <w:szCs w:val="20"/>
                <w:color w:val="auto"/>
              </w:rPr>
            </w:pPr>
            <w:r>
              <w:rPr>
                <w:rFonts w:ascii="Arial" w:cs="Arial" w:eastAsia="Arial" w:hAnsi="Arial"/>
                <w:sz w:val="14"/>
                <w:szCs w:val="14"/>
                <w:b w:val="1"/>
                <w:bCs w:val="1"/>
                <w:color w:val="1252DE"/>
              </w:rPr>
              <w:t>Derivative liabilities</w:t>
            </w:r>
            <w:r>
              <w:rPr>
                <w:rFonts w:ascii="Arial" w:cs="Arial" w:eastAsia="Arial" w:hAnsi="Arial"/>
                <w:sz w:val="18"/>
                <w:szCs w:val="18"/>
                <w:b w:val="1"/>
                <w:bCs w:val="1"/>
                <w:color w:val="1252DE"/>
                <w:vertAlign w:val="superscript"/>
              </w:rPr>
              <w:t>(d)</w:t>
            </w: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306</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24</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980" w:type="dxa"/>
            <w:vAlign w:val="bottom"/>
          </w:tcPr>
          <w:p>
            <w:pPr>
              <w:ind w:left="600"/>
              <w:spacing w:after="0"/>
              <w:rPr>
                <w:sz w:val="20"/>
                <w:szCs w:val="20"/>
                <w:color w:val="auto"/>
              </w:rPr>
            </w:pPr>
            <w:r>
              <w:rPr>
                <w:rFonts w:ascii="Arial" w:cs="Arial" w:eastAsia="Arial" w:hAnsi="Arial"/>
                <w:sz w:val="14"/>
                <w:szCs w:val="14"/>
                <w:b w:val="1"/>
                <w:bCs w:val="1"/>
                <w:color w:val="1252DE"/>
              </w:rPr>
              <w:t>(142)</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740" w:type="dxa"/>
            <w:vAlign w:val="bottom"/>
          </w:tcPr>
          <w:p>
            <w:pPr>
              <w:ind w:left="360"/>
              <w:spacing w:after="0"/>
              <w:rPr>
                <w:sz w:val="20"/>
                <w:szCs w:val="20"/>
                <w:color w:val="auto"/>
              </w:rPr>
            </w:pPr>
            <w:r>
              <w:rPr>
                <w:rFonts w:ascii="Arial" w:cs="Arial" w:eastAsia="Arial" w:hAnsi="Arial"/>
                <w:sz w:val="14"/>
                <w:szCs w:val="14"/>
                <w:b w:val="1"/>
                <w:bCs w:val="1"/>
                <w:color w:val="1252DE"/>
              </w:rPr>
              <w:t>(138)</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50</w:t>
            </w:r>
          </w:p>
        </w:tc>
      </w:tr>
      <w:tr>
        <w:trPr>
          <w:trHeight w:val="196"/>
        </w:trPr>
        <w:tc>
          <w:tcPr>
            <w:tcW w:w="4480" w:type="dxa"/>
            <w:vAlign w:val="bottom"/>
          </w:tcPr>
          <w:p>
            <w:pPr>
              <w:ind w:left="140"/>
              <w:spacing w:after="0"/>
              <w:rPr>
                <w:sz w:val="20"/>
                <w:szCs w:val="20"/>
                <w:color w:val="auto"/>
              </w:rPr>
            </w:pPr>
            <w:r>
              <w:rPr>
                <w:rFonts w:ascii="Arial" w:cs="Arial" w:eastAsia="Arial" w:hAnsi="Arial"/>
                <w:sz w:val="14"/>
                <w:szCs w:val="14"/>
                <w:b w:val="1"/>
                <w:bCs w:val="1"/>
                <w:color w:val="1252DE"/>
              </w:rPr>
              <w:t>Fortitude Re funds withheld payable</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1252DE"/>
              </w:rPr>
              <w:t>(184)</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(184)</w:t>
            </w:r>
          </w:p>
        </w:tc>
      </w:tr>
      <w:tr>
        <w:trPr>
          <w:trHeight w:val="205"/>
        </w:trPr>
        <w:tc>
          <w:tcPr>
            <w:tcW w:w="4480" w:type="dxa"/>
            <w:vAlign w:val="bottom"/>
            <w:tcBorders>
              <w:bottom w:val="single" w:sz="8" w:color="1352DE"/>
            </w:tcBorders>
          </w:tcPr>
          <w:p>
            <w:pPr>
              <w:ind w:left="140"/>
              <w:spacing w:after="0" w:line="205" w:lineRule="exact"/>
              <w:rPr>
                <w:sz w:val="20"/>
                <w:szCs w:val="20"/>
                <w:color w:val="auto"/>
              </w:rPr>
            </w:pPr>
            <w:r>
              <w:rPr>
                <w:rFonts w:ascii="Arial" w:cs="Arial" w:eastAsia="Arial" w:hAnsi="Arial"/>
                <w:sz w:val="14"/>
                <w:szCs w:val="14"/>
                <w:b w:val="1"/>
                <w:bCs w:val="1"/>
                <w:color w:val="1252DE"/>
              </w:rPr>
              <w:t>Other liabilities</w:t>
            </w:r>
            <w:r>
              <w:rPr>
                <w:rFonts w:ascii="Arial" w:cs="Arial" w:eastAsia="Arial" w:hAnsi="Arial"/>
                <w:sz w:val="18"/>
                <w:szCs w:val="18"/>
                <w:b w:val="1"/>
                <w:bCs w:val="1"/>
                <w:color w:val="1252DE"/>
                <w:vertAlign w:val="superscript"/>
              </w:rPr>
              <w:t>(d)</w:t>
            </w:r>
          </w:p>
        </w:tc>
        <w:tc>
          <w:tcPr>
            <w:tcW w:w="6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w:t>
            </w:r>
          </w:p>
        </w:tc>
        <w:tc>
          <w:tcPr>
            <w:tcW w:w="34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81</w:t>
            </w:r>
          </w:p>
        </w:tc>
        <w:tc>
          <w:tcPr>
            <w:tcW w:w="22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ind w:left="740"/>
              <w:spacing w:after="0"/>
              <w:rPr>
                <w:sz w:val="20"/>
                <w:szCs w:val="20"/>
                <w:color w:val="auto"/>
              </w:rPr>
            </w:pPr>
            <w:r>
              <w:rPr>
                <w:rFonts w:ascii="Arial" w:cs="Arial" w:eastAsia="Arial" w:hAnsi="Arial"/>
                <w:sz w:val="14"/>
                <w:szCs w:val="14"/>
                <w:b w:val="1"/>
                <w:bCs w:val="1"/>
                <w:color w:val="1252DE"/>
              </w:rPr>
              <w:t>—</w:t>
            </w:r>
          </w:p>
        </w:tc>
        <w:tc>
          <w:tcPr>
            <w:tcW w:w="22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ind w:left="520"/>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82</w:t>
            </w:r>
          </w:p>
        </w:tc>
      </w:tr>
      <w:tr>
        <w:trPr>
          <w:trHeight w:val="195"/>
        </w:trPr>
        <w:tc>
          <w:tcPr>
            <w:tcW w:w="448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66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307</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(79)</w:t>
            </w:r>
          </w:p>
        </w:tc>
        <w:tc>
          <w:tcPr>
            <w:tcW w:w="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980" w:type="dxa"/>
            <w:vAlign w:val="bottom"/>
            <w:tcBorders>
              <w:bottom w:val="single" w:sz="8" w:color="1352DE"/>
            </w:tcBorders>
          </w:tcPr>
          <w:p>
            <w:pPr>
              <w:ind w:left="600"/>
              <w:spacing w:after="0"/>
              <w:rPr>
                <w:sz w:val="20"/>
                <w:szCs w:val="20"/>
                <w:color w:val="auto"/>
              </w:rPr>
            </w:pPr>
            <w:r>
              <w:rPr>
                <w:rFonts w:ascii="Arial" w:cs="Arial" w:eastAsia="Arial" w:hAnsi="Arial"/>
                <w:sz w:val="14"/>
                <w:szCs w:val="14"/>
                <w:b w:val="1"/>
                <w:bCs w:val="1"/>
                <w:color w:val="1252DE"/>
              </w:rPr>
              <w:t>(142)</w:t>
            </w:r>
          </w:p>
        </w:tc>
        <w:tc>
          <w:tcPr>
            <w:tcW w:w="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740" w:type="dxa"/>
            <w:vAlign w:val="bottom"/>
            <w:tcBorders>
              <w:bottom w:val="single" w:sz="8" w:color="1352DE"/>
            </w:tcBorders>
          </w:tcPr>
          <w:p>
            <w:pPr>
              <w:ind w:left="360"/>
              <w:spacing w:after="0"/>
              <w:rPr>
                <w:sz w:val="20"/>
                <w:szCs w:val="20"/>
                <w:color w:val="auto"/>
              </w:rPr>
            </w:pPr>
            <w:r>
              <w:rPr>
                <w:rFonts w:ascii="Arial" w:cs="Arial" w:eastAsia="Arial" w:hAnsi="Arial"/>
                <w:sz w:val="14"/>
                <w:szCs w:val="14"/>
                <w:b w:val="1"/>
                <w:bCs w:val="1"/>
                <w:color w:val="1252DE"/>
              </w:rPr>
              <w:t>(138)</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(52)</w:t>
            </w:r>
          </w:p>
        </w:tc>
      </w:tr>
      <w:tr>
        <w:trPr>
          <w:trHeight w:val="116"/>
        </w:trPr>
        <w:tc>
          <w:tcPr>
            <w:tcW w:w="4480" w:type="dxa"/>
            <w:vAlign w:val="bottom"/>
            <w:tcBorders>
              <w:bottom w:val="single" w:sz="8" w:color="1352DE"/>
            </w:tcBorders>
          </w:tcPr>
          <w:p>
            <w:pPr>
              <w:spacing w:after="0"/>
              <w:rPr>
                <w:sz w:val="10"/>
                <w:szCs w:val="10"/>
                <w:color w:val="auto"/>
              </w:rPr>
            </w:pPr>
          </w:p>
        </w:tc>
        <w:tc>
          <w:tcPr>
            <w:tcW w:w="660" w:type="dxa"/>
            <w:vAlign w:val="bottom"/>
            <w:tcBorders>
              <w:bottom w:val="single" w:sz="8" w:color="1352DE"/>
            </w:tcBorders>
          </w:tcPr>
          <w:p>
            <w:pPr>
              <w:spacing w:after="0"/>
              <w:rPr>
                <w:sz w:val="10"/>
                <w:szCs w:val="10"/>
                <w:color w:val="auto"/>
              </w:rPr>
            </w:pPr>
          </w:p>
        </w:tc>
        <w:tc>
          <w:tcPr>
            <w:tcW w:w="720" w:type="dxa"/>
            <w:vAlign w:val="bottom"/>
            <w:tcBorders>
              <w:bottom w:val="single" w:sz="8" w:color="1352DE"/>
            </w:tcBorders>
          </w:tcPr>
          <w:p>
            <w:pPr>
              <w:spacing w:after="0"/>
              <w:rPr>
                <w:sz w:val="10"/>
                <w:szCs w:val="10"/>
                <w:color w:val="auto"/>
              </w:rPr>
            </w:pPr>
          </w:p>
        </w:tc>
        <w:tc>
          <w:tcPr>
            <w:tcW w:w="340" w:type="dxa"/>
            <w:vAlign w:val="bottom"/>
            <w:tcBorders>
              <w:bottom w:val="single" w:sz="8" w:color="1352DE"/>
            </w:tcBorders>
          </w:tcPr>
          <w:p>
            <w:pPr>
              <w:spacing w:after="0"/>
              <w:rPr>
                <w:sz w:val="10"/>
                <w:szCs w:val="10"/>
                <w:color w:val="auto"/>
              </w:rPr>
            </w:pPr>
          </w:p>
        </w:tc>
        <w:tc>
          <w:tcPr>
            <w:tcW w:w="720" w:type="dxa"/>
            <w:vAlign w:val="bottom"/>
            <w:tcBorders>
              <w:bottom w:val="single" w:sz="8" w:color="1352DE"/>
            </w:tcBorders>
          </w:tcPr>
          <w:p>
            <w:pPr>
              <w:spacing w:after="0"/>
              <w:rPr>
                <w:sz w:val="10"/>
                <w:szCs w:val="10"/>
                <w:color w:val="auto"/>
              </w:rPr>
            </w:pPr>
          </w:p>
        </w:tc>
        <w:tc>
          <w:tcPr>
            <w:tcW w:w="340" w:type="dxa"/>
            <w:vAlign w:val="bottom"/>
            <w:tcBorders>
              <w:bottom w:val="single" w:sz="8" w:color="1352DE"/>
            </w:tcBorders>
          </w:tcPr>
          <w:p>
            <w:pPr>
              <w:spacing w:after="0"/>
              <w:rPr>
                <w:sz w:val="10"/>
                <w:szCs w:val="10"/>
                <w:color w:val="auto"/>
              </w:rPr>
            </w:pPr>
          </w:p>
        </w:tc>
        <w:tc>
          <w:tcPr>
            <w:tcW w:w="74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98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740" w:type="dxa"/>
            <w:vAlign w:val="bottom"/>
            <w:tcBorders>
              <w:bottom w:val="single" w:sz="8" w:color="1352DE"/>
            </w:tcBorders>
          </w:tcPr>
          <w:p>
            <w:pPr>
              <w:spacing w:after="0"/>
              <w:rPr>
                <w:sz w:val="10"/>
                <w:szCs w:val="10"/>
                <w:color w:val="auto"/>
              </w:rPr>
            </w:pPr>
          </w:p>
        </w:tc>
        <w:tc>
          <w:tcPr>
            <w:tcW w:w="340" w:type="dxa"/>
            <w:vAlign w:val="bottom"/>
            <w:tcBorders>
              <w:bottom w:val="single" w:sz="8" w:color="1352DE"/>
            </w:tcBorders>
          </w:tcPr>
          <w:p>
            <w:pPr>
              <w:spacing w:after="0"/>
              <w:rPr>
                <w:sz w:val="10"/>
                <w:szCs w:val="10"/>
                <w:color w:val="auto"/>
              </w:rPr>
            </w:pPr>
          </w:p>
        </w:tc>
        <w:tc>
          <w:tcPr>
            <w:tcW w:w="720" w:type="dxa"/>
            <w:vAlign w:val="bottom"/>
            <w:tcBorders>
              <w:bottom w:val="single" w:sz="8" w:color="1352DE"/>
            </w:tcBorders>
          </w:tcPr>
          <w:p>
            <w:pPr>
              <w:spacing w:after="0"/>
              <w:rPr>
                <w:sz w:val="10"/>
                <w:szCs w:val="10"/>
                <w:color w:val="auto"/>
              </w:rPr>
            </w:pPr>
          </w:p>
        </w:tc>
      </w:tr>
      <w:tr>
        <w:trPr>
          <w:trHeight w:val="207"/>
        </w:trPr>
        <w:tc>
          <w:tcPr>
            <w:tcW w:w="4480" w:type="dxa"/>
            <w:vAlign w:val="bottom"/>
          </w:tcPr>
          <w:p>
            <w:pPr>
              <w:ind w:left="20"/>
              <w:spacing w:after="0"/>
              <w:rPr>
                <w:sz w:val="20"/>
                <w:szCs w:val="20"/>
                <w:color w:val="auto"/>
              </w:rPr>
            </w:pPr>
            <w:r>
              <w:rPr>
                <w:rFonts w:ascii="Arial" w:cs="Arial" w:eastAsia="Arial" w:hAnsi="Arial"/>
                <w:sz w:val="14"/>
                <w:szCs w:val="14"/>
                <w:color w:val="1252DE"/>
              </w:rPr>
              <w:t>December 31, 2025</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252DE"/>
              </w:rPr>
              <w:t>Counterparty</w:t>
            </w:r>
          </w:p>
        </w:tc>
        <w:tc>
          <w:tcPr>
            <w:tcW w:w="2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4"/>
                <w:szCs w:val="14"/>
                <w:color w:val="1252DE"/>
              </w:rPr>
              <w:t>Cash</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8"/>
        </w:trPr>
        <w:tc>
          <w:tcPr>
            <w:tcW w:w="44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660" w:type="dxa"/>
            <w:vAlign w:val="bottom"/>
            <w:tcBorders>
              <w:bottom w:val="single" w:sz="8" w:color="1352DE"/>
            </w:tcBorders>
          </w:tcPr>
          <w:p>
            <w:pPr>
              <w:spacing w:after="0"/>
              <w:rPr>
                <w:sz w:val="19"/>
                <w:szCs w:val="19"/>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1</w:t>
            </w:r>
          </w:p>
        </w:tc>
        <w:tc>
          <w:tcPr>
            <w:tcW w:w="340" w:type="dxa"/>
            <w:vAlign w:val="bottom"/>
            <w:tcBorders>
              <w:bottom w:val="single" w:sz="8" w:color="1352DE"/>
            </w:tcBorders>
          </w:tcPr>
          <w:p>
            <w:pPr>
              <w:spacing w:after="0"/>
              <w:rPr>
                <w:sz w:val="19"/>
                <w:szCs w:val="19"/>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2</w:t>
            </w:r>
          </w:p>
        </w:tc>
        <w:tc>
          <w:tcPr>
            <w:tcW w:w="340" w:type="dxa"/>
            <w:vAlign w:val="bottom"/>
            <w:tcBorders>
              <w:bottom w:val="single" w:sz="8" w:color="1352DE"/>
            </w:tcBorders>
          </w:tcPr>
          <w:p>
            <w:pPr>
              <w:spacing w:after="0"/>
              <w:rPr>
                <w:sz w:val="19"/>
                <w:szCs w:val="19"/>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3</w:t>
            </w:r>
          </w:p>
        </w:tc>
        <w:tc>
          <w:tcPr>
            <w:tcW w:w="220" w:type="dxa"/>
            <w:vAlign w:val="bottom"/>
            <w:tcBorders>
              <w:bottom w:val="single" w:sz="8" w:color="1352DE"/>
            </w:tcBorders>
          </w:tcPr>
          <w:p>
            <w:pPr>
              <w:spacing w:after="0"/>
              <w:rPr>
                <w:sz w:val="19"/>
                <w:szCs w:val="19"/>
                <w:color w:val="auto"/>
              </w:rPr>
            </w:pPr>
          </w:p>
        </w:tc>
        <w:tc>
          <w:tcPr>
            <w:tcW w:w="9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Netting</w:t>
            </w:r>
            <w:r>
              <w:rPr>
                <w:rFonts w:ascii="Arial" w:cs="Arial" w:eastAsia="Arial" w:hAnsi="Arial"/>
                <w:sz w:val="18"/>
                <w:szCs w:val="18"/>
                <w:color w:val="1252DE"/>
                <w:vertAlign w:val="superscript"/>
              </w:rPr>
              <w:t>(a)</w:t>
            </w:r>
          </w:p>
        </w:tc>
        <w:tc>
          <w:tcPr>
            <w:tcW w:w="220" w:type="dxa"/>
            <w:vAlign w:val="bottom"/>
            <w:tcBorders>
              <w:bottom w:val="single" w:sz="8" w:color="1352DE"/>
            </w:tcBorders>
          </w:tcPr>
          <w:p>
            <w:pPr>
              <w:spacing w:after="0"/>
              <w:rPr>
                <w:sz w:val="19"/>
                <w:szCs w:val="19"/>
                <w:color w:val="auto"/>
              </w:rPr>
            </w:pPr>
          </w:p>
        </w:tc>
        <w:tc>
          <w:tcPr>
            <w:tcW w:w="740" w:type="dxa"/>
            <w:vAlign w:val="bottom"/>
            <w:tcBorders>
              <w:bottom w:val="single" w:sz="8" w:color="1352DE"/>
            </w:tcBorders>
          </w:tcPr>
          <w:p>
            <w:pPr>
              <w:ind w:left="100"/>
              <w:spacing w:after="0"/>
              <w:rPr>
                <w:sz w:val="20"/>
                <w:szCs w:val="20"/>
                <w:color w:val="auto"/>
              </w:rPr>
            </w:pPr>
            <w:r>
              <w:rPr>
                <w:rFonts w:ascii="Arial" w:cs="Arial" w:eastAsia="Arial" w:hAnsi="Arial"/>
                <w:sz w:val="14"/>
                <w:szCs w:val="14"/>
                <w:color w:val="1252DE"/>
              </w:rPr>
              <w:t>Collateral</w:t>
            </w:r>
          </w:p>
        </w:tc>
        <w:tc>
          <w:tcPr>
            <w:tcW w:w="340" w:type="dxa"/>
            <w:vAlign w:val="bottom"/>
            <w:tcBorders>
              <w:bottom w:val="single" w:sz="8" w:color="1352DE"/>
            </w:tcBorders>
          </w:tcPr>
          <w:p>
            <w:pPr>
              <w:spacing w:after="0"/>
              <w:rPr>
                <w:sz w:val="19"/>
                <w:szCs w:val="19"/>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r>
      <w:tr>
        <w:trPr>
          <w:trHeight w:val="194"/>
        </w:trPr>
        <w:tc>
          <w:tcPr>
            <w:tcW w:w="4480" w:type="dxa"/>
            <w:vAlign w:val="bottom"/>
          </w:tcPr>
          <w:p>
            <w:pPr>
              <w:ind w:left="20"/>
              <w:spacing w:after="0"/>
              <w:rPr>
                <w:sz w:val="20"/>
                <w:szCs w:val="20"/>
                <w:color w:val="auto"/>
              </w:rPr>
            </w:pPr>
            <w:r>
              <w:rPr>
                <w:rFonts w:ascii="Arial" w:cs="Arial" w:eastAsia="Arial" w:hAnsi="Arial"/>
                <w:sz w:val="14"/>
                <w:szCs w:val="14"/>
                <w:b w:val="1"/>
                <w:bCs w:val="1"/>
                <w:color w:val="1252DE"/>
              </w:rPr>
              <w:t>Assets:</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4480" w:type="dxa"/>
            <w:vAlign w:val="bottom"/>
          </w:tcPr>
          <w:p>
            <w:pPr>
              <w:ind w:left="140"/>
              <w:spacing w:after="0"/>
              <w:rPr>
                <w:sz w:val="20"/>
                <w:szCs w:val="20"/>
                <w:color w:val="auto"/>
              </w:rPr>
            </w:pPr>
            <w:r>
              <w:rPr>
                <w:rFonts w:ascii="Arial" w:cs="Arial" w:eastAsia="Arial" w:hAnsi="Arial"/>
                <w:sz w:val="14"/>
                <w:szCs w:val="14"/>
                <w:b w:val="1"/>
                <w:bCs w:val="1"/>
                <w:color w:val="1252DE"/>
              </w:rPr>
              <w:t>Bonds available for sale:</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4480" w:type="dxa"/>
            <w:vAlign w:val="bottom"/>
          </w:tcPr>
          <w:p>
            <w:pPr>
              <w:ind w:left="240"/>
              <w:spacing w:after="0"/>
              <w:rPr>
                <w:sz w:val="20"/>
                <w:szCs w:val="20"/>
                <w:color w:val="auto"/>
              </w:rPr>
            </w:pPr>
            <w:r>
              <w:rPr>
                <w:rFonts w:ascii="Arial" w:cs="Arial" w:eastAsia="Arial" w:hAnsi="Arial"/>
                <w:sz w:val="14"/>
                <w:szCs w:val="14"/>
                <w:color w:val="auto"/>
              </w:rPr>
              <w:t>U.S. government and government sponsored entities</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3,089</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3,298</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Obligations of states, municipalities and political subdivisions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2,771</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2,775</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Non-U.S. governments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6,427</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6,516</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Corporate debt</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37,122</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37,235</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RMBS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8,622</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1,546</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10,168</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CMBS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4,592</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4,616</w:t>
            </w:r>
          </w:p>
        </w:tc>
      </w:tr>
      <w:tr>
        <w:trPr>
          <w:trHeight w:val="206"/>
        </w:trPr>
        <w:tc>
          <w:tcPr>
            <w:tcW w:w="448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CLO/ABS</w:t>
            </w:r>
          </w:p>
        </w:tc>
        <w:tc>
          <w:tcPr>
            <w:tcW w:w="6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4,683</w:t>
            </w:r>
          </w:p>
        </w:tc>
        <w:tc>
          <w:tcPr>
            <w:tcW w:w="34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1,741</w:t>
            </w:r>
          </w:p>
        </w:tc>
        <w:tc>
          <w:tcPr>
            <w:tcW w:w="22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ind w:left="7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ind w:left="5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6,424</w:t>
            </w:r>
          </w:p>
        </w:tc>
      </w:tr>
      <w:tr>
        <w:trPr>
          <w:trHeight w:val="199"/>
        </w:trPr>
        <w:tc>
          <w:tcPr>
            <w:tcW w:w="448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252DE"/>
              </w:rPr>
              <w:t>Total bonds available for sale</w:t>
            </w:r>
          </w:p>
        </w:tc>
        <w:tc>
          <w:tcPr>
            <w:tcW w:w="6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275</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67,306</w:t>
            </w:r>
          </w:p>
        </w:tc>
        <w:tc>
          <w:tcPr>
            <w:tcW w:w="34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3,451</w:t>
            </w:r>
          </w:p>
        </w:tc>
        <w:tc>
          <w:tcPr>
            <w:tcW w:w="22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ind w:left="7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ind w:left="5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71,032</w:t>
            </w:r>
          </w:p>
        </w:tc>
      </w:tr>
      <w:tr>
        <w:trPr>
          <w:trHeight w:val="195"/>
        </w:trPr>
        <w:tc>
          <w:tcPr>
            <w:tcW w:w="4480" w:type="dxa"/>
            <w:vAlign w:val="bottom"/>
          </w:tcPr>
          <w:p>
            <w:pPr>
              <w:ind w:left="140"/>
              <w:spacing w:after="0"/>
              <w:rPr>
                <w:sz w:val="20"/>
                <w:szCs w:val="20"/>
                <w:color w:val="auto"/>
              </w:rPr>
            </w:pPr>
            <w:r>
              <w:rPr>
                <w:rFonts w:ascii="Arial" w:cs="Arial" w:eastAsia="Arial" w:hAnsi="Arial"/>
                <w:sz w:val="14"/>
                <w:szCs w:val="14"/>
                <w:b w:val="1"/>
                <w:bCs w:val="1"/>
                <w:color w:val="1252DE"/>
              </w:rPr>
              <w:t>Other bond securities:</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4"/>
        </w:trPr>
        <w:tc>
          <w:tcPr>
            <w:tcW w:w="4480" w:type="dxa"/>
            <w:vAlign w:val="bottom"/>
          </w:tcPr>
          <w:p>
            <w:pPr>
              <w:ind w:left="240"/>
              <w:spacing w:after="0"/>
              <w:rPr>
                <w:sz w:val="20"/>
                <w:szCs w:val="20"/>
                <w:color w:val="auto"/>
              </w:rPr>
            </w:pPr>
            <w:r>
              <w:rPr>
                <w:rFonts w:ascii="Arial" w:cs="Arial" w:eastAsia="Arial" w:hAnsi="Arial"/>
                <w:sz w:val="14"/>
                <w:szCs w:val="14"/>
                <w:color w:val="auto"/>
              </w:rPr>
              <w:t>Obligations of states, municipalities and political subdivisions</w:t>
            </w:r>
          </w:p>
        </w:tc>
        <w:tc>
          <w:tcPr>
            <w:tcW w:w="66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24"/>
        </w:trPr>
        <w:tc>
          <w:tcPr>
            <w:tcW w:w="4480" w:type="dxa"/>
            <w:vAlign w:val="bottom"/>
          </w:tcPr>
          <w:p>
            <w:pPr>
              <w:ind w:left="240"/>
              <w:spacing w:after="0"/>
              <w:rPr>
                <w:sz w:val="20"/>
                <w:szCs w:val="20"/>
                <w:color w:val="auto"/>
              </w:rPr>
            </w:pPr>
            <w:r>
              <w:rPr>
                <w:rFonts w:ascii="Arial" w:cs="Arial" w:eastAsia="Arial" w:hAnsi="Arial"/>
                <w:sz w:val="14"/>
                <w:szCs w:val="14"/>
                <w:color w:val="auto"/>
              </w:rPr>
              <w:t>Non-U.S. governments</w:t>
            </w:r>
          </w:p>
        </w:tc>
        <w:tc>
          <w:tcPr>
            <w:tcW w:w="6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Corporate debt</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274</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RMBS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03"/>
        </w:trPr>
        <w:tc>
          <w:tcPr>
            <w:tcW w:w="4480" w:type="dxa"/>
            <w:vAlign w:val="bottom"/>
          </w:tcPr>
          <w:p>
            <w:pPr>
              <w:ind w:left="240"/>
              <w:spacing w:after="0"/>
              <w:rPr>
                <w:sz w:val="20"/>
                <w:szCs w:val="20"/>
                <w:color w:val="auto"/>
              </w:rPr>
            </w:pPr>
            <w:r>
              <w:rPr>
                <w:rFonts w:ascii="Arial" w:cs="Arial" w:eastAsia="Arial" w:hAnsi="Arial"/>
                <w:sz w:val="14"/>
                <w:szCs w:val="14"/>
                <w:color w:val="auto"/>
              </w:rPr>
              <w:t>CMBS</w:t>
            </w:r>
          </w:p>
        </w:tc>
        <w:tc>
          <w:tcPr>
            <w:tcW w:w="6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6"/>
        </w:trPr>
        <w:tc>
          <w:tcPr>
            <w:tcW w:w="448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CLO/ABS</w:t>
            </w:r>
          </w:p>
        </w:tc>
        <w:tc>
          <w:tcPr>
            <w:tcW w:w="6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135</w:t>
            </w:r>
          </w:p>
        </w:tc>
        <w:tc>
          <w:tcPr>
            <w:tcW w:w="34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119</w:t>
            </w:r>
          </w:p>
        </w:tc>
        <w:tc>
          <w:tcPr>
            <w:tcW w:w="22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ind w:left="7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ind w:left="5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254</w:t>
            </w:r>
          </w:p>
        </w:tc>
      </w:tr>
      <w:tr>
        <w:trPr>
          <w:trHeight w:val="199"/>
        </w:trPr>
        <w:tc>
          <w:tcPr>
            <w:tcW w:w="448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252DE"/>
              </w:rPr>
              <w:t>Total other bond securities</w:t>
            </w:r>
          </w:p>
        </w:tc>
        <w:tc>
          <w:tcPr>
            <w:tcW w:w="6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571</w:t>
            </w:r>
          </w:p>
        </w:tc>
        <w:tc>
          <w:tcPr>
            <w:tcW w:w="34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170</w:t>
            </w:r>
          </w:p>
        </w:tc>
        <w:tc>
          <w:tcPr>
            <w:tcW w:w="22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ind w:left="7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ind w:left="5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368935</wp:posOffset>
            </wp:positionV>
            <wp:extent cx="23317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4. Fair Value Measurements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20" w:type="dxa"/>
            <w:vAlign w:val="bottom"/>
            <w:tcBorders>
              <w:top w:val="single" w:sz="8" w:color="1352DE"/>
            </w:tcBorders>
          </w:tcPr>
          <w:p>
            <w:pPr>
              <w:ind w:left="20"/>
              <w:spacing w:after="0"/>
              <w:rPr>
                <w:sz w:val="20"/>
                <w:szCs w:val="20"/>
                <w:color w:val="auto"/>
              </w:rPr>
            </w:pPr>
            <w:r>
              <w:rPr>
                <w:rFonts w:ascii="Arial" w:cs="Arial" w:eastAsia="Arial" w:hAnsi="Arial"/>
                <w:sz w:val="14"/>
                <w:szCs w:val="14"/>
                <w:color w:val="1252DE"/>
              </w:rPr>
              <w:t>December 31, 2025</w:t>
            </w:r>
          </w:p>
        </w:tc>
        <w:tc>
          <w:tcPr>
            <w:tcW w:w="1420" w:type="dxa"/>
            <w:vAlign w:val="bottom"/>
            <w:tcBorders>
              <w:top w:val="single" w:sz="8" w:color="1352DE"/>
            </w:tcBorders>
          </w:tcPr>
          <w:p>
            <w:pPr>
              <w:spacing w:after="0"/>
              <w:rPr>
                <w:sz w:val="19"/>
                <w:szCs w:val="19"/>
                <w:color w:val="auto"/>
              </w:rPr>
            </w:pPr>
          </w:p>
        </w:tc>
        <w:tc>
          <w:tcPr>
            <w:tcW w:w="720" w:type="dxa"/>
            <w:vAlign w:val="bottom"/>
            <w:tcBorders>
              <w:top w:val="single" w:sz="8" w:color="1352DE"/>
            </w:tcBorders>
          </w:tcPr>
          <w:p>
            <w:pPr>
              <w:spacing w:after="0"/>
              <w:rPr>
                <w:sz w:val="19"/>
                <w:szCs w:val="19"/>
                <w:color w:val="auto"/>
              </w:rPr>
            </w:pPr>
          </w:p>
        </w:tc>
        <w:tc>
          <w:tcPr>
            <w:tcW w:w="340" w:type="dxa"/>
            <w:vAlign w:val="bottom"/>
            <w:tcBorders>
              <w:top w:val="single" w:sz="8" w:color="1352DE"/>
            </w:tcBorders>
          </w:tcPr>
          <w:p>
            <w:pPr>
              <w:spacing w:after="0"/>
              <w:rPr>
                <w:sz w:val="19"/>
                <w:szCs w:val="19"/>
                <w:color w:val="auto"/>
              </w:rPr>
            </w:pPr>
          </w:p>
        </w:tc>
        <w:tc>
          <w:tcPr>
            <w:tcW w:w="720" w:type="dxa"/>
            <w:vAlign w:val="bottom"/>
            <w:tcBorders>
              <w:top w:val="single" w:sz="8" w:color="1352DE"/>
            </w:tcBorders>
          </w:tcPr>
          <w:p>
            <w:pPr>
              <w:spacing w:after="0"/>
              <w:rPr>
                <w:sz w:val="19"/>
                <w:szCs w:val="19"/>
                <w:color w:val="auto"/>
              </w:rPr>
            </w:pPr>
          </w:p>
        </w:tc>
        <w:tc>
          <w:tcPr>
            <w:tcW w:w="340" w:type="dxa"/>
            <w:vAlign w:val="bottom"/>
            <w:tcBorders>
              <w:top w:val="single" w:sz="8" w:color="1352DE"/>
            </w:tcBorders>
          </w:tcPr>
          <w:p>
            <w:pPr>
              <w:spacing w:after="0"/>
              <w:rPr>
                <w:sz w:val="19"/>
                <w:szCs w:val="19"/>
                <w:color w:val="auto"/>
              </w:rPr>
            </w:pPr>
          </w:p>
        </w:tc>
        <w:tc>
          <w:tcPr>
            <w:tcW w:w="740" w:type="dxa"/>
            <w:vAlign w:val="bottom"/>
            <w:tcBorders>
              <w:top w:val="single" w:sz="8" w:color="1352DE"/>
            </w:tcBorders>
          </w:tcPr>
          <w:p>
            <w:pPr>
              <w:spacing w:after="0"/>
              <w:rPr>
                <w:sz w:val="19"/>
                <w:szCs w:val="19"/>
                <w:color w:val="auto"/>
              </w:rPr>
            </w:pPr>
          </w:p>
        </w:tc>
        <w:tc>
          <w:tcPr>
            <w:tcW w:w="220" w:type="dxa"/>
            <w:vAlign w:val="bottom"/>
            <w:tcBorders>
              <w:top w:val="single" w:sz="8" w:color="1352DE"/>
            </w:tcBorders>
          </w:tcPr>
          <w:p>
            <w:pPr>
              <w:spacing w:after="0"/>
              <w:rPr>
                <w:sz w:val="19"/>
                <w:szCs w:val="19"/>
                <w:color w:val="auto"/>
              </w:rPr>
            </w:pPr>
          </w:p>
        </w:tc>
        <w:tc>
          <w:tcPr>
            <w:tcW w:w="980" w:type="dxa"/>
            <w:vAlign w:val="bottom"/>
            <w:tcBorders>
              <w:top w:val="single" w:sz="8" w:color="1352DE"/>
            </w:tcBorders>
          </w:tcPr>
          <w:p>
            <w:pPr>
              <w:ind w:left="100"/>
              <w:spacing w:after="0"/>
              <w:rPr>
                <w:sz w:val="20"/>
                <w:szCs w:val="20"/>
                <w:color w:val="auto"/>
              </w:rPr>
            </w:pPr>
            <w:r>
              <w:rPr>
                <w:rFonts w:ascii="Arial" w:cs="Arial" w:eastAsia="Arial" w:hAnsi="Arial"/>
                <w:sz w:val="14"/>
                <w:szCs w:val="14"/>
                <w:color w:val="1252DE"/>
              </w:rPr>
              <w:t>Counterparty</w:t>
            </w:r>
          </w:p>
        </w:tc>
        <w:tc>
          <w:tcPr>
            <w:tcW w:w="220" w:type="dxa"/>
            <w:vAlign w:val="bottom"/>
            <w:tcBorders>
              <w:top w:val="single" w:sz="8" w:color="1352DE"/>
            </w:tcBorders>
          </w:tcPr>
          <w:p>
            <w:pPr>
              <w:spacing w:after="0"/>
              <w:rPr>
                <w:sz w:val="19"/>
                <w:szCs w:val="19"/>
                <w:color w:val="auto"/>
              </w:rPr>
            </w:pPr>
          </w:p>
        </w:tc>
        <w:tc>
          <w:tcPr>
            <w:tcW w:w="740" w:type="dxa"/>
            <w:vAlign w:val="bottom"/>
            <w:tcBorders>
              <w:top w:val="single" w:sz="8" w:color="1352DE"/>
            </w:tcBorders>
          </w:tcPr>
          <w:p>
            <w:pPr>
              <w:ind w:left="380"/>
              <w:spacing w:after="0"/>
              <w:rPr>
                <w:sz w:val="20"/>
                <w:szCs w:val="20"/>
                <w:color w:val="auto"/>
              </w:rPr>
            </w:pPr>
            <w:r>
              <w:rPr>
                <w:rFonts w:ascii="Arial" w:cs="Arial" w:eastAsia="Arial" w:hAnsi="Arial"/>
                <w:sz w:val="14"/>
                <w:szCs w:val="14"/>
                <w:color w:val="1252DE"/>
              </w:rPr>
              <w:t>Cash</w:t>
            </w:r>
          </w:p>
        </w:tc>
        <w:tc>
          <w:tcPr>
            <w:tcW w:w="340" w:type="dxa"/>
            <w:vAlign w:val="bottom"/>
            <w:tcBorders>
              <w:top w:val="single" w:sz="8" w:color="1352DE"/>
            </w:tcBorders>
          </w:tcPr>
          <w:p>
            <w:pPr>
              <w:spacing w:after="0"/>
              <w:rPr>
                <w:sz w:val="19"/>
                <w:szCs w:val="19"/>
                <w:color w:val="auto"/>
              </w:rPr>
            </w:pPr>
          </w:p>
        </w:tc>
        <w:tc>
          <w:tcPr>
            <w:tcW w:w="720" w:type="dxa"/>
            <w:vAlign w:val="bottom"/>
            <w:tcBorders>
              <w:top w:val="single" w:sz="8" w:color="1352DE"/>
            </w:tcBorders>
          </w:tcPr>
          <w:p>
            <w:pPr>
              <w:spacing w:after="0"/>
              <w:rPr>
                <w:sz w:val="19"/>
                <w:szCs w:val="19"/>
                <w:color w:val="auto"/>
              </w:rPr>
            </w:pPr>
          </w:p>
        </w:tc>
      </w:tr>
      <w:tr>
        <w:trPr>
          <w:trHeight w:val="218"/>
        </w:trPr>
        <w:tc>
          <w:tcPr>
            <w:tcW w:w="37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420" w:type="dxa"/>
            <w:vAlign w:val="bottom"/>
            <w:tcBorders>
              <w:bottom w:val="single" w:sz="8" w:color="1352DE"/>
            </w:tcBorders>
          </w:tcPr>
          <w:p>
            <w:pPr>
              <w:spacing w:after="0"/>
              <w:rPr>
                <w:sz w:val="19"/>
                <w:szCs w:val="19"/>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1</w:t>
            </w:r>
          </w:p>
        </w:tc>
        <w:tc>
          <w:tcPr>
            <w:tcW w:w="340" w:type="dxa"/>
            <w:vAlign w:val="bottom"/>
            <w:tcBorders>
              <w:bottom w:val="single" w:sz="8" w:color="1352DE"/>
            </w:tcBorders>
          </w:tcPr>
          <w:p>
            <w:pPr>
              <w:spacing w:after="0"/>
              <w:rPr>
                <w:sz w:val="19"/>
                <w:szCs w:val="19"/>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2</w:t>
            </w:r>
          </w:p>
        </w:tc>
        <w:tc>
          <w:tcPr>
            <w:tcW w:w="340" w:type="dxa"/>
            <w:vAlign w:val="bottom"/>
            <w:tcBorders>
              <w:bottom w:val="single" w:sz="8" w:color="1352DE"/>
            </w:tcBorders>
          </w:tcPr>
          <w:p>
            <w:pPr>
              <w:spacing w:after="0"/>
              <w:rPr>
                <w:sz w:val="19"/>
                <w:szCs w:val="19"/>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Level 3</w:t>
            </w:r>
          </w:p>
        </w:tc>
        <w:tc>
          <w:tcPr>
            <w:tcW w:w="220" w:type="dxa"/>
            <w:vAlign w:val="bottom"/>
            <w:tcBorders>
              <w:bottom w:val="single" w:sz="8" w:color="1352DE"/>
            </w:tcBorders>
          </w:tcPr>
          <w:p>
            <w:pPr>
              <w:spacing w:after="0"/>
              <w:rPr>
                <w:sz w:val="19"/>
                <w:szCs w:val="19"/>
                <w:color w:val="auto"/>
              </w:rPr>
            </w:pPr>
          </w:p>
        </w:tc>
        <w:tc>
          <w:tcPr>
            <w:tcW w:w="980" w:type="dxa"/>
            <w:vAlign w:val="bottom"/>
            <w:tcBorders>
              <w:bottom w:val="single" w:sz="8" w:color="1352DE"/>
            </w:tcBorders>
          </w:tcPr>
          <w:p>
            <w:pPr>
              <w:ind w:left="360"/>
              <w:spacing w:after="0"/>
              <w:rPr>
                <w:sz w:val="20"/>
                <w:szCs w:val="20"/>
                <w:color w:val="auto"/>
              </w:rPr>
            </w:pPr>
            <w:r>
              <w:rPr>
                <w:rFonts w:ascii="Arial" w:cs="Arial" w:eastAsia="Arial" w:hAnsi="Arial"/>
                <w:sz w:val="14"/>
                <w:szCs w:val="14"/>
                <w:color w:val="1252DE"/>
              </w:rPr>
              <w:t>Netting</w:t>
            </w:r>
            <w:r>
              <w:rPr>
                <w:rFonts w:ascii="Arial" w:cs="Arial" w:eastAsia="Arial" w:hAnsi="Arial"/>
                <w:sz w:val="18"/>
                <w:szCs w:val="18"/>
                <w:color w:val="1252DE"/>
                <w:vertAlign w:val="superscript"/>
              </w:rPr>
              <w:t>(a)</w:t>
            </w:r>
          </w:p>
        </w:tc>
        <w:tc>
          <w:tcPr>
            <w:tcW w:w="220" w:type="dxa"/>
            <w:vAlign w:val="bottom"/>
            <w:tcBorders>
              <w:bottom w:val="single" w:sz="8" w:color="1352DE"/>
            </w:tcBorders>
          </w:tcPr>
          <w:p>
            <w:pPr>
              <w:spacing w:after="0"/>
              <w:rPr>
                <w:sz w:val="19"/>
                <w:szCs w:val="19"/>
                <w:color w:val="auto"/>
              </w:rPr>
            </w:pPr>
          </w:p>
        </w:tc>
        <w:tc>
          <w:tcPr>
            <w:tcW w:w="740" w:type="dxa"/>
            <w:vAlign w:val="bottom"/>
            <w:tcBorders>
              <w:bottom w:val="single" w:sz="8" w:color="1352DE"/>
            </w:tcBorders>
          </w:tcPr>
          <w:p>
            <w:pPr>
              <w:ind w:left="100"/>
              <w:spacing w:after="0"/>
              <w:rPr>
                <w:sz w:val="20"/>
                <w:szCs w:val="20"/>
                <w:color w:val="auto"/>
              </w:rPr>
            </w:pPr>
            <w:r>
              <w:rPr>
                <w:rFonts w:ascii="Arial" w:cs="Arial" w:eastAsia="Arial" w:hAnsi="Arial"/>
                <w:sz w:val="14"/>
                <w:szCs w:val="14"/>
                <w:color w:val="1252DE"/>
              </w:rPr>
              <w:t>Collateral</w:t>
            </w:r>
          </w:p>
        </w:tc>
        <w:tc>
          <w:tcPr>
            <w:tcW w:w="340" w:type="dxa"/>
            <w:vAlign w:val="bottom"/>
            <w:tcBorders>
              <w:bottom w:val="single" w:sz="8" w:color="1352DE"/>
            </w:tcBorders>
          </w:tcPr>
          <w:p>
            <w:pPr>
              <w:spacing w:after="0"/>
              <w:rPr>
                <w:sz w:val="19"/>
                <w:szCs w:val="19"/>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r>
      <w:tr>
        <w:trPr>
          <w:trHeight w:val="198"/>
        </w:trPr>
        <w:tc>
          <w:tcPr>
            <w:tcW w:w="3720" w:type="dxa"/>
            <w:vAlign w:val="bottom"/>
          </w:tcPr>
          <w:p>
            <w:pPr>
              <w:ind w:left="140"/>
              <w:spacing w:after="0" w:line="198" w:lineRule="exact"/>
              <w:rPr>
                <w:sz w:val="20"/>
                <w:szCs w:val="20"/>
                <w:color w:val="auto"/>
              </w:rPr>
            </w:pPr>
            <w:r>
              <w:rPr>
                <w:rFonts w:ascii="Arial" w:cs="Arial" w:eastAsia="Arial" w:hAnsi="Arial"/>
                <w:sz w:val="14"/>
                <w:szCs w:val="14"/>
                <w:b w:val="1"/>
                <w:bCs w:val="1"/>
                <w:color w:val="1252DE"/>
              </w:rPr>
              <w:t>Equity securities</w:t>
            </w:r>
            <w:r>
              <w:rPr>
                <w:rFonts w:ascii="Arial" w:cs="Arial" w:eastAsia="Arial" w:hAnsi="Arial"/>
                <w:sz w:val="18"/>
                <w:szCs w:val="18"/>
                <w:b w:val="1"/>
                <w:bCs w:val="1"/>
                <w:color w:val="1252DE"/>
                <w:vertAlign w:val="superscript"/>
              </w:rPr>
              <w:t>(b)</w:t>
            </w:r>
          </w:p>
        </w:tc>
        <w:tc>
          <w:tcPr>
            <w:tcW w:w="14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446</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502</w:t>
            </w:r>
          </w:p>
        </w:tc>
      </w:tr>
      <w:tr>
        <w:trPr>
          <w:trHeight w:val="203"/>
        </w:trPr>
        <w:tc>
          <w:tcPr>
            <w:tcW w:w="3720" w:type="dxa"/>
            <w:vAlign w:val="bottom"/>
          </w:tcPr>
          <w:p>
            <w:pPr>
              <w:ind w:left="140"/>
              <w:spacing w:after="0" w:line="202" w:lineRule="exact"/>
              <w:rPr>
                <w:sz w:val="20"/>
                <w:szCs w:val="20"/>
                <w:color w:val="auto"/>
              </w:rPr>
            </w:pPr>
            <w:r>
              <w:rPr>
                <w:rFonts w:ascii="Arial" w:cs="Arial" w:eastAsia="Arial" w:hAnsi="Arial"/>
                <w:sz w:val="14"/>
                <w:szCs w:val="14"/>
                <w:b w:val="1"/>
                <w:bCs w:val="1"/>
                <w:color w:val="1252DE"/>
              </w:rPr>
              <w:t xml:space="preserve">Other invested assets </w:t>
            </w:r>
            <w:r>
              <w:rPr>
                <w:rFonts w:ascii="Arial" w:cs="Arial" w:eastAsia="Arial" w:hAnsi="Arial"/>
                <w:sz w:val="18"/>
                <w:szCs w:val="18"/>
                <w:b w:val="1"/>
                <w:bCs w:val="1"/>
                <w:color w:val="1252DE"/>
                <w:vertAlign w:val="superscript"/>
              </w:rPr>
              <w:t>(c)</w:t>
            </w:r>
          </w:p>
        </w:tc>
        <w:tc>
          <w:tcPr>
            <w:tcW w:w="14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1,512</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1,747</w:t>
            </w:r>
          </w:p>
        </w:tc>
      </w:tr>
      <w:tr>
        <w:trPr>
          <w:trHeight w:val="205"/>
        </w:trPr>
        <w:tc>
          <w:tcPr>
            <w:tcW w:w="3720" w:type="dxa"/>
            <w:vAlign w:val="bottom"/>
          </w:tcPr>
          <w:p>
            <w:pPr>
              <w:ind w:left="140"/>
              <w:spacing w:after="0" w:line="205" w:lineRule="exact"/>
              <w:rPr>
                <w:sz w:val="20"/>
                <w:szCs w:val="20"/>
                <w:color w:val="auto"/>
              </w:rPr>
            </w:pPr>
            <w:r>
              <w:rPr>
                <w:rFonts w:ascii="Arial" w:cs="Arial" w:eastAsia="Arial" w:hAnsi="Arial"/>
                <w:sz w:val="14"/>
                <w:szCs w:val="14"/>
                <w:b w:val="1"/>
                <w:bCs w:val="1"/>
                <w:color w:val="1252DE"/>
              </w:rPr>
              <w:t>Derivative assets</w:t>
            </w:r>
            <w:r>
              <w:rPr>
                <w:rFonts w:ascii="Arial" w:cs="Arial" w:eastAsia="Arial" w:hAnsi="Arial"/>
                <w:sz w:val="18"/>
                <w:szCs w:val="18"/>
                <w:b w:val="1"/>
                <w:bCs w:val="1"/>
                <w:color w:val="1252DE"/>
                <w:vertAlign w:val="superscript"/>
              </w:rPr>
              <w:t>(d)</w:t>
            </w:r>
          </w:p>
        </w:tc>
        <w:tc>
          <w:tcPr>
            <w:tcW w:w="14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312</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7"/>
                <w:szCs w:val="17"/>
                <w:color w:val="auto"/>
              </w:rPr>
            </w:pPr>
          </w:p>
        </w:tc>
        <w:tc>
          <w:tcPr>
            <w:tcW w:w="980" w:type="dxa"/>
            <w:vAlign w:val="bottom"/>
          </w:tcPr>
          <w:p>
            <w:pPr>
              <w:ind w:left="600"/>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7"/>
                <w:szCs w:val="17"/>
                <w:color w:val="auto"/>
              </w:rPr>
            </w:pPr>
          </w:p>
        </w:tc>
        <w:tc>
          <w:tcPr>
            <w:tcW w:w="740" w:type="dxa"/>
            <w:vAlign w:val="bottom"/>
          </w:tcPr>
          <w:p>
            <w:pPr>
              <w:ind w:left="360"/>
              <w:spacing w:after="0"/>
              <w:rPr>
                <w:sz w:val="20"/>
                <w:szCs w:val="20"/>
                <w:color w:val="auto"/>
              </w:rPr>
            </w:pPr>
            <w:r>
              <w:rPr>
                <w:rFonts w:ascii="Arial" w:cs="Arial" w:eastAsia="Arial" w:hAnsi="Arial"/>
                <w:sz w:val="14"/>
                <w:szCs w:val="14"/>
                <w:color w:val="auto"/>
              </w:rPr>
              <w:t>(169)</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3720" w:type="dxa"/>
            <w:vAlign w:val="bottom"/>
          </w:tcPr>
          <w:p>
            <w:pPr>
              <w:ind w:left="140"/>
              <w:spacing w:after="0"/>
              <w:rPr>
                <w:sz w:val="20"/>
                <w:szCs w:val="20"/>
                <w:color w:val="auto"/>
              </w:rPr>
            </w:pPr>
            <w:r>
              <w:rPr>
                <w:rFonts w:ascii="Arial" w:cs="Arial" w:eastAsia="Arial" w:hAnsi="Arial"/>
                <w:sz w:val="14"/>
                <w:szCs w:val="14"/>
                <w:b w:val="1"/>
                <w:bCs w:val="1"/>
                <w:color w:val="1252DE"/>
              </w:rPr>
              <w:t>Short-term investments</w:t>
            </w:r>
          </w:p>
        </w:tc>
        <w:tc>
          <w:tcPr>
            <w:tcW w:w="14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4,106</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1,803</w:t>
            </w:r>
          </w:p>
        </w:tc>
        <w:tc>
          <w:tcPr>
            <w:tcW w:w="3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5,909</w:t>
            </w:r>
          </w:p>
        </w:tc>
      </w:tr>
      <w:tr>
        <w:trPr>
          <w:trHeight w:val="205"/>
        </w:trPr>
        <w:tc>
          <w:tcPr>
            <w:tcW w:w="3720" w:type="dxa"/>
            <w:vAlign w:val="bottom"/>
            <w:tcBorders>
              <w:bottom w:val="single" w:sz="8" w:color="1352DE"/>
            </w:tcBorders>
          </w:tcPr>
          <w:p>
            <w:pPr>
              <w:ind w:left="140"/>
              <w:spacing w:after="0" w:line="205" w:lineRule="exact"/>
              <w:rPr>
                <w:sz w:val="20"/>
                <w:szCs w:val="20"/>
                <w:color w:val="auto"/>
              </w:rPr>
            </w:pPr>
            <w:r>
              <w:rPr>
                <w:rFonts w:ascii="Arial" w:cs="Arial" w:eastAsia="Arial" w:hAnsi="Arial"/>
                <w:sz w:val="14"/>
                <w:szCs w:val="14"/>
                <w:b w:val="1"/>
                <w:bCs w:val="1"/>
                <w:color w:val="1252DE"/>
              </w:rPr>
              <w:t>Other assets</w:t>
            </w:r>
            <w:r>
              <w:rPr>
                <w:rFonts w:ascii="Arial" w:cs="Arial" w:eastAsia="Arial" w:hAnsi="Arial"/>
                <w:sz w:val="18"/>
                <w:szCs w:val="18"/>
                <w:b w:val="1"/>
                <w:bCs w:val="1"/>
                <w:color w:val="1252DE"/>
                <w:vertAlign w:val="superscript"/>
              </w:rPr>
              <w:t>(d)</w:t>
            </w:r>
          </w:p>
        </w:tc>
        <w:tc>
          <w:tcPr>
            <w:tcW w:w="142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ind w:left="7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ind w:left="5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130</w:t>
            </w:r>
          </w:p>
        </w:tc>
      </w:tr>
      <w:tr>
        <w:trPr>
          <w:trHeight w:val="195"/>
        </w:trPr>
        <w:tc>
          <w:tcPr>
            <w:tcW w:w="37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142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6,339</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70,136</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3,924</w:t>
            </w:r>
          </w:p>
        </w:tc>
        <w:tc>
          <w:tcPr>
            <w:tcW w:w="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352DE"/>
            </w:tcBorders>
          </w:tcPr>
          <w:p>
            <w:pPr>
              <w:ind w:left="600"/>
              <w:spacing w:after="0"/>
              <w:rPr>
                <w:sz w:val="20"/>
                <w:szCs w:val="20"/>
                <w:color w:val="auto"/>
              </w:rPr>
            </w:pPr>
            <w:r>
              <w:rPr>
                <w:rFonts w:ascii="Arial" w:cs="Arial" w:eastAsia="Arial" w:hAnsi="Arial"/>
                <w:sz w:val="14"/>
                <w:szCs w:val="14"/>
                <w:color w:val="auto"/>
              </w:rPr>
              <w:t>(164)</w:t>
            </w:r>
          </w:p>
        </w:tc>
        <w:tc>
          <w:tcPr>
            <w:tcW w:w="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1352DE"/>
            </w:tcBorders>
          </w:tcPr>
          <w:p>
            <w:pPr>
              <w:ind w:left="360"/>
              <w:spacing w:after="0"/>
              <w:rPr>
                <w:sz w:val="20"/>
                <w:szCs w:val="20"/>
                <w:color w:val="auto"/>
              </w:rPr>
            </w:pPr>
            <w:r>
              <w:rPr>
                <w:rFonts w:ascii="Arial" w:cs="Arial" w:eastAsia="Arial" w:hAnsi="Arial"/>
                <w:sz w:val="14"/>
                <w:szCs w:val="14"/>
                <w:color w:val="auto"/>
              </w:rPr>
              <w:t>(169)</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80,066</w:t>
            </w:r>
          </w:p>
        </w:tc>
      </w:tr>
      <w:tr>
        <w:trPr>
          <w:trHeight w:val="195"/>
        </w:trPr>
        <w:tc>
          <w:tcPr>
            <w:tcW w:w="3720" w:type="dxa"/>
            <w:vAlign w:val="bottom"/>
          </w:tcPr>
          <w:p>
            <w:pPr>
              <w:ind w:left="20"/>
              <w:spacing w:after="0"/>
              <w:rPr>
                <w:sz w:val="20"/>
                <w:szCs w:val="20"/>
                <w:color w:val="auto"/>
              </w:rPr>
            </w:pPr>
            <w:r>
              <w:rPr>
                <w:rFonts w:ascii="Arial" w:cs="Arial" w:eastAsia="Arial" w:hAnsi="Arial"/>
                <w:sz w:val="14"/>
                <w:szCs w:val="14"/>
                <w:b w:val="1"/>
                <w:bCs w:val="1"/>
                <w:color w:val="1252DE"/>
              </w:rPr>
              <w:t>Liabilities:</w:t>
            </w: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9"/>
        </w:trPr>
        <w:tc>
          <w:tcPr>
            <w:tcW w:w="3720" w:type="dxa"/>
            <w:vAlign w:val="bottom"/>
          </w:tcPr>
          <w:p>
            <w:pPr>
              <w:ind w:left="140"/>
              <w:spacing w:after="0"/>
              <w:rPr>
                <w:sz w:val="20"/>
                <w:szCs w:val="20"/>
                <w:color w:val="auto"/>
              </w:rPr>
            </w:pPr>
            <w:r>
              <w:rPr>
                <w:rFonts w:ascii="Arial" w:cs="Arial" w:eastAsia="Arial" w:hAnsi="Arial"/>
                <w:sz w:val="14"/>
                <w:szCs w:val="14"/>
                <w:b w:val="1"/>
                <w:bCs w:val="1"/>
                <w:color w:val="1252DE"/>
              </w:rPr>
              <w:t>Derivative liabilities</w:t>
            </w:r>
            <w:r>
              <w:rPr>
                <w:rFonts w:ascii="Arial" w:cs="Arial" w:eastAsia="Arial" w:hAnsi="Arial"/>
                <w:sz w:val="18"/>
                <w:szCs w:val="18"/>
                <w:b w:val="1"/>
                <w:bCs w:val="1"/>
                <w:color w:val="1252DE"/>
                <w:vertAlign w:val="superscript"/>
              </w:rPr>
              <w:t>(d)</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439</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ind w:left="600"/>
              <w:spacing w:after="0"/>
              <w:rPr>
                <w:sz w:val="20"/>
                <w:szCs w:val="20"/>
                <w:color w:val="auto"/>
              </w:rPr>
            </w:pPr>
            <w:r>
              <w:rPr>
                <w:rFonts w:ascii="Arial" w:cs="Arial" w:eastAsia="Arial" w:hAnsi="Arial"/>
                <w:sz w:val="14"/>
                <w:szCs w:val="14"/>
                <w:color w:val="auto"/>
              </w:rPr>
              <w:t>(164)</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(212)</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96"/>
        </w:trPr>
        <w:tc>
          <w:tcPr>
            <w:tcW w:w="3720" w:type="dxa"/>
            <w:vAlign w:val="bottom"/>
          </w:tcPr>
          <w:p>
            <w:pPr>
              <w:ind w:left="140"/>
              <w:spacing w:after="0"/>
              <w:rPr>
                <w:sz w:val="20"/>
                <w:szCs w:val="20"/>
                <w:color w:val="auto"/>
              </w:rPr>
            </w:pPr>
            <w:r>
              <w:rPr>
                <w:rFonts w:ascii="Arial" w:cs="Arial" w:eastAsia="Arial" w:hAnsi="Arial"/>
                <w:sz w:val="14"/>
                <w:szCs w:val="14"/>
                <w:b w:val="1"/>
                <w:bCs w:val="1"/>
                <w:color w:val="1252DE"/>
              </w:rPr>
              <w:t>Fortitude Re funds withheld payable</w:t>
            </w:r>
          </w:p>
        </w:tc>
        <w:tc>
          <w:tcPr>
            <w:tcW w:w="14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04"/>
        </w:trPr>
        <w:tc>
          <w:tcPr>
            <w:tcW w:w="3720" w:type="dxa"/>
            <w:vAlign w:val="bottom"/>
            <w:tcBorders>
              <w:bottom w:val="single" w:sz="8" w:color="1352DE"/>
            </w:tcBorders>
          </w:tcPr>
          <w:p>
            <w:pPr>
              <w:ind w:left="140"/>
              <w:spacing w:after="0" w:line="205" w:lineRule="exact"/>
              <w:rPr>
                <w:sz w:val="20"/>
                <w:szCs w:val="20"/>
                <w:color w:val="auto"/>
              </w:rPr>
            </w:pPr>
            <w:r>
              <w:rPr>
                <w:rFonts w:ascii="Arial" w:cs="Arial" w:eastAsia="Arial" w:hAnsi="Arial"/>
                <w:sz w:val="14"/>
                <w:szCs w:val="14"/>
                <w:b w:val="1"/>
                <w:bCs w:val="1"/>
                <w:color w:val="1252DE"/>
              </w:rPr>
              <w:t>Other liabilities</w:t>
            </w:r>
            <w:r>
              <w:rPr>
                <w:rFonts w:ascii="Arial" w:cs="Arial" w:eastAsia="Arial" w:hAnsi="Arial"/>
                <w:sz w:val="18"/>
                <w:szCs w:val="18"/>
                <w:b w:val="1"/>
                <w:bCs w:val="1"/>
                <w:color w:val="1252DE"/>
                <w:vertAlign w:val="superscript"/>
              </w:rPr>
              <w:t>(d)</w:t>
            </w:r>
          </w:p>
        </w:tc>
        <w:tc>
          <w:tcPr>
            <w:tcW w:w="142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73</w:t>
            </w:r>
          </w:p>
        </w:tc>
        <w:tc>
          <w:tcPr>
            <w:tcW w:w="22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ind w:left="7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ind w:left="5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73</w:t>
            </w:r>
          </w:p>
        </w:tc>
      </w:tr>
      <w:tr>
        <w:trPr>
          <w:trHeight w:val="195"/>
        </w:trPr>
        <w:tc>
          <w:tcPr>
            <w:tcW w:w="37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142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439</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352DE"/>
            </w:tcBorders>
          </w:tcPr>
          <w:p>
            <w:pPr>
              <w:ind w:left="600"/>
              <w:spacing w:after="0"/>
              <w:rPr>
                <w:sz w:val="20"/>
                <w:szCs w:val="20"/>
                <w:color w:val="auto"/>
              </w:rPr>
            </w:pPr>
            <w:r>
              <w:rPr>
                <w:rFonts w:ascii="Arial" w:cs="Arial" w:eastAsia="Arial" w:hAnsi="Arial"/>
                <w:sz w:val="14"/>
                <w:szCs w:val="14"/>
                <w:color w:val="auto"/>
              </w:rPr>
              <w:t>(164)</w:t>
            </w:r>
          </w:p>
        </w:tc>
        <w:tc>
          <w:tcPr>
            <w:tcW w:w="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1352DE"/>
            </w:tcBorders>
          </w:tcPr>
          <w:p>
            <w:pPr>
              <w:ind w:left="360"/>
              <w:spacing w:after="0"/>
              <w:rPr>
                <w:sz w:val="20"/>
                <w:szCs w:val="20"/>
                <w:color w:val="auto"/>
              </w:rPr>
            </w:pPr>
            <w:r>
              <w:rPr>
                <w:rFonts w:ascii="Arial" w:cs="Arial" w:eastAsia="Arial" w:hAnsi="Arial"/>
                <w:sz w:val="14"/>
                <w:szCs w:val="14"/>
                <w:color w:val="auto"/>
              </w:rPr>
              <w:t>(212)</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70</w:t>
            </w:r>
          </w:p>
        </w:tc>
      </w:tr>
    </w:tbl>
    <w:p>
      <w:pPr>
        <w:spacing w:after="0" w:line="144"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netting of derivative exposures covered by qualifying master netting agreements.</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As of September 30, 2026, includes AIG's ownership interests in Onex of $540 million.</w:t>
      </w:r>
    </w:p>
    <w:p>
      <w:pPr>
        <w:spacing w:after="0" w:line="80" w:lineRule="exact"/>
        <w:rPr>
          <w:rFonts w:ascii="Arial" w:cs="Arial" w:eastAsia="Arial" w:hAnsi="Arial"/>
          <w:sz w:val="13"/>
          <w:szCs w:val="13"/>
          <w:color w:val="auto"/>
        </w:rPr>
      </w:pPr>
    </w:p>
    <w:p>
      <w:pPr>
        <w:ind w:left="220" w:right="20" w:hanging="212"/>
        <w:spacing w:after="0" w:line="264" w:lineRule="auto"/>
        <w:tabs>
          <w:tab w:leader="none" w:pos="214"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investments that are measured at fair value using the net asset value (NAV) per share (or its equivalent), which totaled $2.9 billion and $3.3 billion as of September 30, 2026 and December 31, 2025, respectively. As of December 31, 2025, includes AIG's ownership interest in Corebridge of $1.5 billion on which AIG elected the fair value option.</w:t>
      </w:r>
    </w:p>
    <w:p>
      <w:pPr>
        <w:spacing w:after="0" w:line="49" w:lineRule="exact"/>
        <w:rPr>
          <w:rFonts w:ascii="Arial" w:cs="Arial" w:eastAsia="Arial" w:hAnsi="Arial"/>
          <w:sz w:val="13"/>
          <w:szCs w:val="13"/>
          <w:color w:val="auto"/>
        </w:rPr>
      </w:pPr>
    </w:p>
    <w:p>
      <w:pPr>
        <w:ind w:left="220" w:hanging="212"/>
        <w:spacing w:after="0"/>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Presented as part of Other assets and Other liabilities on the Condensed Consolidated Balance Sheets.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CHANGES IN LEVEL 3 RECURRING FAIR VALUE MEASUREMENTS</w:t>
      </w:r>
    </w:p>
    <w:p>
      <w:pPr>
        <w:spacing w:after="0" w:line="239" w:lineRule="exact"/>
        <w:rPr>
          <w:sz w:val="20"/>
          <w:szCs w:val="20"/>
          <w:color w:val="auto"/>
        </w:rPr>
      </w:pPr>
    </w:p>
    <w:p>
      <w:pPr>
        <w:jc w:val="both"/>
        <w:ind w:right="500"/>
        <w:spacing w:after="0" w:line="324" w:lineRule="auto"/>
        <w:rPr>
          <w:sz w:val="20"/>
          <w:szCs w:val="20"/>
          <w:color w:val="auto"/>
        </w:rPr>
      </w:pPr>
      <w:r>
        <w:rPr>
          <w:rFonts w:ascii="Arial" w:cs="Arial" w:eastAsia="Arial" w:hAnsi="Arial"/>
          <w:sz w:val="16"/>
          <w:szCs w:val="16"/>
          <w:b w:val="1"/>
          <w:bCs w:val="1"/>
          <w:color w:val="1352DE"/>
        </w:rPr>
        <w:t>The following tables present changes during the three and nine months ended September 30, 2026 and 2025 in Level 3 assets and liabilities measured at fair value on a recurring basis, and the realized and unrealized gains (losses) related to the Level 3 assets and liabilities in the Condensed Consolidated Balance Sheets at September 30, 2026 and 2025: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440" w:type="dxa"/>
            <w:vAlign w:val="bottom"/>
            <w:tcBorders>
              <w:top w:val="single" w:sz="8" w:color="1352DE"/>
            </w:tcBorders>
          </w:tcPr>
          <w:p>
            <w:pPr>
              <w:spacing w:after="0"/>
              <w:rPr>
                <w:sz w:val="10"/>
                <w:szCs w:val="10"/>
                <w:color w:val="auto"/>
              </w:rPr>
            </w:pPr>
          </w:p>
        </w:tc>
        <w:tc>
          <w:tcPr>
            <w:tcW w:w="260" w:type="dxa"/>
            <w:vAlign w:val="bottom"/>
            <w:tcBorders>
              <w:top w:val="single" w:sz="8" w:color="1352DE"/>
            </w:tcBorders>
          </w:tcPr>
          <w:p>
            <w:pPr>
              <w:spacing w:after="0"/>
              <w:rPr>
                <w:sz w:val="10"/>
                <w:szCs w:val="10"/>
                <w:color w:val="auto"/>
              </w:rPr>
            </w:pPr>
          </w:p>
        </w:tc>
        <w:tc>
          <w:tcPr>
            <w:tcW w:w="620" w:type="dxa"/>
            <w:vAlign w:val="bottom"/>
            <w:tcBorders>
              <w:top w:val="single" w:sz="8" w:color="1352DE"/>
            </w:tcBorders>
            <w:vMerge w:val="restart"/>
          </w:tcPr>
          <w:p>
            <w:pPr>
              <w:jc w:val="right"/>
              <w:ind w:right="20"/>
              <w:spacing w:after="0"/>
              <w:rPr>
                <w:sz w:val="20"/>
                <w:szCs w:val="20"/>
                <w:color w:val="auto"/>
              </w:rPr>
            </w:pPr>
            <w:r>
              <w:rPr>
                <w:rFonts w:ascii="Arial" w:cs="Arial" w:eastAsia="Arial" w:hAnsi="Arial"/>
                <w:sz w:val="11"/>
                <w:szCs w:val="11"/>
                <w:color w:val="1252DE"/>
              </w:rPr>
              <w:t>Fair Value</w:t>
            </w:r>
          </w:p>
        </w:tc>
        <w:tc>
          <w:tcPr>
            <w:tcW w:w="220" w:type="dxa"/>
            <w:vAlign w:val="bottom"/>
            <w:tcBorders>
              <w:top w:val="single" w:sz="8" w:color="1352DE"/>
            </w:tcBorders>
          </w:tcPr>
          <w:p>
            <w:pPr>
              <w:spacing w:after="0"/>
              <w:rPr>
                <w:sz w:val="10"/>
                <w:szCs w:val="10"/>
                <w:color w:val="auto"/>
              </w:rPr>
            </w:pPr>
          </w:p>
        </w:tc>
        <w:tc>
          <w:tcPr>
            <w:tcW w:w="1140" w:type="dxa"/>
            <w:vAlign w:val="bottom"/>
            <w:tcBorders>
              <w:top w:val="single" w:sz="8" w:color="1352DE"/>
            </w:tcBorders>
          </w:tcPr>
          <w:p>
            <w:pPr>
              <w:jc w:val="right"/>
              <w:ind w:right="20"/>
              <w:spacing w:after="0" w:line="122" w:lineRule="exact"/>
              <w:rPr>
                <w:sz w:val="20"/>
                <w:szCs w:val="20"/>
                <w:color w:val="auto"/>
              </w:rPr>
            </w:pPr>
            <w:r>
              <w:rPr>
                <w:rFonts w:ascii="Arial" w:cs="Arial" w:eastAsia="Arial" w:hAnsi="Arial"/>
                <w:sz w:val="11"/>
                <w:szCs w:val="11"/>
                <w:color w:val="1252DE"/>
              </w:rPr>
              <w:t>Net Realized</w:t>
            </w:r>
          </w:p>
        </w:tc>
        <w:tc>
          <w:tcPr>
            <w:tcW w:w="200" w:type="dxa"/>
            <w:vAlign w:val="bottom"/>
            <w:tcBorders>
              <w:top w:val="single" w:sz="8" w:color="1352DE"/>
            </w:tcBorders>
          </w:tcPr>
          <w:p>
            <w:pPr>
              <w:spacing w:after="0"/>
              <w:rPr>
                <w:sz w:val="10"/>
                <w:szCs w:val="10"/>
                <w:color w:val="auto"/>
              </w:rPr>
            </w:pPr>
          </w:p>
        </w:tc>
        <w:tc>
          <w:tcPr>
            <w:tcW w:w="900" w:type="dxa"/>
            <w:vAlign w:val="bottom"/>
            <w:tcBorders>
              <w:top w:val="single" w:sz="8" w:color="1352DE"/>
            </w:tcBorders>
            <w:vMerge w:val="restart"/>
          </w:tcPr>
          <w:p>
            <w:pPr>
              <w:jc w:val="right"/>
              <w:ind w:right="20"/>
              <w:spacing w:after="0"/>
              <w:rPr>
                <w:sz w:val="20"/>
                <w:szCs w:val="20"/>
                <w:color w:val="auto"/>
              </w:rPr>
            </w:pPr>
            <w:r>
              <w:rPr>
                <w:rFonts w:ascii="Arial" w:cs="Arial" w:eastAsia="Arial" w:hAnsi="Arial"/>
                <w:sz w:val="11"/>
                <w:szCs w:val="11"/>
                <w:color w:val="1252DE"/>
              </w:rPr>
              <w:t>Other</w:t>
            </w:r>
          </w:p>
        </w:tc>
        <w:tc>
          <w:tcPr>
            <w:tcW w:w="200" w:type="dxa"/>
            <w:vAlign w:val="bottom"/>
            <w:tcBorders>
              <w:top w:val="single" w:sz="8" w:color="1352DE"/>
            </w:tcBorders>
          </w:tcPr>
          <w:p>
            <w:pPr>
              <w:spacing w:after="0"/>
              <w:rPr>
                <w:sz w:val="10"/>
                <w:szCs w:val="10"/>
                <w:color w:val="auto"/>
              </w:rPr>
            </w:pPr>
          </w:p>
        </w:tc>
        <w:tc>
          <w:tcPr>
            <w:tcW w:w="620" w:type="dxa"/>
            <w:vAlign w:val="bottom"/>
            <w:tcBorders>
              <w:top w:val="single" w:sz="8" w:color="1352DE"/>
            </w:tcBorders>
          </w:tcPr>
          <w:p>
            <w:pPr>
              <w:spacing w:after="0"/>
              <w:rPr>
                <w:sz w:val="10"/>
                <w:szCs w:val="10"/>
                <w:color w:val="auto"/>
              </w:rPr>
            </w:pPr>
          </w:p>
        </w:tc>
        <w:tc>
          <w:tcPr>
            <w:tcW w:w="300" w:type="dxa"/>
            <w:vAlign w:val="bottom"/>
            <w:tcBorders>
              <w:top w:val="single" w:sz="8" w:color="1352DE"/>
            </w:tcBorders>
          </w:tcPr>
          <w:p>
            <w:pPr>
              <w:spacing w:after="0"/>
              <w:rPr>
                <w:sz w:val="10"/>
                <w:szCs w:val="10"/>
                <w:color w:val="auto"/>
              </w:rPr>
            </w:pPr>
          </w:p>
        </w:tc>
        <w:tc>
          <w:tcPr>
            <w:tcW w:w="520" w:type="dxa"/>
            <w:vAlign w:val="bottom"/>
            <w:tcBorders>
              <w:top w:val="single" w:sz="8" w:color="1352DE"/>
            </w:tcBorders>
          </w:tcPr>
          <w:p>
            <w:pPr>
              <w:spacing w:after="0"/>
              <w:rPr>
                <w:sz w:val="10"/>
                <w:szCs w:val="10"/>
                <w:color w:val="auto"/>
              </w:rPr>
            </w:pPr>
          </w:p>
        </w:tc>
        <w:tc>
          <w:tcPr>
            <w:tcW w:w="200" w:type="dxa"/>
            <w:vAlign w:val="bottom"/>
            <w:tcBorders>
              <w:top w:val="single" w:sz="8" w:color="1352DE"/>
            </w:tcBorders>
          </w:tcPr>
          <w:p>
            <w:pPr>
              <w:spacing w:after="0"/>
              <w:rPr>
                <w:sz w:val="10"/>
                <w:szCs w:val="10"/>
                <w:color w:val="auto"/>
              </w:rPr>
            </w:pPr>
          </w:p>
        </w:tc>
        <w:tc>
          <w:tcPr>
            <w:tcW w:w="840" w:type="dxa"/>
            <w:vAlign w:val="bottom"/>
            <w:tcBorders>
              <w:top w:val="single" w:sz="8" w:color="1352DE"/>
            </w:tcBorders>
            <w:gridSpan w:val="2"/>
            <w:vMerge w:val="restart"/>
          </w:tcPr>
          <w:p>
            <w:pPr>
              <w:jc w:val="right"/>
              <w:ind w:right="160"/>
              <w:spacing w:after="0"/>
              <w:rPr>
                <w:sz w:val="20"/>
                <w:szCs w:val="20"/>
                <w:color w:val="auto"/>
              </w:rPr>
            </w:pPr>
            <w:r>
              <w:rPr>
                <w:rFonts w:ascii="Arial" w:cs="Arial" w:eastAsia="Arial" w:hAnsi="Arial"/>
                <w:sz w:val="11"/>
                <w:szCs w:val="11"/>
                <w:color w:val="1252DE"/>
              </w:rPr>
              <w:t>Issuances</w:t>
            </w:r>
          </w:p>
        </w:tc>
        <w:tc>
          <w:tcPr>
            <w:tcW w:w="120" w:type="dxa"/>
            <w:vAlign w:val="bottom"/>
            <w:tcBorders>
              <w:top w:val="single" w:sz="8" w:color="1352DE"/>
            </w:tcBorders>
          </w:tcPr>
          <w:p>
            <w:pPr>
              <w:spacing w:after="0"/>
              <w:rPr>
                <w:sz w:val="10"/>
                <w:szCs w:val="10"/>
                <w:color w:val="auto"/>
              </w:rPr>
            </w:pPr>
          </w:p>
        </w:tc>
        <w:tc>
          <w:tcPr>
            <w:tcW w:w="560" w:type="dxa"/>
            <w:vAlign w:val="bottom"/>
            <w:tcBorders>
              <w:top w:val="single" w:sz="8" w:color="1352DE"/>
            </w:tcBorders>
            <w:vMerge w:val="restart"/>
          </w:tcPr>
          <w:p>
            <w:pPr>
              <w:jc w:val="right"/>
              <w:ind w:right="20"/>
              <w:spacing w:after="0"/>
              <w:rPr>
                <w:sz w:val="20"/>
                <w:szCs w:val="20"/>
                <w:color w:val="auto"/>
              </w:rPr>
            </w:pPr>
            <w:r>
              <w:rPr>
                <w:rFonts w:ascii="Arial" w:cs="Arial" w:eastAsia="Arial" w:hAnsi="Arial"/>
                <w:sz w:val="11"/>
                <w:szCs w:val="11"/>
                <w:color w:val="1252DE"/>
              </w:rPr>
              <w:t>Gross</w:t>
            </w:r>
          </w:p>
        </w:tc>
        <w:tc>
          <w:tcPr>
            <w:tcW w:w="200" w:type="dxa"/>
            <w:vAlign w:val="bottom"/>
            <w:tcBorders>
              <w:top w:val="single" w:sz="8" w:color="1352DE"/>
            </w:tcBorders>
          </w:tcPr>
          <w:p>
            <w:pPr>
              <w:spacing w:after="0"/>
              <w:rPr>
                <w:sz w:val="10"/>
                <w:szCs w:val="10"/>
                <w:color w:val="auto"/>
              </w:rPr>
            </w:pPr>
          </w:p>
        </w:tc>
        <w:tc>
          <w:tcPr>
            <w:tcW w:w="560" w:type="dxa"/>
            <w:vAlign w:val="bottom"/>
            <w:tcBorders>
              <w:top w:val="single" w:sz="8" w:color="1352DE"/>
            </w:tcBorders>
            <w:vMerge w:val="restart"/>
          </w:tcPr>
          <w:p>
            <w:pPr>
              <w:jc w:val="right"/>
              <w:ind w:right="20"/>
              <w:spacing w:after="0"/>
              <w:rPr>
                <w:sz w:val="20"/>
                <w:szCs w:val="20"/>
                <w:color w:val="auto"/>
              </w:rPr>
            </w:pPr>
            <w:r>
              <w:rPr>
                <w:rFonts w:ascii="Arial" w:cs="Arial" w:eastAsia="Arial" w:hAnsi="Arial"/>
                <w:sz w:val="11"/>
                <w:szCs w:val="11"/>
                <w:color w:val="1252DE"/>
              </w:rPr>
              <w:t>Gross</w:t>
            </w:r>
          </w:p>
        </w:tc>
        <w:tc>
          <w:tcPr>
            <w:tcW w:w="220" w:type="dxa"/>
            <w:vAlign w:val="bottom"/>
            <w:tcBorders>
              <w:top w:val="single" w:sz="8" w:color="1352DE"/>
            </w:tcBorders>
          </w:tcPr>
          <w:p>
            <w:pPr>
              <w:spacing w:after="0"/>
              <w:rPr>
                <w:sz w:val="10"/>
                <w:szCs w:val="10"/>
                <w:color w:val="auto"/>
              </w:rPr>
            </w:pPr>
          </w:p>
        </w:tc>
        <w:tc>
          <w:tcPr>
            <w:tcW w:w="420" w:type="dxa"/>
            <w:vAlign w:val="bottom"/>
            <w:tcBorders>
              <w:top w:val="single" w:sz="8" w:color="1352DE"/>
            </w:tcBorders>
          </w:tcPr>
          <w:p>
            <w:pPr>
              <w:spacing w:after="0"/>
              <w:rPr>
                <w:sz w:val="10"/>
                <w:szCs w:val="10"/>
                <w:color w:val="auto"/>
              </w:rPr>
            </w:pPr>
          </w:p>
        </w:tc>
        <w:tc>
          <w:tcPr>
            <w:tcW w:w="240" w:type="dxa"/>
            <w:vAlign w:val="bottom"/>
            <w:tcBorders>
              <w:top w:val="single" w:sz="8" w:color="1352DE"/>
            </w:tcBorders>
          </w:tcPr>
          <w:p>
            <w:pPr>
              <w:spacing w:after="0"/>
              <w:rPr>
                <w:sz w:val="10"/>
                <w:szCs w:val="10"/>
                <w:color w:val="auto"/>
              </w:rPr>
            </w:pPr>
          </w:p>
        </w:tc>
        <w:tc>
          <w:tcPr>
            <w:tcW w:w="440" w:type="dxa"/>
            <w:vAlign w:val="bottom"/>
            <w:tcBorders>
              <w:top w:val="single" w:sz="8" w:color="1352DE"/>
            </w:tcBorders>
          </w:tcPr>
          <w:p>
            <w:pPr>
              <w:jc w:val="right"/>
              <w:spacing w:after="0" w:line="122" w:lineRule="exact"/>
              <w:rPr>
                <w:sz w:val="20"/>
                <w:szCs w:val="20"/>
                <w:color w:val="auto"/>
              </w:rPr>
            </w:pPr>
            <w:r>
              <w:rPr>
                <w:rFonts w:ascii="Arial" w:cs="Arial" w:eastAsia="Arial" w:hAnsi="Arial"/>
                <w:sz w:val="11"/>
                <w:szCs w:val="11"/>
                <w:color w:val="1252DE"/>
              </w:rPr>
              <w:t>Fair</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and Unrealized</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1252DE"/>
              </w:rPr>
              <w:t>Value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Beginning</w:t>
            </w:r>
          </w:p>
        </w:tc>
        <w:tc>
          <w:tcPr>
            <w:tcW w:w="220" w:type="dxa"/>
            <w:vAlign w:val="bottom"/>
          </w:tcPr>
          <w:p>
            <w:pPr>
              <w:spacing w:after="0"/>
              <w:rPr>
                <w:sz w:val="9"/>
                <w:szCs w:val="9"/>
                <w:color w:val="auto"/>
              </w:rPr>
            </w:pPr>
          </w:p>
        </w:tc>
        <w:tc>
          <w:tcPr>
            <w:tcW w:w="114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Gains (Losses)</w:t>
            </w:r>
          </w:p>
        </w:tc>
        <w:tc>
          <w:tcPr>
            <w:tcW w:w="200" w:type="dxa"/>
            <w:vAlign w:val="bottom"/>
          </w:tcPr>
          <w:p>
            <w:pPr>
              <w:spacing w:after="0"/>
              <w:rPr>
                <w:sz w:val="9"/>
                <w:szCs w:val="9"/>
                <w:color w:val="auto"/>
              </w:rPr>
            </w:pPr>
          </w:p>
        </w:tc>
        <w:tc>
          <w:tcPr>
            <w:tcW w:w="90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Comprehensive</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60"/>
              <w:spacing w:after="0" w:line="108" w:lineRule="exact"/>
              <w:rPr>
                <w:sz w:val="20"/>
                <w:szCs w:val="20"/>
                <w:color w:val="auto"/>
              </w:rPr>
            </w:pPr>
            <w:r>
              <w:rPr>
                <w:rFonts w:ascii="Arial" w:cs="Arial" w:eastAsia="Arial" w:hAnsi="Arial"/>
                <w:sz w:val="11"/>
                <w:szCs w:val="11"/>
                <w:color w:val="1252DE"/>
              </w:rPr>
              <w:t>and</w:t>
            </w:r>
          </w:p>
        </w:tc>
        <w:tc>
          <w:tcPr>
            <w:tcW w:w="120" w:type="dxa"/>
            <w:vAlign w:val="bottom"/>
          </w:tcPr>
          <w:p>
            <w:pPr>
              <w:spacing w:after="0"/>
              <w:rPr>
                <w:sz w:val="9"/>
                <w:szCs w:val="9"/>
                <w:color w:val="auto"/>
              </w:rPr>
            </w:pPr>
          </w:p>
        </w:tc>
        <w:tc>
          <w:tcPr>
            <w:tcW w:w="560" w:type="dxa"/>
            <w:vAlign w:val="bottom"/>
          </w:tcPr>
          <w:p>
            <w:pPr>
              <w:jc w:val="right"/>
              <w:ind w:right="20"/>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560" w:type="dxa"/>
            <w:vAlign w:val="bottom"/>
          </w:tcPr>
          <w:p>
            <w:pPr>
              <w:jc w:val="right"/>
              <w:ind w:right="20"/>
              <w:spacing w:after="0" w:line="108" w:lineRule="exact"/>
              <w:rPr>
                <w:sz w:val="20"/>
                <w:szCs w:val="20"/>
                <w:color w:val="auto"/>
              </w:rPr>
            </w:pPr>
            <w:r>
              <w:rPr>
                <w:rFonts w:ascii="Arial" w:cs="Arial" w:eastAsia="Arial" w:hAnsi="Arial"/>
                <w:sz w:val="11"/>
                <w:szCs w:val="11"/>
                <w:color w:val="1252DE"/>
                <w:w w:val="98"/>
              </w:rPr>
              <w:t>Transfers</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1252DE"/>
              </w:rPr>
              <w:t>End of</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1352DE"/>
            </w:tcBorders>
          </w:tcPr>
          <w:p>
            <w:pPr>
              <w:ind w:left="40"/>
              <w:spacing w:after="0"/>
              <w:rPr>
                <w:sz w:val="20"/>
                <w:szCs w:val="20"/>
                <w:color w:val="auto"/>
              </w:rPr>
            </w:pPr>
            <w:r>
              <w:rPr>
                <w:rFonts w:ascii="Arial" w:cs="Arial" w:eastAsia="Arial" w:hAnsi="Arial"/>
                <w:sz w:val="11"/>
                <w:szCs w:val="11"/>
                <w:i w:val="1"/>
                <w:iCs w:val="1"/>
                <w:color w:val="1252DE"/>
              </w:rPr>
              <w:t>(in millions)</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20"/>
              <w:spacing w:after="0"/>
              <w:rPr>
                <w:sz w:val="20"/>
                <w:szCs w:val="20"/>
                <w:color w:val="auto"/>
              </w:rPr>
            </w:pPr>
            <w:r>
              <w:rPr>
                <w:rFonts w:ascii="Arial" w:cs="Arial" w:eastAsia="Arial" w:hAnsi="Arial"/>
                <w:sz w:val="11"/>
                <w:szCs w:val="11"/>
                <w:color w:val="1252DE"/>
              </w:rPr>
              <w:t>of Period</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20"/>
              <w:spacing w:after="0"/>
              <w:rPr>
                <w:sz w:val="20"/>
                <w:szCs w:val="20"/>
                <w:color w:val="auto"/>
              </w:rPr>
            </w:pPr>
            <w:r>
              <w:rPr>
                <w:rFonts w:ascii="Arial" w:cs="Arial" w:eastAsia="Arial" w:hAnsi="Arial"/>
                <w:sz w:val="11"/>
                <w:szCs w:val="11"/>
                <w:color w:val="1252DE"/>
              </w:rPr>
              <w:t>Included in Income</w:t>
            </w:r>
            <w:r>
              <w:rPr>
                <w:rFonts w:ascii="Arial" w:cs="Arial" w:eastAsia="Arial" w:hAnsi="Arial"/>
                <w:sz w:val="14"/>
                <w:szCs w:val="14"/>
                <w:color w:val="1252DE"/>
                <w:vertAlign w:val="superscript"/>
              </w:rPr>
              <w:t>(a)</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20"/>
              <w:spacing w:after="0"/>
              <w:rPr>
                <w:sz w:val="20"/>
                <w:szCs w:val="20"/>
                <w:color w:val="auto"/>
              </w:rPr>
            </w:pPr>
            <w:r>
              <w:rPr>
                <w:rFonts w:ascii="Arial" w:cs="Arial" w:eastAsia="Arial" w:hAnsi="Arial"/>
                <w:sz w:val="11"/>
                <w:szCs w:val="11"/>
                <w:color w:val="1252DE"/>
              </w:rPr>
              <w:t>Income (Loss)</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w w:val="99"/>
              </w:rPr>
              <w:t>Purchases</w:t>
            </w:r>
          </w:p>
        </w:tc>
        <w:tc>
          <w:tcPr>
            <w:tcW w:w="300" w:type="dxa"/>
            <w:vAlign w:val="bottom"/>
            <w:tcBorders>
              <w:bottom w:val="single" w:sz="8" w:color="1352DE"/>
            </w:tcBorders>
          </w:tcPr>
          <w:p>
            <w:pPr>
              <w:spacing w:after="0"/>
              <w:rPr>
                <w:sz w:val="14"/>
                <w:szCs w:val="14"/>
                <w:color w:val="auto"/>
              </w:rPr>
            </w:pPr>
          </w:p>
        </w:tc>
        <w:tc>
          <w:tcPr>
            <w:tcW w:w="5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rPr>
              <w:t>Sales</w:t>
            </w:r>
          </w:p>
        </w:tc>
        <w:tc>
          <w:tcPr>
            <w:tcW w:w="200" w:type="dxa"/>
            <w:vAlign w:val="bottom"/>
            <w:tcBorders>
              <w:bottom w:val="single" w:sz="8" w:color="1352DE"/>
            </w:tcBorders>
          </w:tcPr>
          <w:p>
            <w:pPr>
              <w:spacing w:after="0"/>
              <w:rPr>
                <w:sz w:val="14"/>
                <w:szCs w:val="14"/>
                <w:color w:val="auto"/>
              </w:rPr>
            </w:pPr>
          </w:p>
        </w:tc>
        <w:tc>
          <w:tcPr>
            <w:tcW w:w="84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1"/>
                <w:szCs w:val="11"/>
                <w:color w:val="1252DE"/>
                <w:w w:val="94"/>
              </w:rPr>
              <w:t>Settlements</w:t>
            </w:r>
            <w:r>
              <w:rPr>
                <w:rFonts w:ascii="Arial" w:cs="Arial" w:eastAsia="Arial" w:hAnsi="Arial"/>
                <w:sz w:val="14"/>
                <w:szCs w:val="14"/>
                <w:color w:val="1252DE"/>
                <w:w w:val="94"/>
                <w:vertAlign w:val="superscript"/>
              </w:rPr>
              <w:t>(b)</w:t>
            </w:r>
          </w:p>
        </w:tc>
        <w:tc>
          <w:tcPr>
            <w:tcW w:w="12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20"/>
              <w:spacing w:after="0"/>
              <w:rPr>
                <w:sz w:val="20"/>
                <w:szCs w:val="20"/>
                <w:color w:val="auto"/>
              </w:rPr>
            </w:pPr>
            <w:r>
              <w:rPr>
                <w:rFonts w:ascii="Arial" w:cs="Arial" w:eastAsia="Arial" w:hAnsi="Arial"/>
                <w:sz w:val="11"/>
                <w:szCs w:val="11"/>
                <w:color w:val="1252DE"/>
              </w:rPr>
              <w:t>In</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ind w:left="300"/>
              <w:spacing w:after="0"/>
              <w:rPr>
                <w:sz w:val="20"/>
                <w:szCs w:val="20"/>
                <w:color w:val="auto"/>
              </w:rPr>
            </w:pPr>
            <w:r>
              <w:rPr>
                <w:rFonts w:ascii="Arial" w:cs="Arial" w:eastAsia="Arial" w:hAnsi="Arial"/>
                <w:sz w:val="11"/>
                <w:szCs w:val="11"/>
                <w:color w:val="1252DE"/>
              </w:rPr>
              <w:t>Out</w:t>
            </w:r>
          </w:p>
        </w:tc>
        <w:tc>
          <w:tcPr>
            <w:tcW w:w="220" w:type="dxa"/>
            <w:vAlign w:val="bottom"/>
            <w:tcBorders>
              <w:bottom w:val="single" w:sz="8" w:color="1352DE"/>
            </w:tcBorders>
          </w:tcPr>
          <w:p>
            <w:pPr>
              <w:spacing w:after="0"/>
              <w:rPr>
                <w:sz w:val="14"/>
                <w:szCs w:val="14"/>
                <w:color w:val="auto"/>
              </w:rPr>
            </w:pPr>
          </w:p>
        </w:tc>
        <w:tc>
          <w:tcPr>
            <w:tcW w:w="4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rPr>
              <w:t>Other</w:t>
            </w:r>
          </w:p>
        </w:tc>
        <w:tc>
          <w:tcPr>
            <w:tcW w:w="24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1"/>
                <w:szCs w:val="11"/>
                <w:color w:val="1252DE"/>
              </w:rPr>
              <w:t>Period</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Arial" w:cs="Arial" w:eastAsia="Arial" w:hAnsi="Arial"/>
                <w:sz w:val="12"/>
                <w:szCs w:val="12"/>
                <w:b w:val="1"/>
                <w:bCs w:val="1"/>
                <w:color w:val="3051F2"/>
              </w:rPr>
              <w:t>Three Months Ended September 30, 2026</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2"/>
                <w:szCs w:val="12"/>
                <w:b w:val="1"/>
                <w:bCs w:val="1"/>
                <w:color w:val="1252DE"/>
              </w:rPr>
              <w:t>Assets:</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140"/>
              <w:spacing w:after="0"/>
              <w:rPr>
                <w:sz w:val="20"/>
                <w:szCs w:val="20"/>
                <w:color w:val="auto"/>
              </w:rPr>
            </w:pPr>
            <w:r>
              <w:rPr>
                <w:rFonts w:ascii="Arial" w:cs="Arial" w:eastAsia="Arial" w:hAnsi="Arial"/>
                <w:sz w:val="12"/>
                <w:szCs w:val="12"/>
                <w:b w:val="1"/>
                <w:bCs w:val="1"/>
                <w:color w:val="1252DE"/>
              </w:rPr>
              <w:t>Bonds available for sale:</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40"/>
              <w:spacing w:after="0"/>
              <w:rPr>
                <w:sz w:val="20"/>
                <w:szCs w:val="20"/>
                <w:color w:val="auto"/>
              </w:rPr>
            </w:pPr>
            <w:r>
              <w:rPr>
                <w:rFonts w:ascii="Arial" w:cs="Arial" w:eastAsia="Arial" w:hAnsi="Arial"/>
                <w:sz w:val="12"/>
                <w:szCs w:val="12"/>
                <w:color w:val="auto"/>
              </w:rPr>
              <w:t>Obligations of states, municipalities and</w:t>
            </w: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620" w:type="dxa"/>
            <w:vAlign w:val="bottom"/>
            <w:vMerge w:val="restart"/>
          </w:tcPr>
          <w:p>
            <w:pPr>
              <w:jc w:val="right"/>
              <w:ind w:right="60"/>
              <w:spacing w:after="0"/>
              <w:rPr>
                <w:sz w:val="20"/>
                <w:szCs w:val="20"/>
                <w:color w:val="auto"/>
              </w:rPr>
            </w:pPr>
            <w:r>
              <w:rPr>
                <w:rFonts w:ascii="Arial" w:cs="Arial" w:eastAsia="Arial" w:hAnsi="Arial"/>
                <w:sz w:val="13"/>
                <w:szCs w:val="13"/>
                <w:b w:val="1"/>
                <w:bCs w:val="1"/>
                <w:color w:val="1252DE"/>
              </w:rPr>
              <w:t>5</w:t>
            </w:r>
          </w:p>
        </w:tc>
        <w:tc>
          <w:tcPr>
            <w:tcW w:w="2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1140" w:type="dxa"/>
            <w:vAlign w:val="bottom"/>
            <w:vMerge w:val="restart"/>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900" w:type="dxa"/>
            <w:vAlign w:val="bottom"/>
            <w:vMerge w:val="restart"/>
          </w:tcPr>
          <w:p>
            <w:pPr>
              <w:jc w:val="right"/>
              <w:ind w:right="20"/>
              <w:spacing w:after="0"/>
              <w:rPr>
                <w:sz w:val="20"/>
                <w:szCs w:val="20"/>
                <w:color w:val="auto"/>
              </w:rPr>
            </w:pPr>
            <w:r>
              <w:rPr>
                <w:rFonts w:ascii="Arial" w:cs="Arial" w:eastAsia="Arial" w:hAnsi="Arial"/>
                <w:sz w:val="13"/>
                <w:szCs w:val="13"/>
                <w:b w:val="1"/>
                <w:bCs w:val="1"/>
                <w:color w:val="1252DE"/>
              </w:rPr>
              <w:t>(1)</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62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1252DE"/>
              </w:rPr>
              <w:t>—</w:t>
            </w:r>
          </w:p>
        </w:tc>
        <w:tc>
          <w:tcPr>
            <w:tcW w:w="3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1252DE"/>
              </w:rPr>
              <w:t>$</w:t>
            </w:r>
          </w:p>
        </w:tc>
        <w:tc>
          <w:tcPr>
            <w:tcW w:w="52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1252DE"/>
              </w:rPr>
              <w:t>—</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1252DE"/>
              </w:rPr>
              <w:t>—</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1252DE"/>
                <w:w w:val="82"/>
              </w:rPr>
              <w:t>$</w:t>
            </w:r>
          </w:p>
        </w:tc>
        <w:tc>
          <w:tcPr>
            <w:tcW w:w="560" w:type="dxa"/>
            <w:vAlign w:val="bottom"/>
            <w:vMerge w:val="restart"/>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560" w:type="dxa"/>
            <w:vAlign w:val="bottom"/>
            <w:vMerge w:val="restart"/>
          </w:tcPr>
          <w:p>
            <w:pPr>
              <w:ind w:left="300"/>
              <w:spacing w:after="0"/>
              <w:rPr>
                <w:sz w:val="20"/>
                <w:szCs w:val="20"/>
                <w:color w:val="auto"/>
              </w:rPr>
            </w:pPr>
            <w:r>
              <w:rPr>
                <w:rFonts w:ascii="Arial" w:cs="Arial" w:eastAsia="Arial" w:hAnsi="Arial"/>
                <w:sz w:val="13"/>
                <w:szCs w:val="13"/>
                <w:b w:val="1"/>
                <w:bCs w:val="1"/>
                <w:color w:val="1252DE"/>
              </w:rPr>
              <w:t>—</w:t>
            </w:r>
          </w:p>
        </w:tc>
        <w:tc>
          <w:tcPr>
            <w:tcW w:w="2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42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1252DE"/>
              </w:rPr>
              <w:t>$</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4</w:t>
            </w:r>
          </w:p>
        </w:tc>
        <w:tc>
          <w:tcPr>
            <w:tcW w:w="0" w:type="dxa"/>
            <w:vAlign w:val="bottom"/>
          </w:tcPr>
          <w:p>
            <w:pPr>
              <w:spacing w:after="0"/>
              <w:rPr>
                <w:sz w:val="1"/>
                <w:szCs w:val="1"/>
                <w:color w:val="auto"/>
              </w:rPr>
            </w:pPr>
          </w:p>
        </w:tc>
      </w:tr>
      <w:tr>
        <w:trPr>
          <w:trHeight w:val="152"/>
        </w:trPr>
        <w:tc>
          <w:tcPr>
            <w:tcW w:w="2440" w:type="dxa"/>
            <w:vAlign w:val="bottom"/>
          </w:tcPr>
          <w:p>
            <w:pPr>
              <w:ind w:left="360"/>
              <w:spacing w:after="0"/>
              <w:rPr>
                <w:sz w:val="20"/>
                <w:szCs w:val="20"/>
                <w:color w:val="auto"/>
              </w:rPr>
            </w:pPr>
            <w:r>
              <w:rPr>
                <w:rFonts w:ascii="Arial" w:cs="Arial" w:eastAsia="Arial" w:hAnsi="Arial"/>
                <w:sz w:val="12"/>
                <w:szCs w:val="12"/>
                <w:color w:val="auto"/>
              </w:rPr>
              <w:t>political subdivisions</w:t>
            </w:r>
          </w:p>
        </w:tc>
        <w:tc>
          <w:tcPr>
            <w:tcW w:w="2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40" w:type="dxa"/>
            <w:vAlign w:val="bottom"/>
          </w:tcPr>
          <w:p>
            <w:pPr>
              <w:ind w:left="240"/>
              <w:spacing w:after="0"/>
              <w:rPr>
                <w:sz w:val="20"/>
                <w:szCs w:val="20"/>
                <w:color w:val="auto"/>
              </w:rPr>
            </w:pPr>
            <w:r>
              <w:rPr>
                <w:rFonts w:ascii="Arial" w:cs="Arial" w:eastAsia="Arial" w:hAnsi="Arial"/>
                <w:sz w:val="12"/>
                <w:szCs w:val="12"/>
                <w:color w:val="auto"/>
              </w:rPr>
              <w:t>Corporate debt</w:t>
            </w:r>
          </w:p>
        </w:tc>
        <w:tc>
          <w:tcPr>
            <w:tcW w:w="26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3"/>
                <w:szCs w:val="13"/>
                <w:b w:val="1"/>
                <w:bCs w:val="1"/>
                <w:color w:val="1252DE"/>
              </w:rPr>
              <w:t>76</w:t>
            </w:r>
          </w:p>
        </w:tc>
        <w:tc>
          <w:tcPr>
            <w:tcW w:w="22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b w:val="1"/>
                <w:bCs w:val="1"/>
                <w:color w:val="1252DE"/>
              </w:rPr>
              <w:t>(3)</w:t>
            </w:r>
          </w:p>
        </w:tc>
        <w:tc>
          <w:tcPr>
            <w:tcW w:w="20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3"/>
                <w:szCs w:val="13"/>
                <w:b w:val="1"/>
                <w:bCs w:val="1"/>
                <w:color w:val="1252DE"/>
              </w:rPr>
              <w:t>9</w:t>
            </w:r>
          </w:p>
        </w:tc>
        <w:tc>
          <w:tcPr>
            <w:tcW w:w="20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300" w:type="dxa"/>
            <w:vAlign w:val="bottom"/>
          </w:tcPr>
          <w:p>
            <w:pPr>
              <w:spacing w:after="0"/>
              <w:rPr>
                <w:sz w:val="14"/>
                <w:szCs w:val="14"/>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1252DE"/>
              </w:rPr>
              <w:t>(4)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560" w:type="dxa"/>
            <w:vAlign w:val="bottom"/>
          </w:tcPr>
          <w:p>
            <w:pPr>
              <w:jc w:val="right"/>
              <w:ind w:right="40"/>
              <w:spacing w:after="0"/>
              <w:rPr>
                <w:sz w:val="20"/>
                <w:szCs w:val="20"/>
                <w:color w:val="auto"/>
              </w:rPr>
            </w:pPr>
            <w:r>
              <w:rPr>
                <w:rFonts w:ascii="Arial" w:cs="Arial" w:eastAsia="Arial" w:hAnsi="Arial"/>
                <w:sz w:val="13"/>
                <w:szCs w:val="13"/>
                <w:b w:val="1"/>
                <w:bCs w:val="1"/>
                <w:color w:val="1252DE"/>
              </w:rPr>
              <w:t>(44)</w:t>
            </w:r>
          </w:p>
        </w:tc>
        <w:tc>
          <w:tcPr>
            <w:tcW w:w="22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34</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RMBS</w:t>
            </w:r>
          </w:p>
        </w:tc>
        <w:tc>
          <w:tcPr>
            <w:tcW w:w="26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3"/>
                <w:szCs w:val="13"/>
                <w:b w:val="1"/>
                <w:bCs w:val="1"/>
                <w:color w:val="1252DE"/>
              </w:rPr>
              <w:t>1,450</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b w:val="1"/>
                <w:bCs w:val="1"/>
                <w:color w:val="1252DE"/>
              </w:rPr>
              <w:t>7</w:t>
            </w:r>
          </w:p>
        </w:tc>
        <w:tc>
          <w:tcPr>
            <w:tcW w:w="20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3"/>
                <w:szCs w:val="13"/>
                <w:b w:val="1"/>
                <w:bCs w:val="1"/>
                <w:color w:val="1252DE"/>
              </w:rPr>
              <w:t>(42)</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30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b w:val="1"/>
                <w:bCs w:val="1"/>
                <w:color w:val="1252DE"/>
              </w:rPr>
              <w:t>(15)</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1252DE"/>
              </w:rPr>
              <w:t>(48)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jc w:val="right"/>
              <w:ind w:right="40"/>
              <w:spacing w:after="0"/>
              <w:rPr>
                <w:sz w:val="20"/>
                <w:szCs w:val="20"/>
                <w:color w:val="auto"/>
              </w:rPr>
            </w:pPr>
            <w:r>
              <w:rPr>
                <w:rFonts w:ascii="Arial" w:cs="Arial" w:eastAsia="Arial" w:hAnsi="Arial"/>
                <w:sz w:val="13"/>
                <w:szCs w:val="13"/>
                <w:b w:val="1"/>
                <w:bCs w:val="1"/>
                <w:color w:val="1252DE"/>
              </w:rPr>
              <w:t>(2)</w:t>
            </w:r>
          </w:p>
        </w:tc>
        <w:tc>
          <w:tcPr>
            <w:tcW w:w="220" w:type="dxa"/>
            <w:vAlign w:val="bottom"/>
          </w:tcPr>
          <w:p>
            <w:pPr>
              <w:spacing w:after="0"/>
              <w:rPr>
                <w:sz w:val="15"/>
                <w:szCs w:val="15"/>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1,350</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CMBS</w:t>
            </w:r>
          </w:p>
        </w:tc>
        <w:tc>
          <w:tcPr>
            <w:tcW w:w="26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3"/>
                <w:szCs w:val="13"/>
                <w:b w:val="1"/>
                <w:bCs w:val="1"/>
                <w:color w:val="1252DE"/>
              </w:rPr>
              <w:t>39</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14</w:t>
            </w:r>
          </w:p>
        </w:tc>
        <w:tc>
          <w:tcPr>
            <w:tcW w:w="300" w:type="dxa"/>
            <w:vAlign w:val="bottom"/>
          </w:tcPr>
          <w:p>
            <w:pPr>
              <w:spacing w:after="0"/>
              <w:rPr>
                <w:sz w:val="15"/>
                <w:szCs w:val="15"/>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1252DE"/>
              </w:rPr>
              <w:t>—</w:t>
            </w:r>
          </w:p>
        </w:tc>
        <w:tc>
          <w:tcPr>
            <w:tcW w:w="1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jc w:val="right"/>
              <w:ind w:right="40"/>
              <w:spacing w:after="0"/>
              <w:rPr>
                <w:sz w:val="20"/>
                <w:szCs w:val="20"/>
                <w:color w:val="auto"/>
              </w:rPr>
            </w:pPr>
            <w:r>
              <w:rPr>
                <w:rFonts w:ascii="Arial" w:cs="Arial" w:eastAsia="Arial" w:hAnsi="Arial"/>
                <w:sz w:val="13"/>
                <w:szCs w:val="13"/>
                <w:b w:val="1"/>
                <w:bCs w:val="1"/>
                <w:color w:val="1252DE"/>
              </w:rPr>
              <w:t>(3)</w:t>
            </w:r>
          </w:p>
        </w:tc>
        <w:tc>
          <w:tcPr>
            <w:tcW w:w="220" w:type="dxa"/>
            <w:vAlign w:val="bottom"/>
          </w:tcPr>
          <w:p>
            <w:pPr>
              <w:spacing w:after="0"/>
              <w:rPr>
                <w:sz w:val="15"/>
                <w:szCs w:val="15"/>
                <w:color w:val="auto"/>
              </w:rPr>
            </w:pPr>
          </w:p>
        </w:tc>
        <w:tc>
          <w:tcPr>
            <w:tcW w:w="420" w:type="dxa"/>
            <w:vAlign w:val="bottom"/>
          </w:tcPr>
          <w:p>
            <w:pPr>
              <w:jc w:val="right"/>
              <w:ind w:right="38"/>
              <w:spacing w:after="0"/>
              <w:rPr>
                <w:sz w:val="20"/>
                <w:szCs w:val="20"/>
                <w:color w:val="auto"/>
              </w:rPr>
            </w:pPr>
            <w:r>
              <w:rPr>
                <w:rFonts w:ascii="Arial" w:cs="Arial" w:eastAsia="Arial" w:hAnsi="Arial"/>
                <w:sz w:val="13"/>
                <w:szCs w:val="13"/>
                <w:b w:val="1"/>
                <w:bCs w:val="1"/>
                <w:color w:val="1252DE"/>
              </w:rPr>
              <w:t>(20)</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30</w:t>
            </w:r>
          </w:p>
        </w:tc>
        <w:tc>
          <w:tcPr>
            <w:tcW w:w="0" w:type="dxa"/>
            <w:vAlign w:val="bottom"/>
          </w:tcPr>
          <w:p>
            <w:pPr>
              <w:spacing w:after="0"/>
              <w:rPr>
                <w:sz w:val="1"/>
                <w:szCs w:val="1"/>
                <w:color w:val="auto"/>
              </w:rPr>
            </w:pPr>
          </w:p>
        </w:tc>
      </w:tr>
      <w:tr>
        <w:trPr>
          <w:trHeight w:val="180"/>
        </w:trPr>
        <w:tc>
          <w:tcPr>
            <w:tcW w:w="24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1,858</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20"/>
              <w:spacing w:after="0"/>
              <w:rPr>
                <w:sz w:val="20"/>
                <w:szCs w:val="20"/>
                <w:color w:val="auto"/>
              </w:rPr>
            </w:pPr>
            <w:r>
              <w:rPr>
                <w:rFonts w:ascii="Arial" w:cs="Arial" w:eastAsia="Arial" w:hAnsi="Arial"/>
                <w:sz w:val="13"/>
                <w:szCs w:val="13"/>
                <w:b w:val="1"/>
                <w:bCs w:val="1"/>
                <w:color w:val="1252DE"/>
              </w:rPr>
              <w:t>(2)</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20"/>
              <w:spacing w:after="0"/>
              <w:rPr>
                <w:sz w:val="20"/>
                <w:szCs w:val="20"/>
                <w:color w:val="auto"/>
              </w:rPr>
            </w:pPr>
            <w:r>
              <w:rPr>
                <w:rFonts w:ascii="Arial" w:cs="Arial" w:eastAsia="Arial" w:hAnsi="Arial"/>
                <w:sz w:val="13"/>
                <w:szCs w:val="13"/>
                <w:b w:val="1"/>
                <w:bCs w:val="1"/>
                <w:color w:val="1252DE"/>
              </w:rPr>
              <w:t>(33)</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348</w:t>
            </w:r>
          </w:p>
        </w:tc>
        <w:tc>
          <w:tcPr>
            <w:tcW w:w="300" w:type="dxa"/>
            <w:vAlign w:val="bottom"/>
            <w:tcBorders>
              <w:bottom w:val="single" w:sz="8" w:color="1352DE"/>
            </w:tcBorders>
          </w:tcPr>
          <w:p>
            <w:pPr>
              <w:spacing w:after="0"/>
              <w:rPr>
                <w:sz w:val="15"/>
                <w:szCs w:val="15"/>
                <w:color w:val="auto"/>
              </w:rPr>
            </w:pPr>
          </w:p>
        </w:tc>
        <w:tc>
          <w:tcPr>
            <w:tcW w:w="5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(127)</w:t>
            </w:r>
          </w:p>
        </w:tc>
        <w:tc>
          <w:tcPr>
            <w:tcW w:w="200" w:type="dxa"/>
            <w:vAlign w:val="bottom"/>
            <w:tcBorders>
              <w:bottom w:val="single" w:sz="8" w:color="1352DE"/>
            </w:tcBorders>
          </w:tcPr>
          <w:p>
            <w:pPr>
              <w:spacing w:after="0"/>
              <w:rPr>
                <w:sz w:val="15"/>
                <w:szCs w:val="15"/>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(56)</w:t>
            </w:r>
          </w:p>
        </w:tc>
        <w:tc>
          <w:tcPr>
            <w:tcW w:w="140" w:type="dxa"/>
            <w:vAlign w:val="bottom"/>
            <w:tcBorders>
              <w:bottom w:val="single" w:sz="8" w:color="1352DE"/>
            </w:tcBorders>
          </w:tcPr>
          <w:p>
            <w:pPr>
              <w:spacing w:after="0"/>
              <w:rPr>
                <w:sz w:val="15"/>
                <w:szCs w:val="15"/>
                <w:color w:val="auto"/>
              </w:rPr>
            </w:pPr>
          </w:p>
        </w:tc>
        <w:tc>
          <w:tcPr>
            <w:tcW w:w="12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25</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40"/>
              <w:spacing w:after="0"/>
              <w:rPr>
                <w:sz w:val="20"/>
                <w:szCs w:val="20"/>
                <w:color w:val="auto"/>
              </w:rPr>
            </w:pPr>
            <w:r>
              <w:rPr>
                <w:rFonts w:ascii="Arial" w:cs="Arial" w:eastAsia="Arial" w:hAnsi="Arial"/>
                <w:sz w:val="13"/>
                <w:szCs w:val="13"/>
                <w:b w:val="1"/>
                <w:bCs w:val="1"/>
                <w:color w:val="1252DE"/>
              </w:rPr>
              <w:t>(43)</w:t>
            </w:r>
          </w:p>
        </w:tc>
        <w:tc>
          <w:tcPr>
            <w:tcW w:w="22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252DE"/>
              </w:rPr>
              <w:t>20</w:t>
            </w:r>
          </w:p>
        </w:tc>
        <w:tc>
          <w:tcPr>
            <w:tcW w:w="24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1,990</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252DE"/>
              </w:rPr>
              <w:t>Total bonds available for sale</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3,428</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2</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20"/>
              <w:spacing w:after="0"/>
              <w:rPr>
                <w:sz w:val="20"/>
                <w:szCs w:val="20"/>
                <w:color w:val="auto"/>
              </w:rPr>
            </w:pPr>
            <w:r>
              <w:rPr>
                <w:rFonts w:ascii="Arial" w:cs="Arial" w:eastAsia="Arial" w:hAnsi="Arial"/>
                <w:sz w:val="13"/>
                <w:szCs w:val="13"/>
                <w:b w:val="1"/>
                <w:bCs w:val="1"/>
                <w:color w:val="1252DE"/>
              </w:rPr>
              <w:t>(67)</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362</w:t>
            </w:r>
          </w:p>
        </w:tc>
        <w:tc>
          <w:tcPr>
            <w:tcW w:w="300" w:type="dxa"/>
            <w:vAlign w:val="bottom"/>
            <w:tcBorders>
              <w:bottom w:val="single" w:sz="8" w:color="1352DE"/>
            </w:tcBorders>
          </w:tcPr>
          <w:p>
            <w:pPr>
              <w:spacing w:after="0"/>
              <w:rPr>
                <w:sz w:val="14"/>
                <w:szCs w:val="14"/>
                <w:color w:val="auto"/>
              </w:rPr>
            </w:pPr>
          </w:p>
        </w:tc>
        <w:tc>
          <w:tcPr>
            <w:tcW w:w="5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(142)</w:t>
            </w:r>
          </w:p>
        </w:tc>
        <w:tc>
          <w:tcPr>
            <w:tcW w:w="200" w:type="dxa"/>
            <w:vAlign w:val="bottom"/>
            <w:tcBorders>
              <w:bottom w:val="single" w:sz="8" w:color="1352DE"/>
            </w:tcBorders>
          </w:tcPr>
          <w:p>
            <w:pPr>
              <w:spacing w:after="0"/>
              <w:rPr>
                <w:sz w:val="14"/>
                <w:szCs w:val="14"/>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(108)</w:t>
            </w:r>
          </w:p>
        </w:tc>
        <w:tc>
          <w:tcPr>
            <w:tcW w:w="140" w:type="dxa"/>
            <w:vAlign w:val="bottom"/>
            <w:tcBorders>
              <w:bottom w:val="single" w:sz="8" w:color="1352DE"/>
            </w:tcBorders>
          </w:tcPr>
          <w:p>
            <w:pPr>
              <w:spacing w:after="0"/>
              <w:rPr>
                <w:sz w:val="14"/>
                <w:szCs w:val="14"/>
                <w:color w:val="auto"/>
              </w:rPr>
            </w:pPr>
          </w:p>
        </w:tc>
        <w:tc>
          <w:tcPr>
            <w:tcW w:w="12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25</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40"/>
              <w:spacing w:after="0"/>
              <w:rPr>
                <w:sz w:val="20"/>
                <w:szCs w:val="20"/>
                <w:color w:val="auto"/>
              </w:rPr>
            </w:pPr>
            <w:r>
              <w:rPr>
                <w:rFonts w:ascii="Arial" w:cs="Arial" w:eastAsia="Arial" w:hAnsi="Arial"/>
                <w:sz w:val="13"/>
                <w:szCs w:val="13"/>
                <w:b w:val="1"/>
                <w:bCs w:val="1"/>
                <w:color w:val="1252DE"/>
              </w:rPr>
              <w:t>(92)</w:t>
            </w:r>
          </w:p>
        </w:tc>
        <w:tc>
          <w:tcPr>
            <w:tcW w:w="220" w:type="dxa"/>
            <w:vAlign w:val="bottom"/>
            <w:tcBorders>
              <w:bottom w:val="single" w:sz="8" w:color="1352DE"/>
            </w:tcBorders>
          </w:tcPr>
          <w:p>
            <w:pPr>
              <w:spacing w:after="0"/>
              <w:rPr>
                <w:sz w:val="14"/>
                <w:szCs w:val="14"/>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3,408</w:t>
            </w:r>
          </w:p>
        </w:tc>
        <w:tc>
          <w:tcPr>
            <w:tcW w:w="0" w:type="dxa"/>
            <w:vAlign w:val="bottom"/>
          </w:tcPr>
          <w:p>
            <w:pPr>
              <w:spacing w:after="0"/>
              <w:rPr>
                <w:sz w:val="1"/>
                <w:szCs w:val="1"/>
                <w:color w:val="auto"/>
              </w:rPr>
            </w:pPr>
          </w:p>
        </w:tc>
      </w:tr>
      <w:tr>
        <w:trPr>
          <w:trHeight w:val="159"/>
        </w:trPr>
        <w:tc>
          <w:tcPr>
            <w:tcW w:w="2440" w:type="dxa"/>
            <w:vAlign w:val="bottom"/>
          </w:tcPr>
          <w:p>
            <w:pPr>
              <w:ind w:left="140"/>
              <w:spacing w:after="0"/>
              <w:rPr>
                <w:sz w:val="20"/>
                <w:szCs w:val="20"/>
                <w:color w:val="auto"/>
              </w:rPr>
            </w:pPr>
            <w:r>
              <w:rPr>
                <w:rFonts w:ascii="Arial" w:cs="Arial" w:eastAsia="Arial" w:hAnsi="Arial"/>
                <w:sz w:val="12"/>
                <w:szCs w:val="12"/>
                <w:b w:val="1"/>
                <w:bCs w:val="1"/>
                <w:color w:val="1252DE"/>
              </w:rPr>
              <w:t>Other bond securities:</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40" w:type="dxa"/>
            <w:vAlign w:val="bottom"/>
          </w:tcPr>
          <w:p>
            <w:pPr>
              <w:ind w:left="240"/>
              <w:spacing w:after="0"/>
              <w:rPr>
                <w:sz w:val="20"/>
                <w:szCs w:val="20"/>
                <w:color w:val="auto"/>
              </w:rPr>
            </w:pPr>
            <w:r>
              <w:rPr>
                <w:rFonts w:ascii="Arial" w:cs="Arial" w:eastAsia="Arial" w:hAnsi="Arial"/>
                <w:sz w:val="12"/>
                <w:szCs w:val="12"/>
                <w:color w:val="auto"/>
              </w:rPr>
              <w:t>RMBS</w:t>
            </w:r>
          </w:p>
        </w:tc>
        <w:tc>
          <w:tcPr>
            <w:tcW w:w="26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3"/>
                <w:szCs w:val="13"/>
                <w:b w:val="1"/>
                <w:bCs w:val="1"/>
                <w:color w:val="1252DE"/>
              </w:rPr>
              <w:t>53</w:t>
            </w:r>
          </w:p>
        </w:tc>
        <w:tc>
          <w:tcPr>
            <w:tcW w:w="22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30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1252DE"/>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ind w:left="300"/>
              <w:spacing w:after="0"/>
              <w:rPr>
                <w:sz w:val="20"/>
                <w:szCs w:val="20"/>
                <w:color w:val="auto"/>
              </w:rPr>
            </w:pPr>
            <w:r>
              <w:rPr>
                <w:rFonts w:ascii="Arial" w:cs="Arial" w:eastAsia="Arial" w:hAnsi="Arial"/>
                <w:sz w:val="13"/>
                <w:szCs w:val="13"/>
                <w:b w:val="1"/>
                <w:bCs w:val="1"/>
                <w:color w:val="1252DE"/>
              </w:rPr>
              <w:t>—</w:t>
            </w:r>
          </w:p>
        </w:tc>
        <w:tc>
          <w:tcPr>
            <w:tcW w:w="220" w:type="dxa"/>
            <w:vAlign w:val="bottom"/>
          </w:tcPr>
          <w:p>
            <w:pPr>
              <w:spacing w:after="0"/>
              <w:rPr>
                <w:sz w:val="15"/>
                <w:szCs w:val="15"/>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50</w:t>
            </w:r>
          </w:p>
        </w:tc>
        <w:tc>
          <w:tcPr>
            <w:tcW w:w="0" w:type="dxa"/>
            <w:vAlign w:val="bottom"/>
          </w:tcPr>
          <w:p>
            <w:pPr>
              <w:spacing w:after="0"/>
              <w:rPr>
                <w:sz w:val="1"/>
                <w:szCs w:val="1"/>
                <w:color w:val="auto"/>
              </w:rPr>
            </w:pPr>
          </w:p>
        </w:tc>
      </w:tr>
      <w:tr>
        <w:trPr>
          <w:trHeight w:val="180"/>
        </w:trPr>
        <w:tc>
          <w:tcPr>
            <w:tcW w:w="24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105</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2</w:t>
            </w:r>
          </w:p>
        </w:tc>
        <w:tc>
          <w:tcPr>
            <w:tcW w:w="300" w:type="dxa"/>
            <w:vAlign w:val="bottom"/>
            <w:tcBorders>
              <w:bottom w:val="single" w:sz="8" w:color="1352DE"/>
            </w:tcBorders>
          </w:tcPr>
          <w:p>
            <w:pPr>
              <w:spacing w:after="0"/>
              <w:rPr>
                <w:sz w:val="15"/>
                <w:szCs w:val="15"/>
                <w:color w:val="auto"/>
              </w:rPr>
            </w:pPr>
          </w:p>
        </w:tc>
        <w:tc>
          <w:tcPr>
            <w:tcW w:w="5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w:t>
            </w:r>
          </w:p>
        </w:tc>
        <w:tc>
          <w:tcPr>
            <w:tcW w:w="140" w:type="dxa"/>
            <w:vAlign w:val="bottom"/>
            <w:tcBorders>
              <w:bottom w:val="single" w:sz="8" w:color="1352DE"/>
            </w:tcBorders>
          </w:tcPr>
          <w:p>
            <w:pPr>
              <w:spacing w:after="0"/>
              <w:rPr>
                <w:sz w:val="15"/>
                <w:szCs w:val="15"/>
                <w:color w:val="auto"/>
              </w:rPr>
            </w:pPr>
          </w:p>
        </w:tc>
        <w:tc>
          <w:tcPr>
            <w:tcW w:w="12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ind w:left="300"/>
              <w:spacing w:after="0"/>
              <w:rPr>
                <w:sz w:val="20"/>
                <w:szCs w:val="20"/>
                <w:color w:val="auto"/>
              </w:rPr>
            </w:pPr>
            <w:r>
              <w:rPr>
                <w:rFonts w:ascii="Arial" w:cs="Arial" w:eastAsia="Arial" w:hAnsi="Arial"/>
                <w:sz w:val="13"/>
                <w:szCs w:val="13"/>
                <w:b w:val="1"/>
                <w:bCs w:val="1"/>
                <w:color w:val="1252DE"/>
              </w:rPr>
              <w:t>—</w:t>
            </w:r>
          </w:p>
        </w:tc>
        <w:tc>
          <w:tcPr>
            <w:tcW w:w="22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106</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252DE"/>
              </w:rPr>
              <w:t>Total other bond securities</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158</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20"/>
              <w:spacing w:after="0"/>
              <w:rPr>
                <w:sz w:val="20"/>
                <w:szCs w:val="20"/>
                <w:color w:val="auto"/>
              </w:rPr>
            </w:pPr>
            <w:r>
              <w:rPr>
                <w:rFonts w:ascii="Arial" w:cs="Arial" w:eastAsia="Arial" w:hAnsi="Arial"/>
                <w:sz w:val="13"/>
                <w:szCs w:val="13"/>
                <w:b w:val="1"/>
                <w:bCs w:val="1"/>
                <w:color w:val="1252DE"/>
              </w:rPr>
              <w:t>(1)</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2</w:t>
            </w:r>
          </w:p>
        </w:tc>
        <w:tc>
          <w:tcPr>
            <w:tcW w:w="300" w:type="dxa"/>
            <w:vAlign w:val="bottom"/>
            <w:tcBorders>
              <w:bottom w:val="single" w:sz="8" w:color="1352DE"/>
            </w:tcBorders>
          </w:tcPr>
          <w:p>
            <w:pPr>
              <w:spacing w:after="0"/>
              <w:rPr>
                <w:sz w:val="14"/>
                <w:szCs w:val="14"/>
                <w:color w:val="auto"/>
              </w:rPr>
            </w:pPr>
          </w:p>
        </w:tc>
        <w:tc>
          <w:tcPr>
            <w:tcW w:w="5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(1)</w:t>
            </w:r>
          </w:p>
        </w:tc>
        <w:tc>
          <w:tcPr>
            <w:tcW w:w="200" w:type="dxa"/>
            <w:vAlign w:val="bottom"/>
            <w:tcBorders>
              <w:bottom w:val="single" w:sz="8" w:color="1352DE"/>
            </w:tcBorders>
          </w:tcPr>
          <w:p>
            <w:pPr>
              <w:spacing w:after="0"/>
              <w:rPr>
                <w:sz w:val="14"/>
                <w:szCs w:val="14"/>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(2)</w:t>
            </w:r>
          </w:p>
        </w:tc>
        <w:tc>
          <w:tcPr>
            <w:tcW w:w="140" w:type="dxa"/>
            <w:vAlign w:val="bottom"/>
            <w:tcBorders>
              <w:bottom w:val="single" w:sz="8" w:color="1352DE"/>
            </w:tcBorders>
          </w:tcPr>
          <w:p>
            <w:pPr>
              <w:spacing w:after="0"/>
              <w:rPr>
                <w:sz w:val="14"/>
                <w:szCs w:val="14"/>
                <w:color w:val="auto"/>
              </w:rPr>
            </w:pPr>
          </w:p>
        </w:tc>
        <w:tc>
          <w:tcPr>
            <w:tcW w:w="12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ind w:left="300"/>
              <w:spacing w:after="0"/>
              <w:rPr>
                <w:sz w:val="20"/>
                <w:szCs w:val="20"/>
                <w:color w:val="auto"/>
              </w:rPr>
            </w:pPr>
            <w:r>
              <w:rPr>
                <w:rFonts w:ascii="Arial" w:cs="Arial" w:eastAsia="Arial" w:hAnsi="Arial"/>
                <w:sz w:val="13"/>
                <w:szCs w:val="13"/>
                <w:b w:val="1"/>
                <w:bCs w:val="1"/>
                <w:color w:val="1252DE"/>
              </w:rPr>
              <w:t>—</w:t>
            </w:r>
          </w:p>
        </w:tc>
        <w:tc>
          <w:tcPr>
            <w:tcW w:w="220" w:type="dxa"/>
            <w:vAlign w:val="bottom"/>
            <w:tcBorders>
              <w:bottom w:val="single" w:sz="8" w:color="1352DE"/>
            </w:tcBorders>
          </w:tcPr>
          <w:p>
            <w:pPr>
              <w:spacing w:after="0"/>
              <w:rPr>
                <w:sz w:val="14"/>
                <w:szCs w:val="14"/>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156</w:t>
            </w:r>
          </w:p>
        </w:tc>
        <w:tc>
          <w:tcPr>
            <w:tcW w:w="0" w:type="dxa"/>
            <w:vAlign w:val="bottom"/>
          </w:tcPr>
          <w:p>
            <w:pPr>
              <w:spacing w:after="0"/>
              <w:rPr>
                <w:sz w:val="1"/>
                <w:szCs w:val="1"/>
                <w:color w:val="auto"/>
              </w:rPr>
            </w:pPr>
          </w:p>
        </w:tc>
      </w:tr>
      <w:tr>
        <w:trPr>
          <w:trHeight w:val="176"/>
        </w:trPr>
        <w:tc>
          <w:tcPr>
            <w:tcW w:w="2440" w:type="dxa"/>
            <w:vAlign w:val="bottom"/>
          </w:tcPr>
          <w:p>
            <w:pPr>
              <w:ind w:left="140"/>
              <w:spacing w:after="0"/>
              <w:rPr>
                <w:sz w:val="20"/>
                <w:szCs w:val="20"/>
                <w:color w:val="auto"/>
              </w:rPr>
            </w:pPr>
            <w:r>
              <w:rPr>
                <w:rFonts w:ascii="Arial" w:cs="Arial" w:eastAsia="Arial" w:hAnsi="Arial"/>
                <w:sz w:val="12"/>
                <w:szCs w:val="12"/>
                <w:color w:val="auto"/>
              </w:rPr>
              <w:t>Equity securities</w:t>
            </w:r>
          </w:p>
        </w:tc>
        <w:tc>
          <w:tcPr>
            <w:tcW w:w="26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3"/>
                <w:szCs w:val="13"/>
                <w:b w:val="1"/>
                <w:bCs w:val="1"/>
                <w:color w:val="1252DE"/>
              </w:rPr>
              <w:t>14</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67</w:t>
            </w:r>
          </w:p>
        </w:tc>
        <w:tc>
          <w:tcPr>
            <w:tcW w:w="30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1252DE"/>
              </w:rPr>
              <w:t>—</w:t>
            </w:r>
          </w:p>
        </w:tc>
        <w:tc>
          <w:tcPr>
            <w:tcW w:w="1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ind w:left="300"/>
              <w:spacing w:after="0"/>
              <w:rPr>
                <w:sz w:val="20"/>
                <w:szCs w:val="20"/>
                <w:color w:val="auto"/>
              </w:rPr>
            </w:pPr>
            <w:r>
              <w:rPr>
                <w:rFonts w:ascii="Arial" w:cs="Arial" w:eastAsia="Arial" w:hAnsi="Arial"/>
                <w:sz w:val="13"/>
                <w:szCs w:val="13"/>
                <w:b w:val="1"/>
                <w:bCs w:val="1"/>
                <w:color w:val="1252DE"/>
              </w:rPr>
              <w:t>—</w:t>
            </w:r>
          </w:p>
        </w:tc>
        <w:tc>
          <w:tcPr>
            <w:tcW w:w="220" w:type="dxa"/>
            <w:vAlign w:val="bottom"/>
          </w:tcPr>
          <w:p>
            <w:pPr>
              <w:spacing w:after="0"/>
              <w:rPr>
                <w:sz w:val="15"/>
                <w:szCs w:val="15"/>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81</w:t>
            </w:r>
          </w:p>
        </w:tc>
        <w:tc>
          <w:tcPr>
            <w:tcW w:w="0" w:type="dxa"/>
            <w:vAlign w:val="bottom"/>
          </w:tcPr>
          <w:p>
            <w:pPr>
              <w:spacing w:after="0"/>
              <w:rPr>
                <w:sz w:val="1"/>
                <w:szCs w:val="1"/>
                <w:color w:val="auto"/>
              </w:rPr>
            </w:pPr>
          </w:p>
        </w:tc>
      </w:tr>
      <w:tr>
        <w:trPr>
          <w:trHeight w:val="193"/>
        </w:trPr>
        <w:tc>
          <w:tcPr>
            <w:tcW w:w="2440" w:type="dxa"/>
            <w:vAlign w:val="bottom"/>
          </w:tcPr>
          <w:p>
            <w:pPr>
              <w:ind w:left="140"/>
              <w:spacing w:after="0"/>
              <w:rPr>
                <w:sz w:val="20"/>
                <w:szCs w:val="20"/>
                <w:color w:val="auto"/>
              </w:rPr>
            </w:pPr>
            <w:r>
              <w:rPr>
                <w:rFonts w:ascii="Arial" w:cs="Arial" w:eastAsia="Arial" w:hAnsi="Arial"/>
                <w:sz w:val="12"/>
                <w:szCs w:val="12"/>
                <w:color w:val="auto"/>
              </w:rPr>
              <w:t>Other invested assets</w:t>
            </w:r>
          </w:p>
        </w:tc>
        <w:tc>
          <w:tcPr>
            <w:tcW w:w="26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Arial" w:cs="Arial" w:eastAsia="Arial" w:hAnsi="Arial"/>
                <w:sz w:val="13"/>
                <w:szCs w:val="13"/>
                <w:b w:val="1"/>
                <w:bCs w:val="1"/>
                <w:color w:val="1252DE"/>
              </w:rPr>
              <w:t>96</w:t>
            </w:r>
          </w:p>
        </w:tc>
        <w:tc>
          <w:tcPr>
            <w:tcW w:w="22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b w:val="1"/>
                <w:bCs w:val="1"/>
                <w:color w:val="1252DE"/>
              </w:rPr>
              <w:t>(18)</w:t>
            </w: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6"/>
                <w:szCs w:val="16"/>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300" w:type="dxa"/>
            <w:vAlign w:val="bottom"/>
          </w:tcPr>
          <w:p>
            <w:pPr>
              <w:spacing w:after="0"/>
              <w:rPr>
                <w:sz w:val="16"/>
                <w:szCs w:val="16"/>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1252DE"/>
              </w:rPr>
              <w:t>—</w:t>
            </w:r>
          </w:p>
        </w:tc>
        <w:tc>
          <w:tcPr>
            <w:tcW w:w="120" w:type="dxa"/>
            <w:vAlign w:val="bottom"/>
          </w:tcPr>
          <w:p>
            <w:pPr>
              <w:spacing w:after="0"/>
              <w:rPr>
                <w:sz w:val="16"/>
                <w:szCs w:val="16"/>
                <w:color w:val="auto"/>
              </w:rPr>
            </w:pPr>
          </w:p>
        </w:tc>
        <w:tc>
          <w:tcPr>
            <w:tcW w:w="56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6"/>
                <w:szCs w:val="16"/>
                <w:color w:val="auto"/>
              </w:rPr>
            </w:pPr>
          </w:p>
        </w:tc>
        <w:tc>
          <w:tcPr>
            <w:tcW w:w="560" w:type="dxa"/>
            <w:vAlign w:val="bottom"/>
          </w:tcPr>
          <w:p>
            <w:pPr>
              <w:ind w:left="300"/>
              <w:spacing w:after="0"/>
              <w:rPr>
                <w:sz w:val="20"/>
                <w:szCs w:val="20"/>
                <w:color w:val="auto"/>
              </w:rPr>
            </w:pPr>
            <w:r>
              <w:rPr>
                <w:rFonts w:ascii="Arial" w:cs="Arial" w:eastAsia="Arial" w:hAnsi="Arial"/>
                <w:sz w:val="13"/>
                <w:szCs w:val="13"/>
                <w:b w:val="1"/>
                <w:bCs w:val="1"/>
                <w:color w:val="1252DE"/>
              </w:rPr>
              <w:t>—</w:t>
            </w:r>
          </w:p>
        </w:tc>
        <w:tc>
          <w:tcPr>
            <w:tcW w:w="220" w:type="dxa"/>
            <w:vAlign w:val="bottom"/>
          </w:tcPr>
          <w:p>
            <w:pPr>
              <w:spacing w:after="0"/>
              <w:rPr>
                <w:sz w:val="16"/>
                <w:szCs w:val="16"/>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78</w:t>
            </w:r>
          </w:p>
        </w:tc>
        <w:tc>
          <w:tcPr>
            <w:tcW w:w="0" w:type="dxa"/>
            <w:vAlign w:val="bottom"/>
          </w:tcPr>
          <w:p>
            <w:pPr>
              <w:spacing w:after="0"/>
              <w:rPr>
                <w:sz w:val="1"/>
                <w:szCs w:val="1"/>
                <w:color w:val="auto"/>
              </w:rPr>
            </w:pPr>
          </w:p>
        </w:tc>
      </w:tr>
      <w:tr>
        <w:trPr>
          <w:trHeight w:val="171"/>
        </w:trPr>
        <w:tc>
          <w:tcPr>
            <w:tcW w:w="244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w:t>
            </w:r>
          </w:p>
        </w:tc>
        <w:tc>
          <w:tcPr>
            <w:tcW w:w="26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620" w:type="dxa"/>
            <w:vAlign w:val="bottom"/>
            <w:tcBorders>
              <w:top w:val="single" w:sz="8" w:color="1352DE"/>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3,696</w:t>
            </w:r>
          </w:p>
        </w:tc>
        <w:tc>
          <w:tcPr>
            <w:tcW w:w="22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1140" w:type="dxa"/>
            <w:vAlign w:val="bottom"/>
            <w:tcBorders>
              <w:top w:val="single" w:sz="8" w:color="1352DE"/>
              <w:bottom w:val="single" w:sz="8" w:color="1352DE"/>
            </w:tcBorders>
          </w:tcPr>
          <w:p>
            <w:pPr>
              <w:jc w:val="right"/>
              <w:ind w:right="20"/>
              <w:spacing w:after="0"/>
              <w:rPr>
                <w:sz w:val="20"/>
                <w:szCs w:val="20"/>
                <w:color w:val="auto"/>
              </w:rPr>
            </w:pPr>
            <w:r>
              <w:rPr>
                <w:rFonts w:ascii="Arial" w:cs="Arial" w:eastAsia="Arial" w:hAnsi="Arial"/>
                <w:sz w:val="13"/>
                <w:szCs w:val="13"/>
                <w:b w:val="1"/>
                <w:bCs w:val="1"/>
                <w:color w:val="1252DE"/>
              </w:rPr>
              <w:t>(16)</w:t>
            </w:r>
          </w:p>
        </w:tc>
        <w:tc>
          <w:tcPr>
            <w:tcW w:w="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900" w:type="dxa"/>
            <w:vAlign w:val="bottom"/>
            <w:tcBorders>
              <w:top w:val="single" w:sz="8" w:color="1352DE"/>
              <w:bottom w:val="single" w:sz="8" w:color="1352DE"/>
            </w:tcBorders>
          </w:tcPr>
          <w:p>
            <w:pPr>
              <w:jc w:val="right"/>
              <w:ind w:right="20"/>
              <w:spacing w:after="0"/>
              <w:rPr>
                <w:sz w:val="20"/>
                <w:szCs w:val="20"/>
                <w:color w:val="auto"/>
              </w:rPr>
            </w:pPr>
            <w:r>
              <w:rPr>
                <w:rFonts w:ascii="Arial" w:cs="Arial" w:eastAsia="Arial" w:hAnsi="Arial"/>
                <w:sz w:val="13"/>
                <w:szCs w:val="13"/>
                <w:b w:val="1"/>
                <w:bCs w:val="1"/>
                <w:color w:val="1252DE"/>
              </w:rPr>
              <w:t>(67)</w:t>
            </w:r>
          </w:p>
        </w:tc>
        <w:tc>
          <w:tcPr>
            <w:tcW w:w="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620" w:type="dxa"/>
            <w:vAlign w:val="bottom"/>
            <w:tcBorders>
              <w:top w:val="single" w:sz="8" w:color="1352DE"/>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431</w:t>
            </w:r>
          </w:p>
        </w:tc>
        <w:tc>
          <w:tcPr>
            <w:tcW w:w="300" w:type="dxa"/>
            <w:vAlign w:val="bottom"/>
            <w:tcBorders>
              <w:top w:val="single" w:sz="8" w:color="1352DE"/>
              <w:bottom w:val="single" w:sz="8" w:color="1352DE"/>
            </w:tcBorders>
          </w:tcPr>
          <w:p>
            <w:pPr>
              <w:jc w:val="right"/>
              <w:ind w:right="77"/>
              <w:spacing w:after="0"/>
              <w:rPr>
                <w:sz w:val="20"/>
                <w:szCs w:val="20"/>
                <w:color w:val="auto"/>
              </w:rPr>
            </w:pPr>
            <w:r>
              <w:rPr>
                <w:rFonts w:ascii="Arial" w:cs="Arial" w:eastAsia="Arial" w:hAnsi="Arial"/>
                <w:sz w:val="13"/>
                <w:szCs w:val="13"/>
                <w:b w:val="1"/>
                <w:bCs w:val="1"/>
                <w:color w:val="1252DE"/>
              </w:rPr>
              <w:t>$</w:t>
            </w:r>
          </w:p>
        </w:tc>
        <w:tc>
          <w:tcPr>
            <w:tcW w:w="520" w:type="dxa"/>
            <w:vAlign w:val="bottom"/>
            <w:tcBorders>
              <w:top w:val="single" w:sz="8" w:color="1352DE"/>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(144)</w:t>
            </w:r>
          </w:p>
        </w:tc>
        <w:tc>
          <w:tcPr>
            <w:tcW w:w="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7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(110)</w:t>
            </w:r>
          </w:p>
        </w:tc>
        <w:tc>
          <w:tcPr>
            <w:tcW w:w="140" w:type="dxa"/>
            <w:vAlign w:val="bottom"/>
            <w:tcBorders>
              <w:bottom w:val="single" w:sz="8" w:color="1352DE"/>
            </w:tcBorders>
          </w:tcPr>
          <w:p>
            <w:pPr>
              <w:spacing w:after="0"/>
              <w:rPr>
                <w:sz w:val="14"/>
                <w:szCs w:val="14"/>
                <w:color w:val="auto"/>
              </w:rPr>
            </w:pPr>
          </w:p>
        </w:tc>
        <w:tc>
          <w:tcPr>
            <w:tcW w:w="12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w w:val="82"/>
              </w:rPr>
              <w:t>$</w:t>
            </w:r>
          </w:p>
        </w:tc>
        <w:tc>
          <w:tcPr>
            <w:tcW w:w="560" w:type="dxa"/>
            <w:vAlign w:val="bottom"/>
            <w:tcBorders>
              <w:top w:val="single" w:sz="8" w:color="1352DE"/>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25</w:t>
            </w:r>
          </w:p>
        </w:tc>
        <w:tc>
          <w:tcPr>
            <w:tcW w:w="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560" w:type="dxa"/>
            <w:vAlign w:val="bottom"/>
            <w:tcBorders>
              <w:top w:val="single" w:sz="8" w:color="1352DE"/>
              <w:bottom w:val="single" w:sz="8" w:color="1352DE"/>
            </w:tcBorders>
          </w:tcPr>
          <w:p>
            <w:pPr>
              <w:jc w:val="right"/>
              <w:ind w:right="40"/>
              <w:spacing w:after="0"/>
              <w:rPr>
                <w:sz w:val="20"/>
                <w:szCs w:val="20"/>
                <w:color w:val="auto"/>
              </w:rPr>
            </w:pPr>
            <w:r>
              <w:rPr>
                <w:rFonts w:ascii="Arial" w:cs="Arial" w:eastAsia="Arial" w:hAnsi="Arial"/>
                <w:sz w:val="13"/>
                <w:szCs w:val="13"/>
                <w:b w:val="1"/>
                <w:bCs w:val="1"/>
                <w:color w:val="1252DE"/>
              </w:rPr>
              <w:t>(92)</w:t>
            </w:r>
          </w:p>
        </w:tc>
        <w:tc>
          <w:tcPr>
            <w:tcW w:w="22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420" w:type="dxa"/>
            <w:vAlign w:val="bottom"/>
            <w:tcBorders>
              <w:top w:val="single" w:sz="8" w:color="1352DE"/>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252DE"/>
              </w:rPr>
              <w:t>—</w:t>
            </w:r>
          </w:p>
        </w:tc>
        <w:tc>
          <w:tcPr>
            <w:tcW w:w="240" w:type="dxa"/>
            <w:vAlign w:val="bottom"/>
            <w:tcBorders>
              <w:top w:val="single" w:sz="8" w:color="1352DE"/>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w:t>
            </w:r>
          </w:p>
        </w:tc>
        <w:tc>
          <w:tcPr>
            <w:tcW w:w="44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3,723</w:t>
            </w:r>
          </w:p>
        </w:tc>
        <w:tc>
          <w:tcPr>
            <w:tcW w:w="0" w:type="dxa"/>
            <w:vAlign w:val="bottom"/>
          </w:tcPr>
          <w:p>
            <w:pPr>
              <w:spacing w:after="0"/>
              <w:rPr>
                <w:sz w:val="1"/>
                <w:szCs w:val="1"/>
                <w:color w:val="auto"/>
              </w:rPr>
            </w:pPr>
          </w:p>
        </w:tc>
      </w:tr>
      <w:tr>
        <w:trPr>
          <w:trHeight w:val="117"/>
        </w:trPr>
        <w:tc>
          <w:tcPr>
            <w:tcW w:w="2440" w:type="dxa"/>
            <w:vAlign w:val="bottom"/>
            <w:tcBorders>
              <w:bottom w:val="single" w:sz="8" w:color="1352DE"/>
            </w:tcBorders>
          </w:tcPr>
          <w:p>
            <w:pPr>
              <w:spacing w:after="0"/>
              <w:rPr>
                <w:sz w:val="10"/>
                <w:szCs w:val="10"/>
                <w:color w:val="auto"/>
              </w:rPr>
            </w:pPr>
          </w:p>
        </w:tc>
        <w:tc>
          <w:tcPr>
            <w:tcW w:w="260" w:type="dxa"/>
            <w:vAlign w:val="bottom"/>
            <w:tcBorders>
              <w:bottom w:val="single" w:sz="8" w:color="1352DE"/>
            </w:tcBorders>
          </w:tcPr>
          <w:p>
            <w:pPr>
              <w:spacing w:after="0"/>
              <w:rPr>
                <w:sz w:val="10"/>
                <w:szCs w:val="10"/>
                <w:color w:val="auto"/>
              </w:rPr>
            </w:pPr>
          </w:p>
        </w:tc>
        <w:tc>
          <w:tcPr>
            <w:tcW w:w="62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114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90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620" w:type="dxa"/>
            <w:vAlign w:val="bottom"/>
            <w:tcBorders>
              <w:bottom w:val="single" w:sz="8" w:color="1352DE"/>
            </w:tcBorders>
          </w:tcPr>
          <w:p>
            <w:pPr>
              <w:spacing w:after="0"/>
              <w:rPr>
                <w:sz w:val="10"/>
                <w:szCs w:val="10"/>
                <w:color w:val="auto"/>
              </w:rPr>
            </w:pPr>
          </w:p>
        </w:tc>
        <w:tc>
          <w:tcPr>
            <w:tcW w:w="300" w:type="dxa"/>
            <w:vAlign w:val="bottom"/>
            <w:tcBorders>
              <w:bottom w:val="single" w:sz="8" w:color="1352DE"/>
            </w:tcBorders>
          </w:tcPr>
          <w:p>
            <w:pPr>
              <w:spacing w:after="0"/>
              <w:rPr>
                <w:sz w:val="10"/>
                <w:szCs w:val="10"/>
                <w:color w:val="auto"/>
              </w:rPr>
            </w:pPr>
          </w:p>
        </w:tc>
        <w:tc>
          <w:tcPr>
            <w:tcW w:w="52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700" w:type="dxa"/>
            <w:vAlign w:val="bottom"/>
            <w:tcBorders>
              <w:bottom w:val="single" w:sz="8" w:color="1352DE"/>
            </w:tcBorders>
          </w:tcPr>
          <w:p>
            <w:pPr>
              <w:spacing w:after="0"/>
              <w:rPr>
                <w:sz w:val="10"/>
                <w:szCs w:val="10"/>
                <w:color w:val="auto"/>
              </w:rPr>
            </w:pPr>
          </w:p>
        </w:tc>
        <w:tc>
          <w:tcPr>
            <w:tcW w:w="140" w:type="dxa"/>
            <w:vAlign w:val="bottom"/>
            <w:tcBorders>
              <w:bottom w:val="single" w:sz="8" w:color="1352DE"/>
            </w:tcBorders>
          </w:tcPr>
          <w:p>
            <w:pPr>
              <w:spacing w:after="0"/>
              <w:rPr>
                <w:sz w:val="10"/>
                <w:szCs w:val="10"/>
                <w:color w:val="auto"/>
              </w:rPr>
            </w:pPr>
          </w:p>
        </w:tc>
        <w:tc>
          <w:tcPr>
            <w:tcW w:w="120" w:type="dxa"/>
            <w:vAlign w:val="bottom"/>
            <w:tcBorders>
              <w:bottom w:val="single" w:sz="8" w:color="1352DE"/>
            </w:tcBorders>
          </w:tcPr>
          <w:p>
            <w:pPr>
              <w:spacing w:after="0"/>
              <w:rPr>
                <w:sz w:val="10"/>
                <w:szCs w:val="10"/>
                <w:color w:val="auto"/>
              </w:rPr>
            </w:pPr>
          </w:p>
        </w:tc>
        <w:tc>
          <w:tcPr>
            <w:tcW w:w="56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56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420" w:type="dxa"/>
            <w:vAlign w:val="bottom"/>
            <w:tcBorders>
              <w:bottom w:val="single" w:sz="8" w:color="1352DE"/>
            </w:tcBorders>
          </w:tcPr>
          <w:p>
            <w:pPr>
              <w:spacing w:after="0"/>
              <w:rPr>
                <w:sz w:val="10"/>
                <w:szCs w:val="10"/>
                <w:color w:val="auto"/>
              </w:rPr>
            </w:pPr>
          </w:p>
        </w:tc>
        <w:tc>
          <w:tcPr>
            <w:tcW w:w="240" w:type="dxa"/>
            <w:vAlign w:val="bottom"/>
            <w:tcBorders>
              <w:bottom w:val="single" w:sz="8" w:color="1352DE"/>
            </w:tcBorders>
          </w:tcPr>
          <w:p>
            <w:pPr>
              <w:spacing w:after="0"/>
              <w:rPr>
                <w:sz w:val="10"/>
                <w:szCs w:val="10"/>
                <w:color w:val="auto"/>
              </w:rPr>
            </w:pPr>
          </w:p>
        </w:tc>
        <w:tc>
          <w:tcPr>
            <w:tcW w:w="440" w:type="dxa"/>
            <w:vAlign w:val="bottom"/>
            <w:tcBorders>
              <w:bottom w:val="single" w:sz="8" w:color="1352DE"/>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restart"/>
          </w:tcPr>
          <w:p>
            <w:pPr>
              <w:jc w:val="right"/>
              <w:ind w:right="40"/>
              <w:spacing w:after="0"/>
              <w:rPr>
                <w:sz w:val="20"/>
                <w:szCs w:val="20"/>
                <w:color w:val="auto"/>
              </w:rPr>
            </w:pPr>
            <w:r>
              <w:rPr>
                <w:rFonts w:ascii="Arial" w:cs="Arial" w:eastAsia="Arial" w:hAnsi="Arial"/>
                <w:sz w:val="11"/>
                <w:szCs w:val="11"/>
                <w:color w:val="1252DE"/>
                <w:w w:val="99"/>
              </w:rPr>
              <w:t>Fair Value</w:t>
            </w:r>
          </w:p>
        </w:tc>
        <w:tc>
          <w:tcPr>
            <w:tcW w:w="220" w:type="dxa"/>
            <w:vAlign w:val="bottom"/>
          </w:tcPr>
          <w:p>
            <w:pPr>
              <w:spacing w:after="0"/>
              <w:rPr>
                <w:sz w:val="8"/>
                <w:szCs w:val="8"/>
                <w:color w:val="auto"/>
              </w:rPr>
            </w:pPr>
          </w:p>
        </w:tc>
        <w:tc>
          <w:tcPr>
            <w:tcW w:w="1140" w:type="dxa"/>
            <w:vAlign w:val="bottom"/>
          </w:tcPr>
          <w:p>
            <w:pPr>
              <w:jc w:val="right"/>
              <w:ind w:right="40"/>
              <w:spacing w:after="0" w:line="102" w:lineRule="exact"/>
              <w:rPr>
                <w:sz w:val="20"/>
                <w:szCs w:val="20"/>
                <w:color w:val="auto"/>
              </w:rPr>
            </w:pPr>
            <w:r>
              <w:rPr>
                <w:rFonts w:ascii="Arial" w:cs="Arial" w:eastAsia="Arial" w:hAnsi="Arial"/>
                <w:sz w:val="11"/>
                <w:szCs w:val="11"/>
                <w:color w:val="1252DE"/>
              </w:rPr>
              <w:t>Net Realized</w:t>
            </w:r>
          </w:p>
        </w:tc>
        <w:tc>
          <w:tcPr>
            <w:tcW w:w="200" w:type="dxa"/>
            <w:vAlign w:val="bottom"/>
          </w:tcPr>
          <w:p>
            <w:pPr>
              <w:spacing w:after="0"/>
              <w:rPr>
                <w:sz w:val="8"/>
                <w:szCs w:val="8"/>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1252DE"/>
              </w:rPr>
              <w:t>Issuances</w:t>
            </w:r>
          </w:p>
        </w:tc>
        <w:tc>
          <w:tcPr>
            <w:tcW w:w="120" w:type="dxa"/>
            <w:vAlign w:val="bottom"/>
          </w:tcPr>
          <w:p>
            <w:pPr>
              <w:spacing w:after="0"/>
              <w:rPr>
                <w:sz w:val="8"/>
                <w:szCs w:val="8"/>
                <w:color w:val="auto"/>
              </w:rPr>
            </w:pPr>
          </w:p>
        </w:tc>
        <w:tc>
          <w:tcPr>
            <w:tcW w:w="560" w:type="dxa"/>
            <w:vAlign w:val="bottom"/>
            <w:vMerge w:val="restart"/>
          </w:tcPr>
          <w:p>
            <w:pPr>
              <w:jc w:val="right"/>
              <w:ind w:right="20"/>
              <w:spacing w:after="0"/>
              <w:rPr>
                <w:sz w:val="20"/>
                <w:szCs w:val="20"/>
                <w:color w:val="auto"/>
              </w:rPr>
            </w:pPr>
            <w:r>
              <w:rPr>
                <w:rFonts w:ascii="Arial" w:cs="Arial" w:eastAsia="Arial" w:hAnsi="Arial"/>
                <w:sz w:val="11"/>
                <w:szCs w:val="11"/>
                <w:color w:val="1252DE"/>
              </w:rPr>
              <w:t>Gross</w:t>
            </w:r>
          </w:p>
        </w:tc>
        <w:tc>
          <w:tcPr>
            <w:tcW w:w="200" w:type="dxa"/>
            <w:vAlign w:val="bottom"/>
          </w:tcPr>
          <w:p>
            <w:pPr>
              <w:spacing w:after="0"/>
              <w:rPr>
                <w:sz w:val="8"/>
                <w:szCs w:val="8"/>
                <w:color w:val="auto"/>
              </w:rPr>
            </w:pPr>
          </w:p>
        </w:tc>
        <w:tc>
          <w:tcPr>
            <w:tcW w:w="560" w:type="dxa"/>
            <w:vAlign w:val="bottom"/>
            <w:vMerge w:val="restart"/>
          </w:tcPr>
          <w:p>
            <w:pPr>
              <w:jc w:val="right"/>
              <w:ind w:right="20"/>
              <w:spacing w:after="0"/>
              <w:rPr>
                <w:sz w:val="20"/>
                <w:szCs w:val="20"/>
                <w:color w:val="auto"/>
              </w:rPr>
            </w:pPr>
            <w:r>
              <w:rPr>
                <w:rFonts w:ascii="Arial" w:cs="Arial" w:eastAsia="Arial" w:hAnsi="Arial"/>
                <w:sz w:val="11"/>
                <w:szCs w:val="11"/>
                <w:color w:val="1252DE"/>
              </w:rPr>
              <w:t>Gross</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11"/>
                <w:szCs w:val="11"/>
                <w:color w:val="1252DE"/>
              </w:rPr>
              <w:t>Fair</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and Unrealized</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1252DE"/>
              </w:rPr>
              <w:t>Value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jc w:val="right"/>
              <w:ind w:right="80"/>
              <w:spacing w:after="0" w:line="108" w:lineRule="exact"/>
              <w:rPr>
                <w:sz w:val="20"/>
                <w:szCs w:val="20"/>
                <w:color w:val="auto"/>
              </w:rPr>
            </w:pPr>
            <w:r>
              <w:rPr>
                <w:rFonts w:ascii="Arial" w:cs="Arial" w:eastAsia="Arial" w:hAnsi="Arial"/>
                <w:sz w:val="11"/>
                <w:szCs w:val="11"/>
                <w:color w:val="1252DE"/>
                <w:w w:val="93"/>
              </w:rPr>
              <w:t>Beginning</w:t>
            </w:r>
          </w:p>
        </w:tc>
        <w:tc>
          <w:tcPr>
            <w:tcW w:w="220" w:type="dxa"/>
            <w:vAlign w:val="bottom"/>
          </w:tcPr>
          <w:p>
            <w:pPr>
              <w:spacing w:after="0"/>
              <w:rPr>
                <w:sz w:val="9"/>
                <w:szCs w:val="9"/>
                <w:color w:val="auto"/>
              </w:rPr>
            </w:pPr>
          </w:p>
        </w:tc>
        <w:tc>
          <w:tcPr>
            <w:tcW w:w="114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(Gains) Losses</w:t>
            </w:r>
          </w:p>
        </w:tc>
        <w:tc>
          <w:tcPr>
            <w:tcW w:w="200" w:type="dxa"/>
            <w:vAlign w:val="bottom"/>
          </w:tcPr>
          <w:p>
            <w:pPr>
              <w:spacing w:after="0"/>
              <w:rPr>
                <w:sz w:val="9"/>
                <w:szCs w:val="9"/>
                <w:color w:val="auto"/>
              </w:rPr>
            </w:pPr>
          </w:p>
        </w:tc>
        <w:tc>
          <w:tcPr>
            <w:tcW w:w="90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Comprehensive</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60"/>
              <w:spacing w:after="0" w:line="108" w:lineRule="exact"/>
              <w:rPr>
                <w:sz w:val="20"/>
                <w:szCs w:val="20"/>
                <w:color w:val="auto"/>
              </w:rPr>
            </w:pPr>
            <w:r>
              <w:rPr>
                <w:rFonts w:ascii="Arial" w:cs="Arial" w:eastAsia="Arial" w:hAnsi="Arial"/>
                <w:sz w:val="11"/>
                <w:szCs w:val="11"/>
                <w:color w:val="1252DE"/>
              </w:rPr>
              <w:t>and</w:t>
            </w:r>
          </w:p>
        </w:tc>
        <w:tc>
          <w:tcPr>
            <w:tcW w:w="120" w:type="dxa"/>
            <w:vAlign w:val="bottom"/>
          </w:tcPr>
          <w:p>
            <w:pPr>
              <w:spacing w:after="0"/>
              <w:rPr>
                <w:sz w:val="9"/>
                <w:szCs w:val="9"/>
                <w:color w:val="auto"/>
              </w:rPr>
            </w:pPr>
          </w:p>
        </w:tc>
        <w:tc>
          <w:tcPr>
            <w:tcW w:w="560" w:type="dxa"/>
            <w:vAlign w:val="bottom"/>
          </w:tcPr>
          <w:p>
            <w:pPr>
              <w:jc w:val="right"/>
              <w:ind w:right="20"/>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560" w:type="dxa"/>
            <w:vAlign w:val="bottom"/>
          </w:tcPr>
          <w:p>
            <w:pPr>
              <w:jc w:val="right"/>
              <w:ind w:right="20"/>
              <w:spacing w:after="0" w:line="108" w:lineRule="exact"/>
              <w:rPr>
                <w:sz w:val="20"/>
                <w:szCs w:val="20"/>
                <w:color w:val="auto"/>
              </w:rPr>
            </w:pPr>
            <w:r>
              <w:rPr>
                <w:rFonts w:ascii="Arial" w:cs="Arial" w:eastAsia="Arial" w:hAnsi="Arial"/>
                <w:sz w:val="11"/>
                <w:szCs w:val="11"/>
                <w:color w:val="1252DE"/>
                <w:w w:val="98"/>
              </w:rPr>
              <w:t>Transfers</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1252DE"/>
              </w:rPr>
              <w:t>End of</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1352DE"/>
            </w:tcBorders>
          </w:tcPr>
          <w:p>
            <w:pPr>
              <w:ind w:left="40"/>
              <w:spacing w:after="0"/>
              <w:rPr>
                <w:sz w:val="20"/>
                <w:szCs w:val="20"/>
                <w:color w:val="auto"/>
              </w:rPr>
            </w:pPr>
            <w:r>
              <w:rPr>
                <w:rFonts w:ascii="Arial" w:cs="Arial" w:eastAsia="Arial" w:hAnsi="Arial"/>
                <w:sz w:val="12"/>
                <w:szCs w:val="12"/>
                <w:i w:val="1"/>
                <w:iCs w:val="1"/>
                <w:color w:val="1252DE"/>
              </w:rPr>
              <w:t>(in millions)</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40"/>
              <w:spacing w:after="0"/>
              <w:rPr>
                <w:sz w:val="20"/>
                <w:szCs w:val="20"/>
                <w:color w:val="auto"/>
              </w:rPr>
            </w:pPr>
            <w:r>
              <w:rPr>
                <w:rFonts w:ascii="Arial" w:cs="Arial" w:eastAsia="Arial" w:hAnsi="Arial"/>
                <w:sz w:val="11"/>
                <w:szCs w:val="11"/>
                <w:color w:val="1252DE"/>
              </w:rPr>
              <w:t>of Period</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40"/>
              <w:spacing w:after="0"/>
              <w:rPr>
                <w:sz w:val="20"/>
                <w:szCs w:val="20"/>
                <w:color w:val="auto"/>
              </w:rPr>
            </w:pPr>
            <w:r>
              <w:rPr>
                <w:rFonts w:ascii="Arial" w:cs="Arial" w:eastAsia="Arial" w:hAnsi="Arial"/>
                <w:sz w:val="11"/>
                <w:szCs w:val="11"/>
                <w:color w:val="1252DE"/>
                <w:w w:val="98"/>
              </w:rPr>
              <w:t>Included in Income</w:t>
            </w:r>
            <w:r>
              <w:rPr>
                <w:rFonts w:ascii="Arial" w:cs="Arial" w:eastAsia="Arial" w:hAnsi="Arial"/>
                <w:sz w:val="14"/>
                <w:szCs w:val="14"/>
                <w:color w:val="1252DE"/>
                <w:w w:val="98"/>
                <w:vertAlign w:val="superscript"/>
              </w:rPr>
              <w:t>(a)</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40"/>
              <w:spacing w:after="0"/>
              <w:rPr>
                <w:sz w:val="20"/>
                <w:szCs w:val="20"/>
                <w:color w:val="auto"/>
              </w:rPr>
            </w:pPr>
            <w:r>
              <w:rPr>
                <w:rFonts w:ascii="Arial" w:cs="Arial" w:eastAsia="Arial" w:hAnsi="Arial"/>
                <w:sz w:val="11"/>
                <w:szCs w:val="11"/>
                <w:color w:val="1252DE"/>
              </w:rPr>
              <w:t>(Income) Loss</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w w:val="99"/>
              </w:rPr>
              <w:t>Purchases</w:t>
            </w:r>
          </w:p>
        </w:tc>
        <w:tc>
          <w:tcPr>
            <w:tcW w:w="300" w:type="dxa"/>
            <w:vAlign w:val="bottom"/>
            <w:tcBorders>
              <w:bottom w:val="single" w:sz="8" w:color="1352DE"/>
            </w:tcBorders>
          </w:tcPr>
          <w:p>
            <w:pPr>
              <w:spacing w:after="0"/>
              <w:rPr>
                <w:sz w:val="14"/>
                <w:szCs w:val="14"/>
                <w:color w:val="auto"/>
              </w:rPr>
            </w:pPr>
          </w:p>
        </w:tc>
        <w:tc>
          <w:tcPr>
            <w:tcW w:w="5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rPr>
              <w:t>Sales</w:t>
            </w:r>
          </w:p>
        </w:tc>
        <w:tc>
          <w:tcPr>
            <w:tcW w:w="200" w:type="dxa"/>
            <w:vAlign w:val="bottom"/>
            <w:tcBorders>
              <w:bottom w:val="single" w:sz="8" w:color="1352DE"/>
            </w:tcBorders>
          </w:tcPr>
          <w:p>
            <w:pPr>
              <w:spacing w:after="0"/>
              <w:rPr>
                <w:sz w:val="14"/>
                <w:szCs w:val="14"/>
                <w:color w:val="auto"/>
              </w:rPr>
            </w:pPr>
          </w:p>
        </w:tc>
        <w:tc>
          <w:tcPr>
            <w:tcW w:w="84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1"/>
                <w:szCs w:val="11"/>
                <w:color w:val="1252DE"/>
                <w:w w:val="94"/>
              </w:rPr>
              <w:t>Settlements</w:t>
            </w:r>
            <w:r>
              <w:rPr>
                <w:rFonts w:ascii="Arial" w:cs="Arial" w:eastAsia="Arial" w:hAnsi="Arial"/>
                <w:sz w:val="14"/>
                <w:szCs w:val="14"/>
                <w:color w:val="1252DE"/>
                <w:w w:val="94"/>
                <w:vertAlign w:val="superscript"/>
              </w:rPr>
              <w:t>(b)</w:t>
            </w:r>
          </w:p>
        </w:tc>
        <w:tc>
          <w:tcPr>
            <w:tcW w:w="12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20"/>
              <w:spacing w:after="0"/>
              <w:rPr>
                <w:sz w:val="20"/>
                <w:szCs w:val="20"/>
                <w:color w:val="auto"/>
              </w:rPr>
            </w:pPr>
            <w:r>
              <w:rPr>
                <w:rFonts w:ascii="Arial" w:cs="Arial" w:eastAsia="Arial" w:hAnsi="Arial"/>
                <w:sz w:val="11"/>
                <w:szCs w:val="11"/>
                <w:color w:val="1252DE"/>
              </w:rPr>
              <w:t>In</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ind w:left="300"/>
              <w:spacing w:after="0"/>
              <w:rPr>
                <w:sz w:val="20"/>
                <w:szCs w:val="20"/>
                <w:color w:val="auto"/>
              </w:rPr>
            </w:pPr>
            <w:r>
              <w:rPr>
                <w:rFonts w:ascii="Arial" w:cs="Arial" w:eastAsia="Arial" w:hAnsi="Arial"/>
                <w:sz w:val="11"/>
                <w:szCs w:val="11"/>
                <w:color w:val="1252DE"/>
              </w:rPr>
              <w:t>Out</w:t>
            </w:r>
          </w:p>
        </w:tc>
        <w:tc>
          <w:tcPr>
            <w:tcW w:w="220" w:type="dxa"/>
            <w:vAlign w:val="bottom"/>
            <w:tcBorders>
              <w:bottom w:val="single" w:sz="8" w:color="1352DE"/>
            </w:tcBorders>
          </w:tcPr>
          <w:p>
            <w:pPr>
              <w:spacing w:after="0"/>
              <w:rPr>
                <w:sz w:val="14"/>
                <w:szCs w:val="14"/>
                <w:color w:val="auto"/>
              </w:rPr>
            </w:pPr>
          </w:p>
        </w:tc>
        <w:tc>
          <w:tcPr>
            <w:tcW w:w="4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rPr>
              <w:t>Other</w:t>
            </w:r>
          </w:p>
        </w:tc>
        <w:tc>
          <w:tcPr>
            <w:tcW w:w="24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1"/>
                <w:szCs w:val="11"/>
                <w:color w:val="1252DE"/>
              </w:rPr>
              <w:t>Period</w:t>
            </w:r>
          </w:p>
        </w:tc>
        <w:tc>
          <w:tcPr>
            <w:tcW w:w="0" w:type="dxa"/>
            <w:vAlign w:val="bottom"/>
          </w:tcPr>
          <w:p>
            <w:pPr>
              <w:spacing w:after="0"/>
              <w:rPr>
                <w:sz w:val="1"/>
                <w:szCs w:val="1"/>
                <w:color w:val="auto"/>
              </w:rPr>
            </w:pPr>
          </w:p>
        </w:tc>
      </w:tr>
      <w:tr>
        <w:trPr>
          <w:trHeight w:val="157"/>
        </w:trPr>
        <w:tc>
          <w:tcPr>
            <w:tcW w:w="2440" w:type="dxa"/>
            <w:vAlign w:val="bottom"/>
          </w:tcPr>
          <w:p>
            <w:pPr>
              <w:ind w:left="40"/>
              <w:spacing w:after="0"/>
              <w:rPr>
                <w:sz w:val="20"/>
                <w:szCs w:val="20"/>
                <w:color w:val="auto"/>
              </w:rPr>
            </w:pPr>
            <w:r>
              <w:rPr>
                <w:rFonts w:ascii="Arial" w:cs="Arial" w:eastAsia="Arial" w:hAnsi="Arial"/>
                <w:sz w:val="12"/>
                <w:szCs w:val="12"/>
                <w:b w:val="1"/>
                <w:bCs w:val="1"/>
                <w:color w:val="1252DE"/>
              </w:rPr>
              <w:t>Liabilities:</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140"/>
              <w:spacing w:after="0"/>
              <w:rPr>
                <w:sz w:val="20"/>
                <w:szCs w:val="20"/>
                <w:color w:val="auto"/>
              </w:rPr>
            </w:pPr>
            <w:r>
              <w:rPr>
                <w:rFonts w:ascii="Arial" w:cs="Arial" w:eastAsia="Arial" w:hAnsi="Arial"/>
                <w:sz w:val="12"/>
                <w:szCs w:val="12"/>
                <w:color w:val="auto"/>
              </w:rPr>
              <w:t>Fortitude Re funds withheld payable</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620" w:type="dxa"/>
            <w:vAlign w:val="bottom"/>
          </w:tcPr>
          <w:p>
            <w:pPr>
              <w:jc w:val="right"/>
              <w:ind w:right="60"/>
              <w:spacing w:after="0"/>
              <w:rPr>
                <w:sz w:val="20"/>
                <w:szCs w:val="20"/>
                <w:color w:val="auto"/>
              </w:rPr>
            </w:pPr>
            <w:r>
              <w:rPr>
                <w:rFonts w:ascii="Arial" w:cs="Arial" w:eastAsia="Arial" w:hAnsi="Arial"/>
                <w:sz w:val="13"/>
                <w:szCs w:val="13"/>
                <w:b w:val="1"/>
                <w:bCs w:val="1"/>
                <w:color w:val="1352DE"/>
              </w:rPr>
              <w:t>(75)</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1352DE"/>
              </w:rPr>
              <w:t>$</w:t>
            </w:r>
          </w:p>
        </w:tc>
        <w:tc>
          <w:tcPr>
            <w:tcW w:w="1140" w:type="dxa"/>
            <w:vAlign w:val="bottom"/>
          </w:tcPr>
          <w:p>
            <w:pPr>
              <w:jc w:val="right"/>
              <w:ind w:right="40"/>
              <w:spacing w:after="0"/>
              <w:rPr>
                <w:sz w:val="20"/>
                <w:szCs w:val="20"/>
                <w:color w:val="auto"/>
              </w:rPr>
            </w:pPr>
            <w:r>
              <w:rPr>
                <w:rFonts w:ascii="Arial" w:cs="Arial" w:eastAsia="Arial" w:hAnsi="Arial"/>
                <w:sz w:val="13"/>
                <w:szCs w:val="13"/>
                <w:b w:val="1"/>
                <w:bCs w:val="1"/>
                <w:color w:val="1352DE"/>
              </w:rPr>
              <w:t>(85)</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900" w:type="dxa"/>
            <w:vAlign w:val="bottom"/>
          </w:tcPr>
          <w:p>
            <w:pPr>
              <w:jc w:val="right"/>
              <w:ind w:right="80"/>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620" w:type="dxa"/>
            <w:vAlign w:val="bottom"/>
          </w:tcPr>
          <w:p>
            <w:pPr>
              <w:jc w:val="right"/>
              <w:ind w:right="78"/>
              <w:spacing w:after="0"/>
              <w:rPr>
                <w:sz w:val="20"/>
                <w:szCs w:val="20"/>
                <w:color w:val="auto"/>
              </w:rPr>
            </w:pPr>
            <w:r>
              <w:rPr>
                <w:rFonts w:ascii="Arial" w:cs="Arial" w:eastAsia="Arial" w:hAnsi="Arial"/>
                <w:sz w:val="13"/>
                <w:szCs w:val="13"/>
                <w:b w:val="1"/>
                <w:bCs w:val="1"/>
                <w:color w:val="1352DE"/>
              </w:rPr>
              <w:t>—</w:t>
            </w:r>
          </w:p>
        </w:tc>
        <w:tc>
          <w:tcPr>
            <w:tcW w:w="300" w:type="dxa"/>
            <w:vAlign w:val="bottom"/>
          </w:tcPr>
          <w:p>
            <w:pPr>
              <w:jc w:val="right"/>
              <w:ind w:right="77"/>
              <w:spacing w:after="0"/>
              <w:rPr>
                <w:sz w:val="20"/>
                <w:szCs w:val="20"/>
                <w:color w:val="auto"/>
              </w:rPr>
            </w:pPr>
            <w:r>
              <w:rPr>
                <w:rFonts w:ascii="Arial" w:cs="Arial" w:eastAsia="Arial" w:hAnsi="Arial"/>
                <w:sz w:val="13"/>
                <w:szCs w:val="13"/>
                <w:b w:val="1"/>
                <w:bCs w:val="1"/>
                <w:color w:val="1352DE"/>
              </w:rPr>
              <w:t>$</w:t>
            </w:r>
          </w:p>
        </w:tc>
        <w:tc>
          <w:tcPr>
            <w:tcW w:w="520" w:type="dxa"/>
            <w:vAlign w:val="bottom"/>
          </w:tcPr>
          <w:p>
            <w:pPr>
              <w:jc w:val="right"/>
              <w:ind w:right="58"/>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1352DE"/>
              </w:rPr>
              <w:t>(24)</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1352DE"/>
                <w:w w:val="82"/>
              </w:rPr>
              <w:t>$</w:t>
            </w:r>
          </w:p>
        </w:tc>
        <w:tc>
          <w:tcPr>
            <w:tcW w:w="560" w:type="dxa"/>
            <w:vAlign w:val="bottom"/>
          </w:tcPr>
          <w:p>
            <w:pPr>
              <w:jc w:val="right"/>
              <w:ind w:right="60"/>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560" w:type="dxa"/>
            <w:vAlign w:val="bottom"/>
          </w:tcPr>
          <w:p>
            <w:pPr>
              <w:ind w:left="300"/>
              <w:spacing w:after="0"/>
              <w:rPr>
                <w:sz w:val="20"/>
                <w:szCs w:val="20"/>
                <w:color w:val="auto"/>
              </w:rPr>
            </w:pPr>
            <w:r>
              <w:rPr>
                <w:rFonts w:ascii="Arial" w:cs="Arial" w:eastAsia="Arial" w:hAnsi="Arial"/>
                <w:sz w:val="13"/>
                <w:szCs w:val="13"/>
                <w:b w:val="1"/>
                <w:bCs w:val="1"/>
                <w:color w:val="1352DE"/>
              </w:rPr>
              <w: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420" w:type="dxa"/>
            <w:vAlign w:val="bottom"/>
          </w:tcPr>
          <w:p>
            <w:pPr>
              <w:jc w:val="right"/>
              <w:ind w:right="78"/>
              <w:spacing w:after="0"/>
              <w:rPr>
                <w:sz w:val="20"/>
                <w:szCs w:val="20"/>
                <w:color w:val="auto"/>
              </w:rPr>
            </w:pPr>
            <w:r>
              <w:rPr>
                <w:rFonts w:ascii="Arial" w:cs="Arial" w:eastAsia="Arial" w:hAnsi="Arial"/>
                <w:sz w:val="13"/>
                <w:szCs w:val="13"/>
                <w:b w:val="1"/>
                <w:bCs w:val="1"/>
                <w:color w:val="1352DE"/>
              </w:rPr>
              <w:t>—</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1352DE"/>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1352DE"/>
              </w:rPr>
              <w:t>(184)</w:t>
            </w:r>
          </w:p>
        </w:tc>
        <w:tc>
          <w:tcPr>
            <w:tcW w:w="0" w:type="dxa"/>
            <w:vAlign w:val="bottom"/>
          </w:tcPr>
          <w:p>
            <w:pPr>
              <w:spacing w:after="0"/>
              <w:rPr>
                <w:sz w:val="1"/>
                <w:szCs w:val="1"/>
                <w:color w:val="auto"/>
              </w:rPr>
            </w:pPr>
          </w:p>
        </w:tc>
      </w:tr>
      <w:tr>
        <w:trPr>
          <w:trHeight w:val="193"/>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Other Liabilities</w:t>
            </w:r>
          </w:p>
        </w:tc>
        <w:tc>
          <w:tcPr>
            <w:tcW w:w="260" w:type="dxa"/>
            <w:vAlign w:val="bottom"/>
            <w:tcBorders>
              <w:bottom w:val="single" w:sz="8" w:color="1352DE"/>
            </w:tcBorders>
          </w:tcPr>
          <w:p>
            <w:pPr>
              <w:spacing w:after="0"/>
              <w:rPr>
                <w:sz w:val="16"/>
                <w:szCs w:val="16"/>
                <w:color w:val="auto"/>
              </w:rPr>
            </w:pPr>
          </w:p>
        </w:tc>
        <w:tc>
          <w:tcPr>
            <w:tcW w:w="620" w:type="dxa"/>
            <w:vAlign w:val="bottom"/>
            <w:tcBorders>
              <w:bottom w:val="single" w:sz="8" w:color="1352DE"/>
            </w:tcBorders>
          </w:tcPr>
          <w:p>
            <w:pPr>
              <w:jc w:val="right"/>
              <w:ind w:right="80"/>
              <w:spacing w:after="0"/>
              <w:rPr>
                <w:sz w:val="20"/>
                <w:szCs w:val="20"/>
                <w:color w:val="auto"/>
              </w:rPr>
            </w:pPr>
            <w:r>
              <w:rPr>
                <w:rFonts w:ascii="Arial" w:cs="Arial" w:eastAsia="Arial" w:hAnsi="Arial"/>
                <w:sz w:val="13"/>
                <w:szCs w:val="13"/>
                <w:b w:val="1"/>
                <w:bCs w:val="1"/>
                <w:color w:val="1352DE"/>
              </w:rPr>
              <w:t>81</w:t>
            </w:r>
          </w:p>
        </w:tc>
        <w:tc>
          <w:tcPr>
            <w:tcW w:w="220" w:type="dxa"/>
            <w:vAlign w:val="bottom"/>
            <w:tcBorders>
              <w:bottom w:val="single" w:sz="8" w:color="1352DE"/>
            </w:tcBorders>
          </w:tcPr>
          <w:p>
            <w:pPr>
              <w:spacing w:after="0"/>
              <w:rPr>
                <w:sz w:val="16"/>
                <w:szCs w:val="16"/>
                <w:color w:val="auto"/>
              </w:rPr>
            </w:pPr>
          </w:p>
        </w:tc>
        <w:tc>
          <w:tcPr>
            <w:tcW w:w="1140" w:type="dxa"/>
            <w:vAlign w:val="bottom"/>
            <w:tcBorders>
              <w:bottom w:val="single" w:sz="8" w:color="1352DE"/>
            </w:tcBorders>
          </w:tcPr>
          <w:p>
            <w:pPr>
              <w:jc w:val="right"/>
              <w:ind w:right="80"/>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ind w:right="80"/>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6"/>
                <w:szCs w:val="16"/>
                <w:color w:val="auto"/>
              </w:rPr>
            </w:pPr>
          </w:p>
        </w:tc>
        <w:tc>
          <w:tcPr>
            <w:tcW w:w="6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352DE"/>
              </w:rPr>
              <w:t>—</w:t>
            </w:r>
          </w:p>
        </w:tc>
        <w:tc>
          <w:tcPr>
            <w:tcW w:w="300" w:type="dxa"/>
            <w:vAlign w:val="bottom"/>
            <w:tcBorders>
              <w:bottom w:val="single" w:sz="8" w:color="1352DE"/>
            </w:tcBorders>
          </w:tcPr>
          <w:p>
            <w:pPr>
              <w:spacing w:after="0"/>
              <w:rPr>
                <w:sz w:val="16"/>
                <w:szCs w:val="16"/>
                <w:color w:val="auto"/>
              </w:rPr>
            </w:pPr>
          </w:p>
        </w:tc>
        <w:tc>
          <w:tcPr>
            <w:tcW w:w="5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b w:val="1"/>
                <w:bCs w:val="1"/>
                <w:color w:val="1352DE"/>
              </w:rPr>
              <w:t>—</w:t>
            </w:r>
          </w:p>
        </w:tc>
        <w:tc>
          <w:tcPr>
            <w:tcW w:w="120" w:type="dxa"/>
            <w:vAlign w:val="bottom"/>
            <w:tcBorders>
              <w:bottom w:val="single" w:sz="8" w:color="1352DE"/>
            </w:tcBorders>
          </w:tcPr>
          <w:p>
            <w:pPr>
              <w:spacing w:after="0"/>
              <w:rPr>
                <w:sz w:val="16"/>
                <w:szCs w:val="16"/>
                <w:color w:val="auto"/>
              </w:rPr>
            </w:pPr>
          </w:p>
        </w:tc>
        <w:tc>
          <w:tcPr>
            <w:tcW w:w="56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6"/>
                <w:szCs w:val="16"/>
                <w:color w:val="auto"/>
              </w:rPr>
            </w:pPr>
          </w:p>
        </w:tc>
        <w:tc>
          <w:tcPr>
            <w:tcW w:w="560" w:type="dxa"/>
            <w:vAlign w:val="bottom"/>
            <w:tcBorders>
              <w:bottom w:val="single" w:sz="8" w:color="1352DE"/>
            </w:tcBorders>
          </w:tcPr>
          <w:p>
            <w:pPr>
              <w:ind w:left="300"/>
              <w:spacing w:after="0"/>
              <w:rPr>
                <w:sz w:val="20"/>
                <w:szCs w:val="20"/>
                <w:color w:val="auto"/>
              </w:rPr>
            </w:pPr>
            <w:r>
              <w:rPr>
                <w:rFonts w:ascii="Arial" w:cs="Arial" w:eastAsia="Arial" w:hAnsi="Arial"/>
                <w:sz w:val="13"/>
                <w:szCs w:val="13"/>
                <w:b w:val="1"/>
                <w:bCs w:val="1"/>
                <w:color w:val="1352DE"/>
              </w:rPr>
              <w:t>—</w:t>
            </w:r>
          </w:p>
        </w:tc>
        <w:tc>
          <w:tcPr>
            <w:tcW w:w="220" w:type="dxa"/>
            <w:vAlign w:val="bottom"/>
            <w:tcBorders>
              <w:bottom w:val="single" w:sz="8" w:color="1352DE"/>
            </w:tcBorders>
          </w:tcPr>
          <w:p>
            <w:pPr>
              <w:spacing w:after="0"/>
              <w:rPr>
                <w:sz w:val="16"/>
                <w:szCs w:val="16"/>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352DE"/>
              </w:rPr>
              <w:t>—</w:t>
            </w:r>
          </w:p>
        </w:tc>
        <w:tc>
          <w:tcPr>
            <w:tcW w:w="240" w:type="dxa"/>
            <w:vAlign w:val="bottom"/>
            <w:tcBorders>
              <w:bottom w:val="single" w:sz="8" w:color="1352DE"/>
            </w:tcBorders>
          </w:tcPr>
          <w:p>
            <w:pPr>
              <w:spacing w:after="0"/>
              <w:rPr>
                <w:sz w:val="16"/>
                <w:szCs w:val="16"/>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81</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3051F2"/>
            </w:tcBorders>
          </w:tcPr>
          <w:p>
            <w:pPr>
              <w:ind w:left="20"/>
              <w:spacing w:after="0"/>
              <w:rPr>
                <w:sz w:val="20"/>
                <w:szCs w:val="20"/>
                <w:color w:val="auto"/>
              </w:rPr>
            </w:pPr>
            <w:r>
              <w:rPr>
                <w:rFonts w:ascii="Arial" w:cs="Arial" w:eastAsia="Arial" w:hAnsi="Arial"/>
                <w:sz w:val="12"/>
                <w:szCs w:val="12"/>
                <w:b w:val="1"/>
                <w:bCs w:val="1"/>
                <w:color w:val="1252DE"/>
              </w:rPr>
              <w:t>Total</w:t>
            </w:r>
          </w:p>
        </w:tc>
        <w:tc>
          <w:tcPr>
            <w:tcW w:w="26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620" w:type="dxa"/>
            <w:vAlign w:val="bottom"/>
            <w:tcBorders>
              <w:bottom w:val="single" w:sz="8" w:color="3051F2"/>
            </w:tcBorders>
          </w:tcPr>
          <w:p>
            <w:pPr>
              <w:jc w:val="right"/>
              <w:ind w:right="80"/>
              <w:spacing w:after="0"/>
              <w:rPr>
                <w:sz w:val="20"/>
                <w:szCs w:val="20"/>
                <w:color w:val="auto"/>
              </w:rPr>
            </w:pPr>
            <w:r>
              <w:rPr>
                <w:rFonts w:ascii="Arial" w:cs="Arial" w:eastAsia="Arial" w:hAnsi="Arial"/>
                <w:sz w:val="13"/>
                <w:szCs w:val="13"/>
                <w:b w:val="1"/>
                <w:bCs w:val="1"/>
                <w:color w:val="1352DE"/>
              </w:rPr>
              <w:t>6</w:t>
            </w:r>
          </w:p>
        </w:tc>
        <w:tc>
          <w:tcPr>
            <w:tcW w:w="220" w:type="dxa"/>
            <w:vAlign w:val="bottom"/>
            <w:tcBorders>
              <w:bottom w:val="single" w:sz="8" w:color="3051F2"/>
            </w:tcBorders>
          </w:tcPr>
          <w:p>
            <w:pPr>
              <w:jc w:val="right"/>
              <w:ind w:right="17"/>
              <w:spacing w:after="0"/>
              <w:rPr>
                <w:sz w:val="20"/>
                <w:szCs w:val="20"/>
                <w:color w:val="auto"/>
              </w:rPr>
            </w:pPr>
            <w:r>
              <w:rPr>
                <w:rFonts w:ascii="Arial" w:cs="Arial" w:eastAsia="Arial" w:hAnsi="Arial"/>
                <w:sz w:val="13"/>
                <w:szCs w:val="13"/>
                <w:b w:val="1"/>
                <w:bCs w:val="1"/>
                <w:color w:val="1352DE"/>
              </w:rPr>
              <w:t>$</w:t>
            </w:r>
          </w:p>
        </w:tc>
        <w:tc>
          <w:tcPr>
            <w:tcW w:w="1140" w:type="dxa"/>
            <w:vAlign w:val="bottom"/>
            <w:tcBorders>
              <w:bottom w:val="single" w:sz="8" w:color="3051F2"/>
            </w:tcBorders>
          </w:tcPr>
          <w:p>
            <w:pPr>
              <w:jc w:val="right"/>
              <w:ind w:right="40"/>
              <w:spacing w:after="0"/>
              <w:rPr>
                <w:sz w:val="20"/>
                <w:szCs w:val="20"/>
                <w:color w:val="auto"/>
              </w:rPr>
            </w:pPr>
            <w:r>
              <w:rPr>
                <w:rFonts w:ascii="Arial" w:cs="Arial" w:eastAsia="Arial" w:hAnsi="Arial"/>
                <w:sz w:val="13"/>
                <w:szCs w:val="13"/>
                <w:b w:val="1"/>
                <w:bCs w:val="1"/>
                <w:color w:val="1352DE"/>
              </w:rPr>
              <w:t>(85)</w:t>
            </w:r>
          </w:p>
        </w:tc>
        <w:tc>
          <w:tcPr>
            <w:tcW w:w="2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900" w:type="dxa"/>
            <w:vAlign w:val="bottom"/>
            <w:tcBorders>
              <w:bottom w:val="single" w:sz="8" w:color="3051F2"/>
            </w:tcBorders>
          </w:tcPr>
          <w:p>
            <w:pPr>
              <w:jc w:val="right"/>
              <w:ind w:right="80"/>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620" w:type="dxa"/>
            <w:vAlign w:val="bottom"/>
            <w:tcBorders>
              <w:bottom w:val="single" w:sz="8" w:color="3051F2"/>
            </w:tcBorders>
          </w:tcPr>
          <w:p>
            <w:pPr>
              <w:jc w:val="right"/>
              <w:ind w:right="78"/>
              <w:spacing w:after="0"/>
              <w:rPr>
                <w:sz w:val="20"/>
                <w:szCs w:val="20"/>
                <w:color w:val="auto"/>
              </w:rPr>
            </w:pPr>
            <w:r>
              <w:rPr>
                <w:rFonts w:ascii="Arial" w:cs="Arial" w:eastAsia="Arial" w:hAnsi="Arial"/>
                <w:sz w:val="13"/>
                <w:szCs w:val="13"/>
                <w:b w:val="1"/>
                <w:bCs w:val="1"/>
                <w:color w:val="1352DE"/>
              </w:rPr>
              <w:t>—</w:t>
            </w:r>
          </w:p>
        </w:tc>
        <w:tc>
          <w:tcPr>
            <w:tcW w:w="300" w:type="dxa"/>
            <w:vAlign w:val="bottom"/>
            <w:tcBorders>
              <w:bottom w:val="single" w:sz="8" w:color="3051F2"/>
            </w:tcBorders>
          </w:tcPr>
          <w:p>
            <w:pPr>
              <w:jc w:val="right"/>
              <w:ind w:right="77"/>
              <w:spacing w:after="0"/>
              <w:rPr>
                <w:sz w:val="20"/>
                <w:szCs w:val="20"/>
                <w:color w:val="auto"/>
              </w:rPr>
            </w:pPr>
            <w:r>
              <w:rPr>
                <w:rFonts w:ascii="Arial" w:cs="Arial" w:eastAsia="Arial" w:hAnsi="Arial"/>
                <w:sz w:val="13"/>
                <w:szCs w:val="13"/>
                <w:b w:val="1"/>
                <w:bCs w:val="1"/>
                <w:color w:val="1352DE"/>
              </w:rPr>
              <w:t>$</w:t>
            </w:r>
          </w:p>
        </w:tc>
        <w:tc>
          <w:tcPr>
            <w:tcW w:w="520" w:type="dxa"/>
            <w:vAlign w:val="bottom"/>
            <w:tcBorders>
              <w:bottom w:val="single" w:sz="8" w:color="3051F2"/>
            </w:tcBorders>
          </w:tcPr>
          <w:p>
            <w:pPr>
              <w:jc w:val="right"/>
              <w:ind w:right="58"/>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7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(24)</w:t>
            </w:r>
          </w:p>
        </w:tc>
        <w:tc>
          <w:tcPr>
            <w:tcW w:w="140" w:type="dxa"/>
            <w:vAlign w:val="bottom"/>
            <w:tcBorders>
              <w:bottom w:val="single" w:sz="8" w:color="3051F2"/>
            </w:tcBorders>
          </w:tcPr>
          <w:p>
            <w:pPr>
              <w:spacing w:after="0"/>
              <w:rPr>
                <w:sz w:val="18"/>
                <w:szCs w:val="18"/>
                <w:color w:val="auto"/>
              </w:rPr>
            </w:pPr>
          </w:p>
        </w:tc>
        <w:tc>
          <w:tcPr>
            <w:tcW w:w="12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w w:val="82"/>
              </w:rPr>
              <w:t>$</w:t>
            </w:r>
          </w:p>
        </w:tc>
        <w:tc>
          <w:tcPr>
            <w:tcW w:w="560" w:type="dxa"/>
            <w:vAlign w:val="bottom"/>
            <w:tcBorders>
              <w:bottom w:val="single" w:sz="8" w:color="3051F2"/>
            </w:tcBorders>
          </w:tcPr>
          <w:p>
            <w:pPr>
              <w:jc w:val="right"/>
              <w:ind w:right="60"/>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560" w:type="dxa"/>
            <w:vAlign w:val="bottom"/>
            <w:tcBorders>
              <w:bottom w:val="single" w:sz="8" w:color="3051F2"/>
            </w:tcBorders>
          </w:tcPr>
          <w:p>
            <w:pPr>
              <w:ind w:left="300"/>
              <w:spacing w:after="0"/>
              <w:rPr>
                <w:sz w:val="20"/>
                <w:szCs w:val="20"/>
                <w:color w:val="auto"/>
              </w:rPr>
            </w:pPr>
            <w:r>
              <w:rPr>
                <w:rFonts w:ascii="Arial" w:cs="Arial" w:eastAsia="Arial" w:hAnsi="Arial"/>
                <w:sz w:val="13"/>
                <w:szCs w:val="13"/>
                <w:b w:val="1"/>
                <w:bCs w:val="1"/>
                <w:color w:val="1352DE"/>
              </w:rPr>
              <w:t>—</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420" w:type="dxa"/>
            <w:vAlign w:val="bottom"/>
            <w:tcBorders>
              <w:bottom w:val="single" w:sz="8" w:color="3051F2"/>
            </w:tcBorders>
          </w:tcPr>
          <w:p>
            <w:pPr>
              <w:jc w:val="right"/>
              <w:ind w:right="78"/>
              <w:spacing w:after="0"/>
              <w:rPr>
                <w:sz w:val="20"/>
                <w:szCs w:val="20"/>
                <w:color w:val="auto"/>
              </w:rPr>
            </w:pPr>
            <w:r>
              <w:rPr>
                <w:rFonts w:ascii="Arial" w:cs="Arial" w:eastAsia="Arial" w:hAnsi="Arial"/>
                <w:sz w:val="13"/>
                <w:szCs w:val="13"/>
                <w:b w:val="1"/>
                <w:bCs w:val="1"/>
                <w:color w:val="1352DE"/>
              </w:rPr>
              <w:t>—</w:t>
            </w:r>
          </w:p>
        </w:tc>
        <w:tc>
          <w:tcPr>
            <w:tcW w:w="240" w:type="dxa"/>
            <w:vAlign w:val="bottom"/>
            <w:tcBorders>
              <w:bottom w:val="single" w:sz="8" w:color="3051F2"/>
            </w:tcBorders>
          </w:tcPr>
          <w:p>
            <w:pPr>
              <w:jc w:val="right"/>
              <w:ind w:right="17"/>
              <w:spacing w:after="0"/>
              <w:rPr>
                <w:sz w:val="20"/>
                <w:szCs w:val="20"/>
                <w:color w:val="auto"/>
              </w:rPr>
            </w:pPr>
            <w:r>
              <w:rPr>
                <w:rFonts w:ascii="Arial" w:cs="Arial" w:eastAsia="Arial" w:hAnsi="Arial"/>
                <w:sz w:val="13"/>
                <w:szCs w:val="13"/>
                <w:b w:val="1"/>
                <w:bCs w:val="1"/>
                <w:color w:val="1352DE"/>
              </w:rPr>
              <w:t>$</w:t>
            </w:r>
          </w:p>
        </w:tc>
        <w:tc>
          <w:tcPr>
            <w:tcW w:w="44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24771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760" w:hanging="734"/>
        <w:spacing w:after="0"/>
        <w:tabs>
          <w:tab w:leader="none" w:pos="760" w:val="left"/>
        </w:tabs>
        <w:numPr>
          <w:ilvl w:val="0"/>
          <w:numId w:val="15"/>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4. Fair Value Measurements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440" w:type="dxa"/>
            <w:vAlign w:val="bottom"/>
            <w:tcBorders>
              <w:top w:val="single" w:sz="8" w:color="1352DE"/>
            </w:tcBorders>
          </w:tcPr>
          <w:p>
            <w:pPr>
              <w:spacing w:after="0"/>
              <w:rPr>
                <w:sz w:val="10"/>
                <w:szCs w:val="10"/>
                <w:color w:val="auto"/>
              </w:rPr>
            </w:pPr>
          </w:p>
        </w:tc>
        <w:tc>
          <w:tcPr>
            <w:tcW w:w="260" w:type="dxa"/>
            <w:vAlign w:val="bottom"/>
            <w:tcBorders>
              <w:top w:val="single" w:sz="8" w:color="1352DE"/>
            </w:tcBorders>
          </w:tcPr>
          <w:p>
            <w:pPr>
              <w:spacing w:after="0"/>
              <w:rPr>
                <w:sz w:val="10"/>
                <w:szCs w:val="10"/>
                <w:color w:val="auto"/>
              </w:rPr>
            </w:pPr>
          </w:p>
        </w:tc>
        <w:tc>
          <w:tcPr>
            <w:tcW w:w="620" w:type="dxa"/>
            <w:vAlign w:val="bottom"/>
            <w:tcBorders>
              <w:top w:val="single" w:sz="8" w:color="1352DE"/>
            </w:tcBorders>
            <w:vMerge w:val="restart"/>
          </w:tcPr>
          <w:p>
            <w:pPr>
              <w:jc w:val="right"/>
              <w:ind w:right="21"/>
              <w:spacing w:after="0"/>
              <w:rPr>
                <w:sz w:val="20"/>
                <w:szCs w:val="20"/>
                <w:color w:val="auto"/>
              </w:rPr>
            </w:pPr>
            <w:r>
              <w:rPr>
                <w:rFonts w:ascii="Arial" w:cs="Arial" w:eastAsia="Arial" w:hAnsi="Arial"/>
                <w:sz w:val="11"/>
                <w:szCs w:val="11"/>
                <w:color w:val="1252DE"/>
              </w:rPr>
              <w:t>Fair Value</w:t>
            </w:r>
          </w:p>
        </w:tc>
        <w:tc>
          <w:tcPr>
            <w:tcW w:w="220" w:type="dxa"/>
            <w:vAlign w:val="bottom"/>
            <w:tcBorders>
              <w:top w:val="single" w:sz="8" w:color="1352DE"/>
            </w:tcBorders>
          </w:tcPr>
          <w:p>
            <w:pPr>
              <w:spacing w:after="0"/>
              <w:rPr>
                <w:sz w:val="10"/>
                <w:szCs w:val="10"/>
                <w:color w:val="auto"/>
              </w:rPr>
            </w:pPr>
          </w:p>
        </w:tc>
        <w:tc>
          <w:tcPr>
            <w:tcW w:w="1140" w:type="dxa"/>
            <w:vAlign w:val="bottom"/>
            <w:tcBorders>
              <w:top w:val="single" w:sz="8" w:color="1352DE"/>
            </w:tcBorders>
          </w:tcPr>
          <w:p>
            <w:pPr>
              <w:jc w:val="right"/>
              <w:ind w:right="20"/>
              <w:spacing w:after="0" w:line="122" w:lineRule="exact"/>
              <w:rPr>
                <w:sz w:val="20"/>
                <w:szCs w:val="20"/>
                <w:color w:val="auto"/>
              </w:rPr>
            </w:pPr>
            <w:r>
              <w:rPr>
                <w:rFonts w:ascii="Arial" w:cs="Arial" w:eastAsia="Arial" w:hAnsi="Arial"/>
                <w:sz w:val="11"/>
                <w:szCs w:val="11"/>
                <w:color w:val="1252DE"/>
              </w:rPr>
              <w:t>Net Realized</w:t>
            </w:r>
          </w:p>
        </w:tc>
        <w:tc>
          <w:tcPr>
            <w:tcW w:w="200" w:type="dxa"/>
            <w:vAlign w:val="bottom"/>
            <w:tcBorders>
              <w:top w:val="single" w:sz="8" w:color="1352DE"/>
            </w:tcBorders>
          </w:tcPr>
          <w:p>
            <w:pPr>
              <w:spacing w:after="0"/>
              <w:rPr>
                <w:sz w:val="10"/>
                <w:szCs w:val="10"/>
                <w:color w:val="auto"/>
              </w:rPr>
            </w:pPr>
          </w:p>
        </w:tc>
        <w:tc>
          <w:tcPr>
            <w:tcW w:w="900" w:type="dxa"/>
            <w:vAlign w:val="bottom"/>
            <w:tcBorders>
              <w:top w:val="single" w:sz="8" w:color="1352DE"/>
            </w:tcBorders>
            <w:vMerge w:val="restart"/>
          </w:tcPr>
          <w:p>
            <w:pPr>
              <w:jc w:val="right"/>
              <w:spacing w:after="0"/>
              <w:rPr>
                <w:sz w:val="20"/>
                <w:szCs w:val="20"/>
                <w:color w:val="auto"/>
              </w:rPr>
            </w:pPr>
            <w:r>
              <w:rPr>
                <w:rFonts w:ascii="Arial" w:cs="Arial" w:eastAsia="Arial" w:hAnsi="Arial"/>
                <w:sz w:val="11"/>
                <w:szCs w:val="11"/>
                <w:color w:val="1252DE"/>
              </w:rPr>
              <w:t>Other</w:t>
            </w:r>
          </w:p>
        </w:tc>
        <w:tc>
          <w:tcPr>
            <w:tcW w:w="200" w:type="dxa"/>
            <w:vAlign w:val="bottom"/>
            <w:tcBorders>
              <w:top w:val="single" w:sz="8" w:color="1352DE"/>
            </w:tcBorders>
          </w:tcPr>
          <w:p>
            <w:pPr>
              <w:spacing w:after="0"/>
              <w:rPr>
                <w:sz w:val="10"/>
                <w:szCs w:val="10"/>
                <w:color w:val="auto"/>
              </w:rPr>
            </w:pPr>
          </w:p>
        </w:tc>
        <w:tc>
          <w:tcPr>
            <w:tcW w:w="620" w:type="dxa"/>
            <w:vAlign w:val="bottom"/>
            <w:tcBorders>
              <w:top w:val="single" w:sz="8" w:color="1352DE"/>
            </w:tcBorders>
          </w:tcPr>
          <w:p>
            <w:pPr>
              <w:spacing w:after="0"/>
              <w:rPr>
                <w:sz w:val="10"/>
                <w:szCs w:val="10"/>
                <w:color w:val="auto"/>
              </w:rPr>
            </w:pPr>
          </w:p>
        </w:tc>
        <w:tc>
          <w:tcPr>
            <w:tcW w:w="320" w:type="dxa"/>
            <w:vAlign w:val="bottom"/>
            <w:tcBorders>
              <w:top w:val="single" w:sz="8" w:color="1352DE"/>
            </w:tcBorders>
          </w:tcPr>
          <w:p>
            <w:pPr>
              <w:spacing w:after="0"/>
              <w:rPr>
                <w:sz w:val="10"/>
                <w:szCs w:val="10"/>
                <w:color w:val="auto"/>
              </w:rPr>
            </w:pPr>
          </w:p>
        </w:tc>
        <w:tc>
          <w:tcPr>
            <w:tcW w:w="500" w:type="dxa"/>
            <w:vAlign w:val="bottom"/>
            <w:tcBorders>
              <w:top w:val="single" w:sz="8" w:color="1352DE"/>
            </w:tcBorders>
          </w:tcPr>
          <w:p>
            <w:pPr>
              <w:spacing w:after="0"/>
              <w:rPr>
                <w:sz w:val="10"/>
                <w:szCs w:val="10"/>
                <w:color w:val="auto"/>
              </w:rPr>
            </w:pPr>
          </w:p>
        </w:tc>
        <w:tc>
          <w:tcPr>
            <w:tcW w:w="140" w:type="dxa"/>
            <w:vAlign w:val="bottom"/>
            <w:tcBorders>
              <w:top w:val="single" w:sz="8" w:color="1352DE"/>
            </w:tcBorders>
          </w:tcPr>
          <w:p>
            <w:pPr>
              <w:spacing w:after="0"/>
              <w:rPr>
                <w:sz w:val="10"/>
                <w:szCs w:val="10"/>
                <w:color w:val="auto"/>
              </w:rPr>
            </w:pPr>
          </w:p>
        </w:tc>
        <w:tc>
          <w:tcPr>
            <w:tcW w:w="60" w:type="dxa"/>
            <w:vAlign w:val="bottom"/>
            <w:tcBorders>
              <w:top w:val="single" w:sz="8" w:color="1352DE"/>
            </w:tcBorders>
          </w:tcPr>
          <w:p>
            <w:pPr>
              <w:spacing w:after="0"/>
              <w:rPr>
                <w:sz w:val="10"/>
                <w:szCs w:val="10"/>
                <w:color w:val="auto"/>
              </w:rPr>
            </w:pPr>
          </w:p>
        </w:tc>
        <w:tc>
          <w:tcPr>
            <w:tcW w:w="780" w:type="dxa"/>
            <w:vAlign w:val="bottom"/>
            <w:tcBorders>
              <w:top w:val="single" w:sz="8" w:color="1352DE"/>
            </w:tcBorders>
            <w:vMerge w:val="restart"/>
          </w:tcPr>
          <w:p>
            <w:pPr>
              <w:jc w:val="right"/>
              <w:ind w:right="39"/>
              <w:spacing w:after="0"/>
              <w:rPr>
                <w:sz w:val="20"/>
                <w:szCs w:val="20"/>
                <w:color w:val="auto"/>
              </w:rPr>
            </w:pPr>
            <w:r>
              <w:rPr>
                <w:rFonts w:ascii="Arial" w:cs="Arial" w:eastAsia="Arial" w:hAnsi="Arial"/>
                <w:sz w:val="11"/>
                <w:szCs w:val="11"/>
                <w:color w:val="1252DE"/>
              </w:rPr>
              <w:t>Issuances</w:t>
            </w:r>
          </w:p>
        </w:tc>
        <w:tc>
          <w:tcPr>
            <w:tcW w:w="180" w:type="dxa"/>
            <w:vAlign w:val="bottom"/>
            <w:tcBorders>
              <w:top w:val="single" w:sz="8" w:color="1352DE"/>
            </w:tcBorders>
          </w:tcPr>
          <w:p>
            <w:pPr>
              <w:spacing w:after="0"/>
              <w:rPr>
                <w:sz w:val="10"/>
                <w:szCs w:val="10"/>
                <w:color w:val="auto"/>
              </w:rPr>
            </w:pPr>
          </w:p>
        </w:tc>
        <w:tc>
          <w:tcPr>
            <w:tcW w:w="560" w:type="dxa"/>
            <w:vAlign w:val="bottom"/>
            <w:tcBorders>
              <w:top w:val="single" w:sz="8" w:color="1352DE"/>
            </w:tcBorders>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Borders>
              <w:top w:val="single" w:sz="8" w:color="1352DE"/>
            </w:tcBorders>
          </w:tcPr>
          <w:p>
            <w:pPr>
              <w:spacing w:after="0"/>
              <w:rPr>
                <w:sz w:val="10"/>
                <w:szCs w:val="10"/>
                <w:color w:val="auto"/>
              </w:rPr>
            </w:pPr>
          </w:p>
        </w:tc>
        <w:tc>
          <w:tcPr>
            <w:tcW w:w="560" w:type="dxa"/>
            <w:vAlign w:val="bottom"/>
            <w:tcBorders>
              <w:top w:val="single" w:sz="8" w:color="1352DE"/>
            </w:tcBorders>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Borders>
              <w:top w:val="single" w:sz="8" w:color="1352DE"/>
            </w:tcBorders>
          </w:tcPr>
          <w:p>
            <w:pPr>
              <w:spacing w:after="0"/>
              <w:rPr>
                <w:sz w:val="10"/>
                <w:szCs w:val="10"/>
                <w:color w:val="auto"/>
              </w:rPr>
            </w:pPr>
          </w:p>
        </w:tc>
        <w:tc>
          <w:tcPr>
            <w:tcW w:w="480" w:type="dxa"/>
            <w:vAlign w:val="bottom"/>
            <w:tcBorders>
              <w:top w:val="single" w:sz="8" w:color="1352DE"/>
            </w:tcBorders>
          </w:tcPr>
          <w:p>
            <w:pPr>
              <w:spacing w:after="0"/>
              <w:rPr>
                <w:sz w:val="10"/>
                <w:szCs w:val="10"/>
                <w:color w:val="auto"/>
              </w:rPr>
            </w:pPr>
          </w:p>
        </w:tc>
        <w:tc>
          <w:tcPr>
            <w:tcW w:w="200" w:type="dxa"/>
            <w:vAlign w:val="bottom"/>
            <w:tcBorders>
              <w:top w:val="single" w:sz="8" w:color="1352DE"/>
            </w:tcBorders>
          </w:tcPr>
          <w:p>
            <w:pPr>
              <w:spacing w:after="0"/>
              <w:rPr>
                <w:sz w:val="10"/>
                <w:szCs w:val="10"/>
                <w:color w:val="auto"/>
              </w:rPr>
            </w:pPr>
          </w:p>
        </w:tc>
        <w:tc>
          <w:tcPr>
            <w:tcW w:w="440" w:type="dxa"/>
            <w:vAlign w:val="bottom"/>
            <w:tcBorders>
              <w:top w:val="single" w:sz="8" w:color="1352DE"/>
            </w:tcBorders>
          </w:tcPr>
          <w:p>
            <w:pPr>
              <w:jc w:val="right"/>
              <w:spacing w:after="0" w:line="122" w:lineRule="exact"/>
              <w:rPr>
                <w:sz w:val="20"/>
                <w:szCs w:val="20"/>
                <w:color w:val="auto"/>
              </w:rPr>
            </w:pPr>
            <w:r>
              <w:rPr>
                <w:rFonts w:ascii="Arial" w:cs="Arial" w:eastAsia="Arial" w:hAnsi="Arial"/>
                <w:sz w:val="11"/>
                <w:szCs w:val="11"/>
                <w:color w:val="1252DE"/>
              </w:rPr>
              <w:t>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and Unrealized</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1252DE"/>
              </w:rPr>
              <w:t>Value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jc w:val="right"/>
              <w:ind w:right="41"/>
              <w:spacing w:after="0" w:line="108" w:lineRule="exact"/>
              <w:rPr>
                <w:sz w:val="20"/>
                <w:szCs w:val="20"/>
                <w:color w:val="auto"/>
              </w:rPr>
            </w:pPr>
            <w:r>
              <w:rPr>
                <w:rFonts w:ascii="Arial" w:cs="Arial" w:eastAsia="Arial" w:hAnsi="Arial"/>
                <w:sz w:val="11"/>
                <w:szCs w:val="11"/>
                <w:color w:val="1252DE"/>
              </w:rPr>
              <w:t>Beginning</w:t>
            </w:r>
          </w:p>
        </w:tc>
        <w:tc>
          <w:tcPr>
            <w:tcW w:w="220" w:type="dxa"/>
            <w:vAlign w:val="bottom"/>
          </w:tcPr>
          <w:p>
            <w:pPr>
              <w:spacing w:after="0"/>
              <w:rPr>
                <w:sz w:val="9"/>
                <w:szCs w:val="9"/>
                <w:color w:val="auto"/>
              </w:rPr>
            </w:pPr>
          </w:p>
        </w:tc>
        <w:tc>
          <w:tcPr>
            <w:tcW w:w="114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Gains (Losses)</w:t>
            </w:r>
          </w:p>
        </w:tc>
        <w:tc>
          <w:tcPr>
            <w:tcW w:w="20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1"/>
                <w:szCs w:val="11"/>
                <w:color w:val="1252DE"/>
              </w:rPr>
              <w:t>Comprehensive</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and</w:t>
            </w:r>
          </w:p>
        </w:tc>
        <w:tc>
          <w:tcPr>
            <w:tcW w:w="18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1252DE"/>
              </w:rPr>
              <w:t>End of</w:t>
            </w:r>
          </w:p>
        </w:tc>
        <w:tc>
          <w:tcPr>
            <w:tcW w:w="0" w:type="dxa"/>
            <w:vAlign w:val="bottom"/>
          </w:tcPr>
          <w:p>
            <w:pPr>
              <w:spacing w:after="0"/>
              <w:rPr>
                <w:sz w:val="1"/>
                <w:szCs w:val="1"/>
                <w:color w:val="auto"/>
              </w:rPr>
            </w:pPr>
          </w:p>
        </w:tc>
      </w:tr>
      <w:tr>
        <w:trPr>
          <w:trHeight w:val="162"/>
        </w:trPr>
        <w:tc>
          <w:tcPr>
            <w:tcW w:w="2440" w:type="dxa"/>
            <w:vAlign w:val="bottom"/>
          </w:tcPr>
          <w:p>
            <w:pPr>
              <w:ind w:left="40"/>
              <w:spacing w:after="0"/>
              <w:rPr>
                <w:sz w:val="20"/>
                <w:szCs w:val="20"/>
                <w:color w:val="auto"/>
              </w:rPr>
            </w:pPr>
            <w:r>
              <w:rPr>
                <w:rFonts w:ascii="Arial" w:cs="Arial" w:eastAsia="Arial" w:hAnsi="Arial"/>
                <w:sz w:val="11"/>
                <w:szCs w:val="11"/>
                <w:i w:val="1"/>
                <w:iCs w:val="1"/>
                <w:color w:val="1252DE"/>
              </w:rPr>
              <w:t>(in millions)</w:t>
            </w:r>
          </w:p>
        </w:tc>
        <w:tc>
          <w:tcPr>
            <w:tcW w:w="260" w:type="dxa"/>
            <w:vAlign w:val="bottom"/>
          </w:tcPr>
          <w:p>
            <w:pPr>
              <w:spacing w:after="0"/>
              <w:rPr>
                <w:sz w:val="14"/>
                <w:szCs w:val="14"/>
                <w:color w:val="auto"/>
              </w:rPr>
            </w:pPr>
          </w:p>
        </w:tc>
        <w:tc>
          <w:tcPr>
            <w:tcW w:w="620" w:type="dxa"/>
            <w:vAlign w:val="bottom"/>
          </w:tcPr>
          <w:p>
            <w:pPr>
              <w:jc w:val="right"/>
              <w:ind w:right="21"/>
              <w:spacing w:after="0"/>
              <w:rPr>
                <w:sz w:val="20"/>
                <w:szCs w:val="20"/>
                <w:color w:val="auto"/>
              </w:rPr>
            </w:pPr>
            <w:r>
              <w:rPr>
                <w:rFonts w:ascii="Arial" w:cs="Arial" w:eastAsia="Arial" w:hAnsi="Arial"/>
                <w:sz w:val="11"/>
                <w:szCs w:val="11"/>
                <w:color w:val="1252DE"/>
              </w:rPr>
              <w:t>of Period</w:t>
            </w:r>
          </w:p>
        </w:tc>
        <w:tc>
          <w:tcPr>
            <w:tcW w:w="22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1"/>
                <w:szCs w:val="11"/>
                <w:color w:val="1252DE"/>
              </w:rPr>
              <w:t>Included in Income</w:t>
            </w:r>
            <w:r>
              <w:rPr>
                <w:rFonts w:ascii="Arial" w:cs="Arial" w:eastAsia="Arial" w:hAnsi="Arial"/>
                <w:sz w:val="14"/>
                <w:szCs w:val="14"/>
                <w:color w:val="1252DE"/>
                <w:vertAlign w:val="superscript"/>
              </w:rPr>
              <w:t>(a)</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1252DE"/>
              </w:rPr>
              <w:t>Income (Loss)</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1252DE"/>
              </w:rPr>
              <w:t>Purchases</w:t>
            </w:r>
          </w:p>
        </w:tc>
        <w:tc>
          <w:tcPr>
            <w:tcW w:w="320" w:type="dxa"/>
            <w:vAlign w:val="bottom"/>
          </w:tcPr>
          <w:p>
            <w:pPr>
              <w:spacing w:after="0"/>
              <w:rPr>
                <w:sz w:val="14"/>
                <w:szCs w:val="14"/>
                <w:color w:val="auto"/>
              </w:rPr>
            </w:pPr>
          </w:p>
        </w:tc>
        <w:tc>
          <w:tcPr>
            <w:tcW w:w="500" w:type="dxa"/>
            <w:vAlign w:val="bottom"/>
          </w:tcPr>
          <w:p>
            <w:pPr>
              <w:ind w:left="160"/>
              <w:spacing w:after="0"/>
              <w:rPr>
                <w:sz w:val="20"/>
                <w:szCs w:val="20"/>
                <w:color w:val="auto"/>
              </w:rPr>
            </w:pPr>
            <w:r>
              <w:rPr>
                <w:rFonts w:ascii="Arial" w:cs="Arial" w:eastAsia="Arial" w:hAnsi="Arial"/>
                <w:sz w:val="11"/>
                <w:szCs w:val="11"/>
                <w:color w:val="1252DE"/>
              </w:rPr>
              <w:t>Sales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1"/>
                <w:szCs w:val="11"/>
                <w:color w:val="1252DE"/>
                <w:w w:val="94"/>
              </w:rPr>
              <w:t>Settlements</w:t>
            </w:r>
            <w:r>
              <w:rPr>
                <w:rFonts w:ascii="Arial" w:cs="Arial" w:eastAsia="Arial" w:hAnsi="Arial"/>
                <w:sz w:val="14"/>
                <w:szCs w:val="14"/>
                <w:color w:val="1252DE"/>
                <w:w w:val="94"/>
                <w:vertAlign w:val="superscript"/>
              </w:rPr>
              <w:t>(b)</w:t>
            </w:r>
          </w:p>
        </w:tc>
        <w:tc>
          <w:tcPr>
            <w:tcW w:w="18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1"/>
                <w:szCs w:val="11"/>
                <w:color w:val="1252DE"/>
              </w:rPr>
              <w:t>In</w:t>
            </w:r>
          </w:p>
        </w:tc>
        <w:tc>
          <w:tcPr>
            <w:tcW w:w="20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1"/>
                <w:szCs w:val="11"/>
                <w:color w:val="1252DE"/>
              </w:rPr>
              <w:t>Out</w:t>
            </w:r>
          </w:p>
        </w:tc>
        <w:tc>
          <w:tcPr>
            <w:tcW w:w="200" w:type="dxa"/>
            <w:vAlign w:val="bottom"/>
          </w:tcPr>
          <w:p>
            <w:pPr>
              <w:spacing w:after="0"/>
              <w:rPr>
                <w:sz w:val="14"/>
                <w:szCs w:val="14"/>
                <w:color w:val="auto"/>
              </w:rPr>
            </w:pPr>
          </w:p>
        </w:tc>
        <w:tc>
          <w:tcPr>
            <w:tcW w:w="480" w:type="dxa"/>
            <w:vAlign w:val="bottom"/>
          </w:tcPr>
          <w:p>
            <w:pPr>
              <w:jc w:val="right"/>
              <w:ind w:right="58"/>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1252DE"/>
              </w:rPr>
              <w:t>Period</w:t>
            </w:r>
          </w:p>
        </w:tc>
        <w:tc>
          <w:tcPr>
            <w:tcW w:w="0" w:type="dxa"/>
            <w:vAlign w:val="bottom"/>
          </w:tcPr>
          <w:p>
            <w:pPr>
              <w:spacing w:after="0"/>
              <w:rPr>
                <w:sz w:val="1"/>
                <w:szCs w:val="1"/>
                <w:color w:val="auto"/>
              </w:rPr>
            </w:pPr>
          </w:p>
        </w:tc>
      </w:tr>
      <w:tr>
        <w:trPr>
          <w:trHeight w:val="164"/>
        </w:trPr>
        <w:tc>
          <w:tcPr>
            <w:tcW w:w="2440" w:type="dxa"/>
            <w:vAlign w:val="bottom"/>
            <w:tcBorders>
              <w:top w:val="single" w:sz="8" w:color="1352DE"/>
            </w:tcBorders>
          </w:tcPr>
          <w:p>
            <w:pPr>
              <w:ind w:left="20"/>
              <w:spacing w:after="0"/>
              <w:rPr>
                <w:sz w:val="20"/>
                <w:szCs w:val="20"/>
                <w:color w:val="auto"/>
              </w:rPr>
            </w:pPr>
            <w:r>
              <w:rPr>
                <w:rFonts w:ascii="Arial" w:cs="Arial" w:eastAsia="Arial" w:hAnsi="Arial"/>
                <w:sz w:val="12"/>
                <w:szCs w:val="12"/>
                <w:color w:val="1252DE"/>
              </w:rPr>
              <w:t>Three Months Ended September 30, 2025</w:t>
            </w:r>
          </w:p>
        </w:tc>
        <w:tc>
          <w:tcPr>
            <w:tcW w:w="260" w:type="dxa"/>
            <w:vAlign w:val="bottom"/>
            <w:tcBorders>
              <w:top w:val="single" w:sz="8" w:color="1352DE"/>
            </w:tcBorders>
          </w:tcPr>
          <w:p>
            <w:pPr>
              <w:spacing w:after="0"/>
              <w:rPr>
                <w:sz w:val="14"/>
                <w:szCs w:val="14"/>
                <w:color w:val="auto"/>
              </w:rPr>
            </w:pPr>
          </w:p>
        </w:tc>
        <w:tc>
          <w:tcPr>
            <w:tcW w:w="620" w:type="dxa"/>
            <w:vAlign w:val="bottom"/>
            <w:tcBorders>
              <w:top w:val="single" w:sz="8" w:color="1352DE"/>
            </w:tcBorders>
          </w:tcPr>
          <w:p>
            <w:pPr>
              <w:spacing w:after="0"/>
              <w:rPr>
                <w:sz w:val="14"/>
                <w:szCs w:val="14"/>
                <w:color w:val="auto"/>
              </w:rPr>
            </w:pPr>
          </w:p>
        </w:tc>
        <w:tc>
          <w:tcPr>
            <w:tcW w:w="220" w:type="dxa"/>
            <w:vAlign w:val="bottom"/>
            <w:tcBorders>
              <w:top w:val="single" w:sz="8" w:color="1352DE"/>
            </w:tcBorders>
          </w:tcPr>
          <w:p>
            <w:pPr>
              <w:spacing w:after="0"/>
              <w:rPr>
                <w:sz w:val="14"/>
                <w:szCs w:val="14"/>
                <w:color w:val="auto"/>
              </w:rPr>
            </w:pPr>
          </w:p>
        </w:tc>
        <w:tc>
          <w:tcPr>
            <w:tcW w:w="1140" w:type="dxa"/>
            <w:vAlign w:val="bottom"/>
            <w:tcBorders>
              <w:top w:val="single" w:sz="8" w:color="1352DE"/>
            </w:tcBorders>
          </w:tcPr>
          <w:p>
            <w:pPr>
              <w:spacing w:after="0"/>
              <w:rPr>
                <w:sz w:val="14"/>
                <w:szCs w:val="14"/>
                <w:color w:val="auto"/>
              </w:rPr>
            </w:pPr>
          </w:p>
        </w:tc>
        <w:tc>
          <w:tcPr>
            <w:tcW w:w="200" w:type="dxa"/>
            <w:vAlign w:val="bottom"/>
            <w:tcBorders>
              <w:top w:val="single" w:sz="8" w:color="1352DE"/>
            </w:tcBorders>
          </w:tcPr>
          <w:p>
            <w:pPr>
              <w:spacing w:after="0"/>
              <w:rPr>
                <w:sz w:val="14"/>
                <w:szCs w:val="14"/>
                <w:color w:val="auto"/>
              </w:rPr>
            </w:pPr>
          </w:p>
        </w:tc>
        <w:tc>
          <w:tcPr>
            <w:tcW w:w="900" w:type="dxa"/>
            <w:vAlign w:val="bottom"/>
            <w:tcBorders>
              <w:top w:val="single" w:sz="8" w:color="1352DE"/>
            </w:tcBorders>
          </w:tcPr>
          <w:p>
            <w:pPr>
              <w:spacing w:after="0"/>
              <w:rPr>
                <w:sz w:val="14"/>
                <w:szCs w:val="14"/>
                <w:color w:val="auto"/>
              </w:rPr>
            </w:pPr>
          </w:p>
        </w:tc>
        <w:tc>
          <w:tcPr>
            <w:tcW w:w="200" w:type="dxa"/>
            <w:vAlign w:val="bottom"/>
            <w:tcBorders>
              <w:top w:val="single" w:sz="8" w:color="1352DE"/>
            </w:tcBorders>
          </w:tcPr>
          <w:p>
            <w:pPr>
              <w:spacing w:after="0"/>
              <w:rPr>
                <w:sz w:val="14"/>
                <w:szCs w:val="14"/>
                <w:color w:val="auto"/>
              </w:rPr>
            </w:pPr>
          </w:p>
        </w:tc>
        <w:tc>
          <w:tcPr>
            <w:tcW w:w="620" w:type="dxa"/>
            <w:vAlign w:val="bottom"/>
            <w:tcBorders>
              <w:top w:val="single" w:sz="8" w:color="1352DE"/>
            </w:tcBorders>
          </w:tcPr>
          <w:p>
            <w:pPr>
              <w:spacing w:after="0"/>
              <w:rPr>
                <w:sz w:val="14"/>
                <w:szCs w:val="14"/>
                <w:color w:val="auto"/>
              </w:rPr>
            </w:pPr>
          </w:p>
        </w:tc>
        <w:tc>
          <w:tcPr>
            <w:tcW w:w="320" w:type="dxa"/>
            <w:vAlign w:val="bottom"/>
            <w:tcBorders>
              <w:top w:val="single" w:sz="8" w:color="1352DE"/>
            </w:tcBorders>
          </w:tcPr>
          <w:p>
            <w:pPr>
              <w:spacing w:after="0"/>
              <w:rPr>
                <w:sz w:val="14"/>
                <w:szCs w:val="14"/>
                <w:color w:val="auto"/>
              </w:rPr>
            </w:pPr>
          </w:p>
        </w:tc>
        <w:tc>
          <w:tcPr>
            <w:tcW w:w="500" w:type="dxa"/>
            <w:vAlign w:val="bottom"/>
            <w:tcBorders>
              <w:top w:val="single" w:sz="8" w:color="1352DE"/>
            </w:tcBorders>
          </w:tcPr>
          <w:p>
            <w:pPr>
              <w:spacing w:after="0"/>
              <w:rPr>
                <w:sz w:val="14"/>
                <w:szCs w:val="14"/>
                <w:color w:val="auto"/>
              </w:rPr>
            </w:pPr>
          </w:p>
        </w:tc>
        <w:tc>
          <w:tcPr>
            <w:tcW w:w="140" w:type="dxa"/>
            <w:vAlign w:val="bottom"/>
            <w:tcBorders>
              <w:top w:val="single" w:sz="8" w:color="1352DE"/>
            </w:tcBorders>
          </w:tcPr>
          <w:p>
            <w:pPr>
              <w:spacing w:after="0"/>
              <w:rPr>
                <w:sz w:val="14"/>
                <w:szCs w:val="14"/>
                <w:color w:val="auto"/>
              </w:rPr>
            </w:pPr>
          </w:p>
        </w:tc>
        <w:tc>
          <w:tcPr>
            <w:tcW w:w="60" w:type="dxa"/>
            <w:vAlign w:val="bottom"/>
            <w:tcBorders>
              <w:top w:val="single" w:sz="8" w:color="1352DE"/>
            </w:tcBorders>
          </w:tcPr>
          <w:p>
            <w:pPr>
              <w:spacing w:after="0"/>
              <w:rPr>
                <w:sz w:val="14"/>
                <w:szCs w:val="14"/>
                <w:color w:val="auto"/>
              </w:rPr>
            </w:pPr>
          </w:p>
        </w:tc>
        <w:tc>
          <w:tcPr>
            <w:tcW w:w="780" w:type="dxa"/>
            <w:vAlign w:val="bottom"/>
            <w:tcBorders>
              <w:top w:val="single" w:sz="8" w:color="1352DE"/>
            </w:tcBorders>
          </w:tcPr>
          <w:p>
            <w:pPr>
              <w:spacing w:after="0"/>
              <w:rPr>
                <w:sz w:val="14"/>
                <w:szCs w:val="14"/>
                <w:color w:val="auto"/>
              </w:rPr>
            </w:pPr>
          </w:p>
        </w:tc>
        <w:tc>
          <w:tcPr>
            <w:tcW w:w="180" w:type="dxa"/>
            <w:vAlign w:val="bottom"/>
            <w:tcBorders>
              <w:top w:val="single" w:sz="8" w:color="1352DE"/>
            </w:tcBorders>
          </w:tcPr>
          <w:p>
            <w:pPr>
              <w:spacing w:after="0"/>
              <w:rPr>
                <w:sz w:val="14"/>
                <w:szCs w:val="14"/>
                <w:color w:val="auto"/>
              </w:rPr>
            </w:pPr>
          </w:p>
        </w:tc>
        <w:tc>
          <w:tcPr>
            <w:tcW w:w="560" w:type="dxa"/>
            <w:vAlign w:val="bottom"/>
            <w:tcBorders>
              <w:top w:val="single" w:sz="8" w:color="1352DE"/>
            </w:tcBorders>
          </w:tcPr>
          <w:p>
            <w:pPr>
              <w:spacing w:after="0"/>
              <w:rPr>
                <w:sz w:val="14"/>
                <w:szCs w:val="14"/>
                <w:color w:val="auto"/>
              </w:rPr>
            </w:pPr>
          </w:p>
        </w:tc>
        <w:tc>
          <w:tcPr>
            <w:tcW w:w="200" w:type="dxa"/>
            <w:vAlign w:val="bottom"/>
            <w:tcBorders>
              <w:top w:val="single" w:sz="8" w:color="1352DE"/>
            </w:tcBorders>
          </w:tcPr>
          <w:p>
            <w:pPr>
              <w:spacing w:after="0"/>
              <w:rPr>
                <w:sz w:val="14"/>
                <w:szCs w:val="14"/>
                <w:color w:val="auto"/>
              </w:rPr>
            </w:pPr>
          </w:p>
        </w:tc>
        <w:tc>
          <w:tcPr>
            <w:tcW w:w="560" w:type="dxa"/>
            <w:vAlign w:val="bottom"/>
            <w:tcBorders>
              <w:top w:val="single" w:sz="8" w:color="1352DE"/>
            </w:tcBorders>
          </w:tcPr>
          <w:p>
            <w:pPr>
              <w:spacing w:after="0"/>
              <w:rPr>
                <w:sz w:val="14"/>
                <w:szCs w:val="14"/>
                <w:color w:val="auto"/>
              </w:rPr>
            </w:pPr>
          </w:p>
        </w:tc>
        <w:tc>
          <w:tcPr>
            <w:tcW w:w="200" w:type="dxa"/>
            <w:vAlign w:val="bottom"/>
            <w:tcBorders>
              <w:top w:val="single" w:sz="8" w:color="1352DE"/>
            </w:tcBorders>
          </w:tcPr>
          <w:p>
            <w:pPr>
              <w:spacing w:after="0"/>
              <w:rPr>
                <w:sz w:val="14"/>
                <w:szCs w:val="14"/>
                <w:color w:val="auto"/>
              </w:rPr>
            </w:pPr>
          </w:p>
        </w:tc>
        <w:tc>
          <w:tcPr>
            <w:tcW w:w="480" w:type="dxa"/>
            <w:vAlign w:val="bottom"/>
            <w:tcBorders>
              <w:top w:val="single" w:sz="8" w:color="1352DE"/>
            </w:tcBorders>
          </w:tcPr>
          <w:p>
            <w:pPr>
              <w:spacing w:after="0"/>
              <w:rPr>
                <w:sz w:val="14"/>
                <w:szCs w:val="14"/>
                <w:color w:val="auto"/>
              </w:rPr>
            </w:pPr>
          </w:p>
        </w:tc>
        <w:tc>
          <w:tcPr>
            <w:tcW w:w="200" w:type="dxa"/>
            <w:vAlign w:val="bottom"/>
            <w:tcBorders>
              <w:top w:val="single" w:sz="8" w:color="1352DE"/>
            </w:tcBorders>
          </w:tcPr>
          <w:p>
            <w:pPr>
              <w:spacing w:after="0"/>
              <w:rPr>
                <w:sz w:val="14"/>
                <w:szCs w:val="14"/>
                <w:color w:val="auto"/>
              </w:rPr>
            </w:pPr>
          </w:p>
        </w:tc>
        <w:tc>
          <w:tcPr>
            <w:tcW w:w="440" w:type="dxa"/>
            <w:vAlign w:val="bottom"/>
            <w:tcBorders>
              <w:top w:val="single" w:sz="8" w:color="1352D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2"/>
                <w:szCs w:val="12"/>
                <w:b w:val="1"/>
                <w:bCs w:val="1"/>
                <w:color w:val="1252DE"/>
              </w:rPr>
              <w:t>Assets: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140"/>
              <w:spacing w:after="0"/>
              <w:rPr>
                <w:sz w:val="20"/>
                <w:szCs w:val="20"/>
                <w:color w:val="auto"/>
              </w:rPr>
            </w:pPr>
            <w:r>
              <w:rPr>
                <w:rFonts w:ascii="Arial" w:cs="Arial" w:eastAsia="Arial" w:hAnsi="Arial"/>
                <w:sz w:val="12"/>
                <w:szCs w:val="12"/>
                <w:b w:val="1"/>
                <w:bCs w:val="1"/>
                <w:color w:val="1252DE"/>
              </w:rPr>
              <w:t>Bonds available for sale:</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40"/>
              <w:spacing w:after="0" w:line="134" w:lineRule="exact"/>
              <w:rPr>
                <w:sz w:val="20"/>
                <w:szCs w:val="20"/>
                <w:color w:val="auto"/>
              </w:rPr>
            </w:pPr>
            <w:r>
              <w:rPr>
                <w:rFonts w:ascii="Arial" w:cs="Arial" w:eastAsia="Arial" w:hAnsi="Arial"/>
                <w:sz w:val="12"/>
                <w:szCs w:val="12"/>
                <w:color w:val="auto"/>
              </w:rPr>
              <w:t>Obligations of states, municipalities and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40" w:type="dxa"/>
            <w:vAlign w:val="bottom"/>
          </w:tcPr>
          <w:p>
            <w:pPr>
              <w:ind w:left="360"/>
              <w:spacing w:after="0"/>
              <w:rPr>
                <w:sz w:val="20"/>
                <w:szCs w:val="20"/>
                <w:color w:val="auto"/>
              </w:rPr>
            </w:pPr>
            <w:r>
              <w:rPr>
                <w:rFonts w:ascii="Arial" w:cs="Arial" w:eastAsia="Arial" w:hAnsi="Arial"/>
                <w:sz w:val="12"/>
                <w:szCs w:val="12"/>
                <w:color w:val="auto"/>
              </w:rPr>
              <w:t>political subdivisions</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2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40" w:type="dxa"/>
            <w:vAlign w:val="bottom"/>
          </w:tcPr>
          <w:p>
            <w:pPr>
              <w:ind w:left="240"/>
              <w:spacing w:after="0"/>
              <w:rPr>
                <w:sz w:val="20"/>
                <w:szCs w:val="20"/>
                <w:color w:val="auto"/>
              </w:rPr>
            </w:pPr>
            <w:r>
              <w:rPr>
                <w:rFonts w:ascii="Arial" w:cs="Arial" w:eastAsia="Arial" w:hAnsi="Arial"/>
                <w:sz w:val="12"/>
                <w:szCs w:val="12"/>
                <w:color w:val="auto"/>
              </w:rPr>
              <w:t>Non-U.S. governments</w:t>
            </w:r>
          </w:p>
        </w:tc>
        <w:tc>
          <w:tcPr>
            <w:tcW w:w="260" w:type="dxa"/>
            <w:vAlign w:val="bottom"/>
          </w:tcPr>
          <w:p>
            <w:pPr>
              <w:spacing w:after="0"/>
              <w:rPr>
                <w:sz w:val="14"/>
                <w:szCs w:val="14"/>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6</w:t>
            </w:r>
          </w:p>
        </w:tc>
        <w:tc>
          <w:tcPr>
            <w:tcW w:w="22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Corporate debt</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147</w:t>
            </w:r>
          </w:p>
        </w:tc>
        <w:tc>
          <w:tcPr>
            <w:tcW w:w="22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900" w:type="dxa"/>
            <w:vAlign w:val="bottom"/>
          </w:tcPr>
          <w:p>
            <w:pPr>
              <w:jc w:val="right"/>
              <w:ind w:right="19"/>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15"/>
                <w:szCs w:val="15"/>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5"/>
                <w:szCs w:val="15"/>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40"/>
              <w:spacing w:after="0"/>
              <w:rPr>
                <w:sz w:val="20"/>
                <w:szCs w:val="20"/>
                <w:color w:val="auto"/>
              </w:rPr>
            </w:pPr>
            <w:r>
              <w:rPr>
                <w:rFonts w:ascii="Arial" w:cs="Arial" w:eastAsia="Arial" w:hAnsi="Arial"/>
                <w:sz w:val="12"/>
                <w:szCs w:val="12"/>
                <w:color w:val="auto"/>
              </w:rPr>
              <w:t>RMBS</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1,633</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5"/>
                <w:szCs w:val="15"/>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5"/>
                <w:szCs w:val="15"/>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46</w:t>
            </w:r>
          </w:p>
        </w:tc>
        <w:tc>
          <w:tcPr>
            <w:tcW w:w="32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(51)</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5"/>
                <w:szCs w:val="15"/>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CMBS</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26</w:t>
            </w:r>
          </w:p>
        </w:tc>
        <w:tc>
          <w:tcPr>
            <w:tcW w:w="22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5"/>
                <w:szCs w:val="15"/>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5"/>
                <w:szCs w:val="15"/>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2"/>
                <w:szCs w:val="12"/>
                <w:color w:val="auto"/>
              </w:rPr>
              <w:t>1,200</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9</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color w:val="auto"/>
              </w:rPr>
              <w:t>437</w:t>
            </w:r>
          </w:p>
        </w:tc>
        <w:tc>
          <w:tcPr>
            <w:tcW w:w="32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(14)</w:t>
            </w:r>
          </w:p>
        </w:tc>
        <w:tc>
          <w:tcPr>
            <w:tcW w:w="140" w:type="dxa"/>
            <w:vAlign w:val="bottom"/>
            <w:tcBorders>
              <w:bottom w:val="single" w:sz="8" w:color="1352DE"/>
            </w:tcBorders>
          </w:tcPr>
          <w:p>
            <w:pPr>
              <w:spacing w:after="0"/>
              <w:rPr>
                <w:sz w:val="15"/>
                <w:szCs w:val="15"/>
                <w:color w:val="auto"/>
              </w:rPr>
            </w:pPr>
          </w:p>
        </w:tc>
        <w:tc>
          <w:tcPr>
            <w:tcW w:w="6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(146)</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1352DE"/>
            </w:tcBorders>
          </w:tcPr>
          <w:p>
            <w:pPr>
              <w:spacing w:after="0"/>
              <w:rPr>
                <w:sz w:val="15"/>
                <w:szCs w:val="15"/>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1,486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100"/>
              <w:spacing w:after="0"/>
              <w:rPr>
                <w:sz w:val="20"/>
                <w:szCs w:val="20"/>
                <w:color w:val="auto"/>
              </w:rPr>
            </w:pPr>
            <w:r>
              <w:rPr>
                <w:rFonts w:ascii="Arial" w:cs="Arial" w:eastAsia="Arial" w:hAnsi="Arial"/>
                <w:sz w:val="12"/>
                <w:szCs w:val="12"/>
                <w:b w:val="1"/>
                <w:bCs w:val="1"/>
                <w:color w:val="1252DE"/>
              </w:rPr>
              <w:t>Total bonds available for sale</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2"/>
                <w:szCs w:val="12"/>
                <w:color w:val="auto"/>
              </w:rPr>
              <w:t>3,015</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7</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color w:val="auto"/>
              </w:rPr>
              <w:t>483</w:t>
            </w:r>
          </w:p>
        </w:tc>
        <w:tc>
          <w:tcPr>
            <w:tcW w:w="320" w:type="dxa"/>
            <w:vAlign w:val="bottom"/>
            <w:tcBorders>
              <w:bottom w:val="single" w:sz="8" w:color="1352DE"/>
            </w:tcBorders>
          </w:tcPr>
          <w:p>
            <w:pPr>
              <w:spacing w:after="0"/>
              <w:rPr>
                <w:sz w:val="14"/>
                <w:szCs w:val="14"/>
                <w:color w:val="auto"/>
              </w:rPr>
            </w:pPr>
          </w:p>
        </w:tc>
        <w:tc>
          <w:tcPr>
            <w:tcW w:w="50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(16)</w:t>
            </w:r>
          </w:p>
        </w:tc>
        <w:tc>
          <w:tcPr>
            <w:tcW w:w="140" w:type="dxa"/>
            <w:vAlign w:val="bottom"/>
            <w:tcBorders>
              <w:bottom w:val="single" w:sz="8" w:color="1352DE"/>
            </w:tcBorders>
          </w:tcPr>
          <w:p>
            <w:pPr>
              <w:spacing w:after="0"/>
              <w:rPr>
                <w:sz w:val="14"/>
                <w:szCs w:val="14"/>
                <w:color w:val="auto"/>
              </w:rPr>
            </w:pPr>
          </w:p>
        </w:tc>
        <w:tc>
          <w:tcPr>
            <w:tcW w:w="6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(203)</w:t>
            </w:r>
          </w:p>
        </w:tc>
        <w:tc>
          <w:tcPr>
            <w:tcW w:w="1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(24)</w:t>
            </w:r>
          </w:p>
        </w:tc>
        <w:tc>
          <w:tcPr>
            <w:tcW w:w="200" w:type="dxa"/>
            <w:vAlign w:val="bottom"/>
            <w:tcBorders>
              <w:bottom w:val="single" w:sz="8" w:color="1352DE"/>
            </w:tcBorders>
          </w:tcPr>
          <w:p>
            <w:pPr>
              <w:spacing w:after="0"/>
              <w:rPr>
                <w:sz w:val="14"/>
                <w:szCs w:val="14"/>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3,264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00"/>
              <w:spacing w:after="0"/>
              <w:rPr>
                <w:sz w:val="20"/>
                <w:szCs w:val="20"/>
                <w:color w:val="auto"/>
              </w:rPr>
            </w:pPr>
            <w:r>
              <w:rPr>
                <w:rFonts w:ascii="Arial" w:cs="Arial" w:eastAsia="Arial" w:hAnsi="Arial"/>
                <w:sz w:val="12"/>
                <w:szCs w:val="12"/>
                <w:b w:val="1"/>
                <w:bCs w:val="1"/>
                <w:color w:val="1252DE"/>
              </w:rPr>
              <w:t>Other bond securities: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40" w:type="dxa"/>
            <w:vAlign w:val="bottom"/>
          </w:tcPr>
          <w:p>
            <w:pPr>
              <w:ind w:left="240"/>
              <w:spacing w:after="0"/>
              <w:rPr>
                <w:sz w:val="20"/>
                <w:szCs w:val="20"/>
                <w:color w:val="auto"/>
              </w:rPr>
            </w:pPr>
            <w:r>
              <w:rPr>
                <w:rFonts w:ascii="Arial" w:cs="Arial" w:eastAsia="Arial" w:hAnsi="Arial"/>
                <w:sz w:val="12"/>
                <w:szCs w:val="12"/>
                <w:color w:val="auto"/>
              </w:rPr>
              <w:t>Corporate debt</w:t>
            </w:r>
          </w:p>
        </w:tc>
        <w:tc>
          <w:tcPr>
            <w:tcW w:w="260" w:type="dxa"/>
            <w:vAlign w:val="bottom"/>
          </w:tcPr>
          <w:p>
            <w:pPr>
              <w:spacing w:after="0"/>
              <w:rPr>
                <w:sz w:val="16"/>
                <w:szCs w:val="16"/>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40"/>
              <w:spacing w:after="0"/>
              <w:rPr>
                <w:sz w:val="20"/>
                <w:szCs w:val="20"/>
                <w:color w:val="auto"/>
              </w:rPr>
            </w:pPr>
            <w:r>
              <w:rPr>
                <w:rFonts w:ascii="Arial" w:cs="Arial" w:eastAsia="Arial" w:hAnsi="Arial"/>
                <w:sz w:val="12"/>
                <w:szCs w:val="12"/>
                <w:color w:val="auto"/>
              </w:rPr>
              <w:t>RMBS</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50</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3</w:t>
            </w:r>
          </w:p>
        </w:tc>
        <w:tc>
          <w:tcPr>
            <w:tcW w:w="32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2"/>
                <w:szCs w:val="12"/>
                <w:color w:val="auto"/>
              </w:rPr>
              <w:t>123</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color w:val="auto"/>
              </w:rPr>
              <w:t>11</w:t>
            </w:r>
          </w:p>
        </w:tc>
        <w:tc>
          <w:tcPr>
            <w:tcW w:w="32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1352DE"/>
            </w:tcBorders>
          </w:tcPr>
          <w:p>
            <w:pPr>
              <w:spacing w:after="0"/>
              <w:rPr>
                <w:sz w:val="15"/>
                <w:szCs w:val="15"/>
                <w:color w:val="auto"/>
              </w:rPr>
            </w:pPr>
          </w:p>
        </w:tc>
        <w:tc>
          <w:tcPr>
            <w:tcW w:w="6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(1)</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w:t>
            </w:r>
          </w:p>
        </w:tc>
        <w:tc>
          <w:tcPr>
            <w:tcW w:w="200" w:type="dxa"/>
            <w:vAlign w:val="bottom"/>
            <w:tcBorders>
              <w:bottom w:val="single" w:sz="8" w:color="1352DE"/>
            </w:tcBorders>
          </w:tcPr>
          <w:p>
            <w:pPr>
              <w:spacing w:after="0"/>
              <w:rPr>
                <w:sz w:val="15"/>
                <w:szCs w:val="15"/>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100"/>
              <w:spacing w:after="0"/>
              <w:rPr>
                <w:sz w:val="20"/>
                <w:szCs w:val="20"/>
                <w:color w:val="auto"/>
              </w:rPr>
            </w:pPr>
            <w:r>
              <w:rPr>
                <w:rFonts w:ascii="Arial" w:cs="Arial" w:eastAsia="Arial" w:hAnsi="Arial"/>
                <w:sz w:val="12"/>
                <w:szCs w:val="12"/>
                <w:b w:val="1"/>
                <w:bCs w:val="1"/>
                <w:color w:val="1252DE"/>
              </w:rPr>
              <w:t>Total other bond securities</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2"/>
                <w:szCs w:val="12"/>
                <w:color w:val="auto"/>
              </w:rPr>
              <w:t>174</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color w:val="auto"/>
              </w:rPr>
              <w:t>14</w:t>
            </w:r>
          </w:p>
        </w:tc>
        <w:tc>
          <w:tcPr>
            <w:tcW w:w="320" w:type="dxa"/>
            <w:vAlign w:val="bottom"/>
            <w:tcBorders>
              <w:bottom w:val="single" w:sz="8" w:color="1352DE"/>
            </w:tcBorders>
          </w:tcPr>
          <w:p>
            <w:pPr>
              <w:spacing w:after="0"/>
              <w:rPr>
                <w:sz w:val="14"/>
                <w:szCs w:val="14"/>
                <w:color w:val="auto"/>
              </w:rPr>
            </w:pPr>
          </w:p>
        </w:tc>
        <w:tc>
          <w:tcPr>
            <w:tcW w:w="50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1352DE"/>
            </w:tcBorders>
          </w:tcPr>
          <w:p>
            <w:pPr>
              <w:spacing w:after="0"/>
              <w:rPr>
                <w:sz w:val="14"/>
                <w:szCs w:val="14"/>
                <w:color w:val="auto"/>
              </w:rPr>
            </w:pPr>
          </w:p>
        </w:tc>
        <w:tc>
          <w:tcPr>
            <w:tcW w:w="6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(1)</w:t>
            </w:r>
          </w:p>
        </w:tc>
        <w:tc>
          <w:tcPr>
            <w:tcW w:w="1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w:t>
            </w:r>
          </w:p>
        </w:tc>
        <w:tc>
          <w:tcPr>
            <w:tcW w:w="200" w:type="dxa"/>
            <w:vAlign w:val="bottom"/>
            <w:tcBorders>
              <w:bottom w:val="single" w:sz="8" w:color="1352DE"/>
            </w:tcBorders>
          </w:tcPr>
          <w:p>
            <w:pPr>
              <w:spacing w:after="0"/>
              <w:rPr>
                <w:sz w:val="14"/>
                <w:szCs w:val="14"/>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40" w:type="dxa"/>
            <w:vAlign w:val="bottom"/>
          </w:tcPr>
          <w:p>
            <w:pPr>
              <w:ind w:left="100"/>
              <w:spacing w:after="0"/>
              <w:rPr>
                <w:sz w:val="20"/>
                <w:szCs w:val="20"/>
                <w:color w:val="auto"/>
              </w:rPr>
            </w:pPr>
            <w:r>
              <w:rPr>
                <w:rFonts w:ascii="Arial" w:cs="Arial" w:eastAsia="Arial" w:hAnsi="Arial"/>
                <w:sz w:val="12"/>
                <w:szCs w:val="12"/>
                <w:color w:val="auto"/>
              </w:rPr>
              <w:t>Equity securities</w:t>
            </w:r>
          </w:p>
        </w:tc>
        <w:tc>
          <w:tcPr>
            <w:tcW w:w="260" w:type="dxa"/>
            <w:vAlign w:val="bottom"/>
          </w:tcPr>
          <w:p>
            <w:pPr>
              <w:spacing w:after="0"/>
              <w:rPr>
                <w:sz w:val="14"/>
                <w:szCs w:val="14"/>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46</w:t>
            </w:r>
          </w:p>
        </w:tc>
        <w:tc>
          <w:tcPr>
            <w:tcW w:w="22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21</w:t>
            </w:r>
          </w:p>
        </w:tc>
        <w:tc>
          <w:tcPr>
            <w:tcW w:w="32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Pr>
          <w:p>
            <w:pPr>
              <w:ind w:left="100"/>
              <w:spacing w:after="0"/>
              <w:rPr>
                <w:sz w:val="20"/>
                <w:szCs w:val="20"/>
                <w:color w:val="auto"/>
              </w:rPr>
            </w:pPr>
            <w:r>
              <w:rPr>
                <w:rFonts w:ascii="Arial" w:cs="Arial" w:eastAsia="Arial" w:hAnsi="Arial"/>
                <w:sz w:val="12"/>
                <w:szCs w:val="12"/>
                <w:color w:val="auto"/>
              </w:rPr>
              <w:t>Other invested assets</w:t>
            </w:r>
          </w:p>
        </w:tc>
        <w:tc>
          <w:tcPr>
            <w:tcW w:w="260" w:type="dxa"/>
            <w:vAlign w:val="bottom"/>
          </w:tcPr>
          <w:p>
            <w:pPr>
              <w:spacing w:after="0"/>
              <w:rPr>
                <w:sz w:val="14"/>
                <w:szCs w:val="14"/>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93</w:t>
            </w:r>
          </w:p>
        </w:tc>
        <w:tc>
          <w:tcPr>
            <w:tcW w:w="22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6</w:t>
            </w:r>
          </w:p>
        </w:tc>
        <w:tc>
          <w:tcPr>
            <w:tcW w:w="320" w:type="dxa"/>
            <w:vAlign w:val="bottom"/>
          </w:tcPr>
          <w:p>
            <w:pPr>
              <w:spacing w:after="0"/>
              <w:rPr>
                <w:sz w:val="14"/>
                <w:szCs w:val="14"/>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1352DE"/>
            </w:tcBorders>
          </w:tcPr>
          <w:p>
            <w:pPr>
              <w:ind w:left="10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2"/>
                <w:szCs w:val="12"/>
                <w:color w:val="auto"/>
              </w:rPr>
              <w:t>129</w:t>
            </w:r>
          </w:p>
        </w:tc>
        <w:tc>
          <w:tcPr>
            <w:tcW w:w="220" w:type="dxa"/>
            <w:vAlign w:val="bottom"/>
            <w:tcBorders>
              <w:bottom w:val="single" w:sz="8" w:color="1352DE"/>
            </w:tcBorders>
          </w:tcPr>
          <w:p>
            <w:pPr>
              <w:spacing w:after="0"/>
              <w:rPr>
                <w:sz w:val="17"/>
                <w:szCs w:val="17"/>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1352DE"/>
            </w:tcBorders>
          </w:tcPr>
          <w:p>
            <w:pPr>
              <w:spacing w:after="0"/>
              <w:rPr>
                <w:sz w:val="17"/>
                <w:szCs w:val="17"/>
                <w:color w:val="auto"/>
              </w:rPr>
            </w:pPr>
          </w:p>
        </w:tc>
        <w:tc>
          <w:tcPr>
            <w:tcW w:w="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1352DE"/>
            </w:tcBorders>
          </w:tcPr>
          <w:p>
            <w:pPr>
              <w:spacing w:after="0"/>
              <w:rPr>
                <w:sz w:val="17"/>
                <w:szCs w:val="17"/>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w:t>
            </w:r>
          </w:p>
        </w:tc>
        <w:tc>
          <w:tcPr>
            <w:tcW w:w="2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2"/>
                <w:szCs w:val="12"/>
                <w:color w:val="auto"/>
              </w:rPr>
              <w:t>3,457</w:t>
            </w: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1352DE"/>
            </w:tcBorders>
          </w:tcPr>
          <w:p>
            <w:pPr>
              <w:jc w:val="right"/>
              <w:ind w:right="2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7</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color w:val="auto"/>
              </w:rPr>
              <w:t>524</w:t>
            </w:r>
          </w:p>
        </w:tc>
        <w:tc>
          <w:tcPr>
            <w:tcW w:w="32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(32)</w:t>
            </w:r>
          </w:p>
        </w:tc>
        <w:tc>
          <w:tcPr>
            <w:tcW w:w="200" w:type="dxa"/>
            <w:vAlign w:val="bottom"/>
            <w:tcBorders>
              <w:bottom w:val="single" w:sz="8" w:color="1352DE"/>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(205)</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9</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(26)</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3,733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440" w:type="dxa"/>
            <w:vAlign w:val="bottom"/>
            <w:tcBorders>
              <w:bottom w:val="single" w:sz="8" w:color="1352DE"/>
            </w:tcBorders>
          </w:tcPr>
          <w:p>
            <w:pPr>
              <w:spacing w:after="0"/>
              <w:rPr>
                <w:sz w:val="9"/>
                <w:szCs w:val="9"/>
                <w:color w:val="auto"/>
              </w:rPr>
            </w:pPr>
          </w:p>
        </w:tc>
        <w:tc>
          <w:tcPr>
            <w:tcW w:w="260" w:type="dxa"/>
            <w:vAlign w:val="bottom"/>
            <w:tcBorders>
              <w:bottom w:val="single" w:sz="8" w:color="1352DE"/>
            </w:tcBorders>
          </w:tcPr>
          <w:p>
            <w:pPr>
              <w:spacing w:after="0"/>
              <w:rPr>
                <w:sz w:val="9"/>
                <w:szCs w:val="9"/>
                <w:color w:val="auto"/>
              </w:rPr>
            </w:pPr>
          </w:p>
        </w:tc>
        <w:tc>
          <w:tcPr>
            <w:tcW w:w="620" w:type="dxa"/>
            <w:vAlign w:val="bottom"/>
            <w:tcBorders>
              <w:bottom w:val="single" w:sz="8" w:color="1352DE"/>
            </w:tcBorders>
          </w:tcPr>
          <w:p>
            <w:pPr>
              <w:spacing w:after="0"/>
              <w:rPr>
                <w:sz w:val="9"/>
                <w:szCs w:val="9"/>
                <w:color w:val="auto"/>
              </w:rPr>
            </w:pPr>
          </w:p>
        </w:tc>
        <w:tc>
          <w:tcPr>
            <w:tcW w:w="220" w:type="dxa"/>
            <w:vAlign w:val="bottom"/>
            <w:tcBorders>
              <w:bottom w:val="single" w:sz="8" w:color="1352DE"/>
            </w:tcBorders>
          </w:tcPr>
          <w:p>
            <w:pPr>
              <w:spacing w:after="0"/>
              <w:rPr>
                <w:sz w:val="9"/>
                <w:szCs w:val="9"/>
                <w:color w:val="auto"/>
              </w:rPr>
            </w:pPr>
          </w:p>
        </w:tc>
        <w:tc>
          <w:tcPr>
            <w:tcW w:w="114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90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620" w:type="dxa"/>
            <w:vAlign w:val="bottom"/>
            <w:tcBorders>
              <w:bottom w:val="single" w:sz="8" w:color="1352DE"/>
            </w:tcBorders>
          </w:tcPr>
          <w:p>
            <w:pPr>
              <w:spacing w:after="0"/>
              <w:rPr>
                <w:sz w:val="9"/>
                <w:szCs w:val="9"/>
                <w:color w:val="auto"/>
              </w:rPr>
            </w:pPr>
          </w:p>
        </w:tc>
        <w:tc>
          <w:tcPr>
            <w:tcW w:w="320" w:type="dxa"/>
            <w:vAlign w:val="bottom"/>
            <w:tcBorders>
              <w:bottom w:val="single" w:sz="8" w:color="1352DE"/>
            </w:tcBorders>
          </w:tcPr>
          <w:p>
            <w:pPr>
              <w:spacing w:after="0"/>
              <w:rPr>
                <w:sz w:val="9"/>
                <w:szCs w:val="9"/>
                <w:color w:val="auto"/>
              </w:rPr>
            </w:pPr>
          </w:p>
        </w:tc>
        <w:tc>
          <w:tcPr>
            <w:tcW w:w="500" w:type="dxa"/>
            <w:vAlign w:val="bottom"/>
            <w:tcBorders>
              <w:bottom w:val="single" w:sz="8" w:color="1352DE"/>
            </w:tcBorders>
          </w:tcPr>
          <w:p>
            <w:pPr>
              <w:spacing w:after="0"/>
              <w:rPr>
                <w:sz w:val="9"/>
                <w:szCs w:val="9"/>
                <w:color w:val="auto"/>
              </w:rPr>
            </w:pPr>
          </w:p>
        </w:tc>
        <w:tc>
          <w:tcPr>
            <w:tcW w:w="140" w:type="dxa"/>
            <w:vAlign w:val="bottom"/>
            <w:tcBorders>
              <w:bottom w:val="single" w:sz="8" w:color="1352DE"/>
            </w:tcBorders>
          </w:tcPr>
          <w:p>
            <w:pPr>
              <w:spacing w:after="0"/>
              <w:rPr>
                <w:sz w:val="9"/>
                <w:szCs w:val="9"/>
                <w:color w:val="auto"/>
              </w:rPr>
            </w:pPr>
          </w:p>
        </w:tc>
        <w:tc>
          <w:tcPr>
            <w:tcW w:w="60" w:type="dxa"/>
            <w:vAlign w:val="bottom"/>
            <w:tcBorders>
              <w:bottom w:val="single" w:sz="8" w:color="1352DE"/>
            </w:tcBorders>
          </w:tcPr>
          <w:p>
            <w:pPr>
              <w:spacing w:after="0"/>
              <w:rPr>
                <w:sz w:val="9"/>
                <w:szCs w:val="9"/>
                <w:color w:val="auto"/>
              </w:rPr>
            </w:pPr>
          </w:p>
        </w:tc>
        <w:tc>
          <w:tcPr>
            <w:tcW w:w="780" w:type="dxa"/>
            <w:vAlign w:val="bottom"/>
            <w:tcBorders>
              <w:bottom w:val="single" w:sz="8" w:color="1352DE"/>
            </w:tcBorders>
          </w:tcPr>
          <w:p>
            <w:pPr>
              <w:spacing w:after="0"/>
              <w:rPr>
                <w:sz w:val="9"/>
                <w:szCs w:val="9"/>
                <w:color w:val="auto"/>
              </w:rPr>
            </w:pPr>
          </w:p>
        </w:tc>
        <w:tc>
          <w:tcPr>
            <w:tcW w:w="180" w:type="dxa"/>
            <w:vAlign w:val="bottom"/>
            <w:tcBorders>
              <w:bottom w:val="single" w:sz="8" w:color="1352DE"/>
            </w:tcBorders>
          </w:tcPr>
          <w:p>
            <w:pPr>
              <w:spacing w:after="0"/>
              <w:rPr>
                <w:sz w:val="9"/>
                <w:szCs w:val="9"/>
                <w:color w:val="auto"/>
              </w:rPr>
            </w:pPr>
          </w:p>
        </w:tc>
        <w:tc>
          <w:tcPr>
            <w:tcW w:w="56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56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48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440" w:type="dxa"/>
            <w:vAlign w:val="bottom"/>
            <w:tcBorders>
              <w:bottom w:val="single" w:sz="8" w:color="1352DE"/>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restart"/>
          </w:tcPr>
          <w:p>
            <w:pPr>
              <w:jc w:val="right"/>
              <w:ind w:right="41"/>
              <w:spacing w:after="0"/>
              <w:rPr>
                <w:sz w:val="20"/>
                <w:szCs w:val="20"/>
                <w:color w:val="auto"/>
              </w:rPr>
            </w:pPr>
            <w:r>
              <w:rPr>
                <w:rFonts w:ascii="Arial" w:cs="Arial" w:eastAsia="Arial" w:hAnsi="Arial"/>
                <w:sz w:val="11"/>
                <w:szCs w:val="11"/>
                <w:color w:val="1252DE"/>
                <w:w w:val="99"/>
              </w:rPr>
              <w:t>Fair Value</w:t>
            </w:r>
          </w:p>
        </w:tc>
        <w:tc>
          <w:tcPr>
            <w:tcW w:w="220" w:type="dxa"/>
            <w:vAlign w:val="bottom"/>
          </w:tcPr>
          <w:p>
            <w:pPr>
              <w:spacing w:after="0"/>
              <w:rPr>
                <w:sz w:val="8"/>
                <w:szCs w:val="8"/>
                <w:color w:val="auto"/>
              </w:rPr>
            </w:pPr>
          </w:p>
        </w:tc>
        <w:tc>
          <w:tcPr>
            <w:tcW w:w="1140" w:type="dxa"/>
            <w:vAlign w:val="bottom"/>
          </w:tcPr>
          <w:p>
            <w:pPr>
              <w:jc w:val="right"/>
              <w:ind w:right="40"/>
              <w:spacing w:after="0" w:line="102" w:lineRule="exact"/>
              <w:rPr>
                <w:sz w:val="20"/>
                <w:szCs w:val="20"/>
                <w:color w:val="auto"/>
              </w:rPr>
            </w:pPr>
            <w:r>
              <w:rPr>
                <w:rFonts w:ascii="Arial" w:cs="Arial" w:eastAsia="Arial" w:hAnsi="Arial"/>
                <w:sz w:val="11"/>
                <w:szCs w:val="11"/>
                <w:color w:val="1252DE"/>
              </w:rPr>
              <w:t>Net Realized</w:t>
            </w:r>
          </w:p>
        </w:tc>
        <w:tc>
          <w:tcPr>
            <w:tcW w:w="200" w:type="dxa"/>
            <w:vAlign w:val="bottom"/>
          </w:tcPr>
          <w:p>
            <w:pPr>
              <w:spacing w:after="0"/>
              <w:rPr>
                <w:sz w:val="8"/>
                <w:szCs w:val="8"/>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1"/>
                <w:szCs w:val="11"/>
                <w:color w:val="1252DE"/>
              </w:rPr>
              <w:t>Issuances</w:t>
            </w:r>
          </w:p>
        </w:tc>
        <w:tc>
          <w:tcPr>
            <w:tcW w:w="180" w:type="dxa"/>
            <w:vAlign w:val="bottom"/>
          </w:tcPr>
          <w:p>
            <w:pPr>
              <w:spacing w:after="0"/>
              <w:rPr>
                <w:sz w:val="8"/>
                <w:szCs w:val="8"/>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Pr>
          <w:p>
            <w:pPr>
              <w:spacing w:after="0"/>
              <w:rPr>
                <w:sz w:val="8"/>
                <w:szCs w:val="8"/>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gridSpan w:val="2"/>
          </w:tcPr>
          <w:p>
            <w:pPr>
              <w:jc w:val="right"/>
              <w:ind w:right="40"/>
              <w:spacing w:after="0" w:line="102" w:lineRule="exact"/>
              <w:rPr>
                <w:sz w:val="20"/>
                <w:szCs w:val="20"/>
                <w:color w:val="auto"/>
              </w:rPr>
            </w:pPr>
            <w:r>
              <w:rPr>
                <w:rFonts w:ascii="Arial" w:cs="Arial" w:eastAsia="Arial" w:hAnsi="Arial"/>
                <w:sz w:val="11"/>
                <w:szCs w:val="11"/>
                <w:color w:val="1252DE"/>
              </w:rPr>
              <w:t>Fair</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and Unrealized</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1252DE"/>
              </w:rPr>
              <w:t>Value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jc w:val="right"/>
              <w:ind w:right="81"/>
              <w:spacing w:after="0" w:line="108" w:lineRule="exact"/>
              <w:rPr>
                <w:sz w:val="20"/>
                <w:szCs w:val="20"/>
                <w:color w:val="auto"/>
              </w:rPr>
            </w:pPr>
            <w:r>
              <w:rPr>
                <w:rFonts w:ascii="Arial" w:cs="Arial" w:eastAsia="Arial" w:hAnsi="Arial"/>
                <w:sz w:val="11"/>
                <w:szCs w:val="11"/>
                <w:color w:val="1252DE"/>
                <w:w w:val="93"/>
              </w:rPr>
              <w:t>Beginning</w:t>
            </w:r>
          </w:p>
        </w:tc>
        <w:tc>
          <w:tcPr>
            <w:tcW w:w="220" w:type="dxa"/>
            <w:vAlign w:val="bottom"/>
          </w:tcPr>
          <w:p>
            <w:pPr>
              <w:spacing w:after="0"/>
              <w:rPr>
                <w:sz w:val="9"/>
                <w:szCs w:val="9"/>
                <w:color w:val="auto"/>
              </w:rPr>
            </w:pPr>
          </w:p>
        </w:tc>
        <w:tc>
          <w:tcPr>
            <w:tcW w:w="114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(Gains) Losses</w:t>
            </w:r>
          </w:p>
        </w:tc>
        <w:tc>
          <w:tcPr>
            <w:tcW w:w="200" w:type="dxa"/>
            <w:vAlign w:val="bottom"/>
          </w:tcPr>
          <w:p>
            <w:pPr>
              <w:spacing w:after="0"/>
              <w:rPr>
                <w:sz w:val="9"/>
                <w:szCs w:val="9"/>
                <w:color w:val="auto"/>
              </w:rPr>
            </w:pPr>
          </w:p>
        </w:tc>
        <w:tc>
          <w:tcPr>
            <w:tcW w:w="90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Comprehensive</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and</w:t>
            </w:r>
          </w:p>
        </w:tc>
        <w:tc>
          <w:tcPr>
            <w:tcW w:w="18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1252DE"/>
              </w:rPr>
              <w:t>End of</w:t>
            </w:r>
          </w:p>
        </w:tc>
        <w:tc>
          <w:tcPr>
            <w:tcW w:w="0" w:type="dxa"/>
            <w:vAlign w:val="bottom"/>
          </w:tcPr>
          <w:p>
            <w:pPr>
              <w:spacing w:after="0"/>
              <w:rPr>
                <w:sz w:val="1"/>
                <w:szCs w:val="1"/>
                <w:color w:val="auto"/>
              </w:rPr>
            </w:pPr>
          </w:p>
        </w:tc>
      </w:tr>
      <w:tr>
        <w:trPr>
          <w:trHeight w:val="162"/>
        </w:trPr>
        <w:tc>
          <w:tcPr>
            <w:tcW w:w="2440" w:type="dxa"/>
            <w:vAlign w:val="bottom"/>
          </w:tcPr>
          <w:p>
            <w:pPr>
              <w:ind w:left="40"/>
              <w:spacing w:after="0"/>
              <w:rPr>
                <w:sz w:val="20"/>
                <w:szCs w:val="20"/>
                <w:color w:val="auto"/>
              </w:rPr>
            </w:pPr>
            <w:r>
              <w:rPr>
                <w:rFonts w:ascii="Arial" w:cs="Arial" w:eastAsia="Arial" w:hAnsi="Arial"/>
                <w:sz w:val="11"/>
                <w:szCs w:val="11"/>
                <w:i w:val="1"/>
                <w:iCs w:val="1"/>
                <w:color w:val="1252DE"/>
              </w:rPr>
              <w:t>(in millions)</w:t>
            </w:r>
          </w:p>
        </w:tc>
        <w:tc>
          <w:tcPr>
            <w:tcW w:w="260" w:type="dxa"/>
            <w:vAlign w:val="bottom"/>
          </w:tcPr>
          <w:p>
            <w:pPr>
              <w:spacing w:after="0"/>
              <w:rPr>
                <w:sz w:val="14"/>
                <w:szCs w:val="14"/>
                <w:color w:val="auto"/>
              </w:rPr>
            </w:pPr>
          </w:p>
        </w:tc>
        <w:tc>
          <w:tcPr>
            <w:tcW w:w="620" w:type="dxa"/>
            <w:vAlign w:val="bottom"/>
          </w:tcPr>
          <w:p>
            <w:pPr>
              <w:jc w:val="right"/>
              <w:ind w:right="41"/>
              <w:spacing w:after="0"/>
              <w:rPr>
                <w:sz w:val="20"/>
                <w:szCs w:val="20"/>
                <w:color w:val="auto"/>
              </w:rPr>
            </w:pPr>
            <w:r>
              <w:rPr>
                <w:rFonts w:ascii="Arial" w:cs="Arial" w:eastAsia="Arial" w:hAnsi="Arial"/>
                <w:sz w:val="11"/>
                <w:szCs w:val="11"/>
                <w:color w:val="1252DE"/>
              </w:rPr>
              <w:t>of Period</w:t>
            </w:r>
          </w:p>
        </w:tc>
        <w:tc>
          <w:tcPr>
            <w:tcW w:w="22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1"/>
                <w:szCs w:val="11"/>
                <w:color w:val="1252DE"/>
                <w:w w:val="98"/>
              </w:rPr>
              <w:t>Included in Income</w:t>
            </w:r>
            <w:r>
              <w:rPr>
                <w:rFonts w:ascii="Arial" w:cs="Arial" w:eastAsia="Arial" w:hAnsi="Arial"/>
                <w:sz w:val="14"/>
                <w:szCs w:val="14"/>
                <w:color w:val="1252DE"/>
                <w:w w:val="98"/>
                <w:vertAlign w:val="superscript"/>
              </w:rPr>
              <w:t>(a)</w:t>
            </w:r>
          </w:p>
        </w:tc>
        <w:tc>
          <w:tcPr>
            <w:tcW w:w="2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1"/>
                <w:szCs w:val="11"/>
                <w:color w:val="1252DE"/>
              </w:rPr>
              <w:t>(Income) Loss</w:t>
            </w:r>
          </w:p>
        </w:tc>
        <w:tc>
          <w:tcPr>
            <w:tcW w:w="2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1252DE"/>
              </w:rPr>
              <w:t>Purchases</w:t>
            </w:r>
          </w:p>
        </w:tc>
        <w:tc>
          <w:tcPr>
            <w:tcW w:w="32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1252DE"/>
              </w:rPr>
              <w:t>Sales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1"/>
                <w:szCs w:val="11"/>
                <w:color w:val="1252DE"/>
                <w:w w:val="94"/>
              </w:rPr>
              <w:t>Settlements</w:t>
            </w:r>
            <w:r>
              <w:rPr>
                <w:rFonts w:ascii="Arial" w:cs="Arial" w:eastAsia="Arial" w:hAnsi="Arial"/>
                <w:sz w:val="14"/>
                <w:szCs w:val="14"/>
                <w:color w:val="1252DE"/>
                <w:w w:val="94"/>
                <w:vertAlign w:val="superscript"/>
              </w:rPr>
              <w:t>(b)</w:t>
            </w:r>
          </w:p>
        </w:tc>
        <w:tc>
          <w:tcPr>
            <w:tcW w:w="18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1"/>
                <w:szCs w:val="11"/>
                <w:color w:val="1252DE"/>
              </w:rPr>
              <w:t>In</w:t>
            </w:r>
          </w:p>
        </w:tc>
        <w:tc>
          <w:tcPr>
            <w:tcW w:w="20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1"/>
                <w:szCs w:val="11"/>
                <w:color w:val="1252DE"/>
              </w:rPr>
              <w:t>Out</w:t>
            </w:r>
          </w:p>
        </w:tc>
        <w:tc>
          <w:tcPr>
            <w:tcW w:w="200" w:type="dxa"/>
            <w:vAlign w:val="bottom"/>
          </w:tcPr>
          <w:p>
            <w:pPr>
              <w:spacing w:after="0"/>
              <w:rPr>
                <w:sz w:val="14"/>
                <w:szCs w:val="14"/>
                <w:color w:val="auto"/>
              </w:rPr>
            </w:pPr>
          </w:p>
        </w:tc>
        <w:tc>
          <w:tcPr>
            <w:tcW w:w="480" w:type="dxa"/>
            <w:vAlign w:val="bottom"/>
          </w:tcPr>
          <w:p>
            <w:pPr>
              <w:jc w:val="right"/>
              <w:ind w:right="58"/>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1252DE"/>
              </w:rPr>
              <w:t>Period</w:t>
            </w:r>
          </w:p>
        </w:tc>
        <w:tc>
          <w:tcPr>
            <w:tcW w:w="0" w:type="dxa"/>
            <w:vAlign w:val="bottom"/>
          </w:tcPr>
          <w:p>
            <w:pPr>
              <w:spacing w:after="0"/>
              <w:rPr>
                <w:sz w:val="1"/>
                <w:szCs w:val="1"/>
                <w:color w:val="auto"/>
              </w:rPr>
            </w:pPr>
          </w:p>
        </w:tc>
      </w:tr>
      <w:tr>
        <w:trPr>
          <w:trHeight w:val="157"/>
        </w:trPr>
        <w:tc>
          <w:tcPr>
            <w:tcW w:w="2440" w:type="dxa"/>
            <w:vAlign w:val="bottom"/>
            <w:tcBorders>
              <w:top w:val="single" w:sz="8" w:color="1352DE"/>
            </w:tcBorders>
          </w:tcPr>
          <w:p>
            <w:pPr>
              <w:ind w:left="40"/>
              <w:spacing w:after="0"/>
              <w:rPr>
                <w:sz w:val="20"/>
                <w:szCs w:val="20"/>
                <w:color w:val="auto"/>
              </w:rPr>
            </w:pPr>
            <w:r>
              <w:rPr>
                <w:rFonts w:ascii="Arial" w:cs="Arial" w:eastAsia="Arial" w:hAnsi="Arial"/>
                <w:sz w:val="12"/>
                <w:szCs w:val="12"/>
                <w:b w:val="1"/>
                <w:bCs w:val="1"/>
                <w:color w:val="1252DE"/>
              </w:rPr>
              <w:t>Liabilities:</w:t>
            </w:r>
          </w:p>
        </w:tc>
        <w:tc>
          <w:tcPr>
            <w:tcW w:w="260" w:type="dxa"/>
            <w:vAlign w:val="bottom"/>
            <w:tcBorders>
              <w:top w:val="single" w:sz="8" w:color="1352DE"/>
            </w:tcBorders>
          </w:tcPr>
          <w:p>
            <w:pPr>
              <w:spacing w:after="0"/>
              <w:rPr>
                <w:sz w:val="13"/>
                <w:szCs w:val="13"/>
                <w:color w:val="auto"/>
              </w:rPr>
            </w:pPr>
          </w:p>
        </w:tc>
        <w:tc>
          <w:tcPr>
            <w:tcW w:w="620" w:type="dxa"/>
            <w:vAlign w:val="bottom"/>
            <w:tcBorders>
              <w:top w:val="single" w:sz="8" w:color="1352DE"/>
            </w:tcBorders>
          </w:tcPr>
          <w:p>
            <w:pPr>
              <w:spacing w:after="0"/>
              <w:rPr>
                <w:sz w:val="13"/>
                <w:szCs w:val="13"/>
                <w:color w:val="auto"/>
              </w:rPr>
            </w:pPr>
          </w:p>
        </w:tc>
        <w:tc>
          <w:tcPr>
            <w:tcW w:w="220" w:type="dxa"/>
            <w:vAlign w:val="bottom"/>
            <w:tcBorders>
              <w:top w:val="single" w:sz="8" w:color="1352DE"/>
            </w:tcBorders>
          </w:tcPr>
          <w:p>
            <w:pPr>
              <w:spacing w:after="0"/>
              <w:rPr>
                <w:sz w:val="13"/>
                <w:szCs w:val="13"/>
                <w:color w:val="auto"/>
              </w:rPr>
            </w:pPr>
          </w:p>
        </w:tc>
        <w:tc>
          <w:tcPr>
            <w:tcW w:w="114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90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620" w:type="dxa"/>
            <w:vAlign w:val="bottom"/>
            <w:tcBorders>
              <w:top w:val="single" w:sz="8" w:color="1352DE"/>
            </w:tcBorders>
          </w:tcPr>
          <w:p>
            <w:pPr>
              <w:spacing w:after="0"/>
              <w:rPr>
                <w:sz w:val="13"/>
                <w:szCs w:val="13"/>
                <w:color w:val="auto"/>
              </w:rPr>
            </w:pPr>
          </w:p>
        </w:tc>
        <w:tc>
          <w:tcPr>
            <w:tcW w:w="320" w:type="dxa"/>
            <w:vAlign w:val="bottom"/>
            <w:tcBorders>
              <w:top w:val="single" w:sz="8" w:color="1352DE"/>
            </w:tcBorders>
          </w:tcPr>
          <w:p>
            <w:pPr>
              <w:spacing w:after="0"/>
              <w:rPr>
                <w:sz w:val="13"/>
                <w:szCs w:val="13"/>
                <w:color w:val="auto"/>
              </w:rPr>
            </w:pPr>
          </w:p>
        </w:tc>
        <w:tc>
          <w:tcPr>
            <w:tcW w:w="500" w:type="dxa"/>
            <w:vAlign w:val="bottom"/>
            <w:tcBorders>
              <w:top w:val="single" w:sz="8" w:color="1352DE"/>
            </w:tcBorders>
          </w:tcPr>
          <w:p>
            <w:pPr>
              <w:spacing w:after="0"/>
              <w:rPr>
                <w:sz w:val="13"/>
                <w:szCs w:val="13"/>
                <w:color w:val="auto"/>
              </w:rPr>
            </w:pPr>
          </w:p>
        </w:tc>
        <w:tc>
          <w:tcPr>
            <w:tcW w:w="140" w:type="dxa"/>
            <w:vAlign w:val="bottom"/>
            <w:tcBorders>
              <w:top w:val="single" w:sz="8" w:color="1352DE"/>
            </w:tcBorders>
          </w:tcPr>
          <w:p>
            <w:pPr>
              <w:spacing w:after="0"/>
              <w:rPr>
                <w:sz w:val="13"/>
                <w:szCs w:val="13"/>
                <w:color w:val="auto"/>
              </w:rPr>
            </w:pPr>
          </w:p>
        </w:tc>
        <w:tc>
          <w:tcPr>
            <w:tcW w:w="60" w:type="dxa"/>
            <w:vAlign w:val="bottom"/>
            <w:tcBorders>
              <w:top w:val="single" w:sz="8" w:color="1352DE"/>
            </w:tcBorders>
          </w:tcPr>
          <w:p>
            <w:pPr>
              <w:spacing w:after="0"/>
              <w:rPr>
                <w:sz w:val="13"/>
                <w:szCs w:val="13"/>
                <w:color w:val="auto"/>
              </w:rPr>
            </w:pPr>
          </w:p>
        </w:tc>
        <w:tc>
          <w:tcPr>
            <w:tcW w:w="780" w:type="dxa"/>
            <w:vAlign w:val="bottom"/>
            <w:tcBorders>
              <w:top w:val="single" w:sz="8" w:color="1352DE"/>
            </w:tcBorders>
          </w:tcPr>
          <w:p>
            <w:pPr>
              <w:spacing w:after="0"/>
              <w:rPr>
                <w:sz w:val="13"/>
                <w:szCs w:val="13"/>
                <w:color w:val="auto"/>
              </w:rPr>
            </w:pPr>
          </w:p>
        </w:tc>
        <w:tc>
          <w:tcPr>
            <w:tcW w:w="180" w:type="dxa"/>
            <w:vAlign w:val="bottom"/>
            <w:tcBorders>
              <w:top w:val="single" w:sz="8" w:color="1352DE"/>
            </w:tcBorders>
          </w:tcPr>
          <w:p>
            <w:pPr>
              <w:spacing w:after="0"/>
              <w:rPr>
                <w:sz w:val="13"/>
                <w:szCs w:val="13"/>
                <w:color w:val="auto"/>
              </w:rPr>
            </w:pPr>
          </w:p>
        </w:tc>
        <w:tc>
          <w:tcPr>
            <w:tcW w:w="56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56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48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440" w:type="dxa"/>
            <w:vAlign w:val="bottom"/>
            <w:tcBorders>
              <w:top w:val="single" w:sz="8" w:color="1352D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440" w:type="dxa"/>
            <w:vAlign w:val="bottom"/>
          </w:tcPr>
          <w:p>
            <w:pPr>
              <w:ind w:left="140"/>
              <w:spacing w:after="0"/>
              <w:rPr>
                <w:sz w:val="20"/>
                <w:szCs w:val="20"/>
                <w:color w:val="auto"/>
              </w:rPr>
            </w:pPr>
            <w:r>
              <w:rPr>
                <w:rFonts w:ascii="Arial" w:cs="Arial" w:eastAsia="Arial" w:hAnsi="Arial"/>
                <w:sz w:val="12"/>
                <w:szCs w:val="12"/>
                <w:color w:val="auto"/>
              </w:rPr>
              <w:t>Fortitude Re funds withheld payable</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61"/>
              <w:spacing w:after="0"/>
              <w:rPr>
                <w:sz w:val="20"/>
                <w:szCs w:val="20"/>
                <w:color w:val="auto"/>
              </w:rPr>
            </w:pPr>
            <w:r>
              <w:rPr>
                <w:rFonts w:ascii="Arial" w:cs="Arial" w:eastAsia="Arial" w:hAnsi="Arial"/>
                <w:sz w:val="13"/>
                <w:szCs w:val="13"/>
                <w:color w:val="auto"/>
              </w:rPr>
              <w:t>(185)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80"/>
              <w:spacing w:after="0"/>
              <w:rPr>
                <w:sz w:val="20"/>
                <w:szCs w:val="20"/>
                <w:color w:val="auto"/>
              </w:rPr>
            </w:pPr>
            <w:r>
              <w:rPr>
                <w:rFonts w:ascii="Arial" w:cs="Arial" w:eastAsia="Arial" w:hAnsi="Arial"/>
                <w:sz w:val="13"/>
                <w:szCs w:val="13"/>
                <w:color w:val="auto"/>
              </w:rPr>
              <w:t>54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28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40" w:type="dxa"/>
            <w:vAlign w:val="bottom"/>
            <w:tcBorders>
              <w:bottom w:val="single" w:sz="8" w:color="1352DE"/>
            </w:tcBorders>
          </w:tcPr>
          <w:p>
            <w:pPr>
              <w:ind w:left="100"/>
              <w:spacing w:after="0"/>
              <w:rPr>
                <w:sz w:val="20"/>
                <w:szCs w:val="20"/>
                <w:color w:val="auto"/>
              </w:rPr>
            </w:pPr>
            <w:r>
              <w:rPr>
                <w:rFonts w:ascii="Arial" w:cs="Arial" w:eastAsia="Arial" w:hAnsi="Arial"/>
                <w:sz w:val="12"/>
                <w:szCs w:val="12"/>
                <w:color w:val="auto"/>
              </w:rPr>
              <w:t>Other liabilities</w:t>
            </w:r>
          </w:p>
        </w:tc>
        <w:tc>
          <w:tcPr>
            <w:tcW w:w="26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ind w:right="81"/>
              <w:spacing w:after="0"/>
              <w:rPr>
                <w:sz w:val="20"/>
                <w:szCs w:val="20"/>
                <w:color w:val="auto"/>
              </w:rPr>
            </w:pPr>
            <w:r>
              <w:rPr>
                <w:rFonts w:ascii="Arial" w:cs="Arial" w:eastAsia="Arial" w:hAnsi="Arial"/>
                <w:sz w:val="13"/>
                <w:szCs w:val="13"/>
                <w:color w:val="auto"/>
              </w:rPr>
              <w:t>81</w:t>
            </w:r>
          </w:p>
        </w:tc>
        <w:tc>
          <w:tcPr>
            <w:tcW w:w="220" w:type="dxa"/>
            <w:vAlign w:val="bottom"/>
            <w:tcBorders>
              <w:bottom w:val="single" w:sz="8" w:color="1352DE"/>
            </w:tcBorders>
          </w:tcPr>
          <w:p>
            <w:pPr>
              <w:spacing w:after="0"/>
              <w:rPr>
                <w:sz w:val="17"/>
                <w:szCs w:val="17"/>
                <w:color w:val="auto"/>
              </w:rPr>
            </w:pPr>
          </w:p>
        </w:tc>
        <w:tc>
          <w:tcPr>
            <w:tcW w:w="1140" w:type="dxa"/>
            <w:vAlign w:val="bottom"/>
            <w:tcBorders>
              <w:bottom w:val="single" w:sz="8" w:color="1352DE"/>
            </w:tcBorders>
          </w:tcPr>
          <w:p>
            <w:pPr>
              <w:jc w:val="right"/>
              <w:ind w:right="40"/>
              <w:spacing w:after="0"/>
              <w:rPr>
                <w:sz w:val="20"/>
                <w:szCs w:val="20"/>
                <w:color w:val="auto"/>
              </w:rPr>
            </w:pPr>
            <w:r>
              <w:rPr>
                <w:rFonts w:ascii="Arial" w:cs="Arial" w:eastAsia="Arial" w:hAnsi="Arial"/>
                <w:sz w:val="13"/>
                <w:szCs w:val="13"/>
                <w:color w:val="auto"/>
              </w:rPr>
              <w:t>(9)</w:t>
            </w:r>
          </w:p>
        </w:tc>
        <w:tc>
          <w:tcPr>
            <w:tcW w:w="20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1352DE"/>
            </w:tcBorders>
          </w:tcPr>
          <w:p>
            <w:pPr>
              <w:spacing w:after="0"/>
              <w:rPr>
                <w:sz w:val="17"/>
                <w:szCs w:val="17"/>
                <w:color w:val="auto"/>
              </w:rPr>
            </w:pPr>
          </w:p>
        </w:tc>
        <w:tc>
          <w:tcPr>
            <w:tcW w:w="6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1352DE"/>
            </w:tcBorders>
          </w:tcPr>
          <w:p>
            <w:pPr>
              <w:spacing w:after="0"/>
              <w:rPr>
                <w:sz w:val="17"/>
                <w:szCs w:val="17"/>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w:t>
            </w:r>
          </w:p>
        </w:tc>
        <w:tc>
          <w:tcPr>
            <w:tcW w:w="2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3"/>
                <w:szCs w:val="13"/>
                <w:color w:val="auto"/>
              </w:rPr>
              <w:t>(104)</w:t>
            </w:r>
          </w:p>
        </w:tc>
        <w:tc>
          <w:tcPr>
            <w:tcW w:w="2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1352DE"/>
            </w:tcBorders>
          </w:tcPr>
          <w:p>
            <w:pPr>
              <w:jc w:val="right"/>
              <w:ind w:right="80"/>
              <w:spacing w:after="0"/>
              <w:rPr>
                <w:sz w:val="20"/>
                <w:szCs w:val="20"/>
                <w:color w:val="auto"/>
              </w:rPr>
            </w:pPr>
            <w:r>
              <w:rPr>
                <w:rFonts w:ascii="Arial" w:cs="Arial" w:eastAsia="Arial" w:hAnsi="Arial"/>
                <w:sz w:val="13"/>
                <w:szCs w:val="13"/>
                <w:color w:val="auto"/>
              </w:rPr>
              <w:t>45</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28</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440" w:type="dxa"/>
            <w:vAlign w:val="bottom"/>
            <w:tcBorders>
              <w:bottom w:val="single" w:sz="8" w:color="1352DE"/>
            </w:tcBorders>
          </w:tcPr>
          <w:p>
            <w:pPr>
              <w:spacing w:after="0"/>
              <w:rPr>
                <w:sz w:val="10"/>
                <w:szCs w:val="10"/>
                <w:color w:val="auto"/>
              </w:rPr>
            </w:pPr>
          </w:p>
        </w:tc>
        <w:tc>
          <w:tcPr>
            <w:tcW w:w="260" w:type="dxa"/>
            <w:vAlign w:val="bottom"/>
            <w:tcBorders>
              <w:bottom w:val="single" w:sz="8" w:color="1352DE"/>
            </w:tcBorders>
          </w:tcPr>
          <w:p>
            <w:pPr>
              <w:spacing w:after="0"/>
              <w:rPr>
                <w:sz w:val="10"/>
                <w:szCs w:val="10"/>
                <w:color w:val="auto"/>
              </w:rPr>
            </w:pPr>
          </w:p>
        </w:tc>
        <w:tc>
          <w:tcPr>
            <w:tcW w:w="62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114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90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620" w:type="dxa"/>
            <w:vAlign w:val="bottom"/>
            <w:tcBorders>
              <w:bottom w:val="single" w:sz="8" w:color="1352DE"/>
            </w:tcBorders>
          </w:tcPr>
          <w:p>
            <w:pPr>
              <w:spacing w:after="0"/>
              <w:rPr>
                <w:sz w:val="10"/>
                <w:szCs w:val="10"/>
                <w:color w:val="auto"/>
              </w:rPr>
            </w:pPr>
          </w:p>
        </w:tc>
        <w:tc>
          <w:tcPr>
            <w:tcW w:w="320" w:type="dxa"/>
            <w:vAlign w:val="bottom"/>
            <w:tcBorders>
              <w:bottom w:val="single" w:sz="8" w:color="1352DE"/>
            </w:tcBorders>
          </w:tcPr>
          <w:p>
            <w:pPr>
              <w:spacing w:after="0"/>
              <w:rPr>
                <w:sz w:val="10"/>
                <w:szCs w:val="10"/>
                <w:color w:val="auto"/>
              </w:rPr>
            </w:pPr>
          </w:p>
        </w:tc>
        <w:tc>
          <w:tcPr>
            <w:tcW w:w="500" w:type="dxa"/>
            <w:vAlign w:val="bottom"/>
            <w:tcBorders>
              <w:bottom w:val="single" w:sz="8" w:color="1352DE"/>
            </w:tcBorders>
          </w:tcPr>
          <w:p>
            <w:pPr>
              <w:spacing w:after="0"/>
              <w:rPr>
                <w:sz w:val="10"/>
                <w:szCs w:val="10"/>
                <w:color w:val="auto"/>
              </w:rPr>
            </w:pPr>
          </w:p>
        </w:tc>
        <w:tc>
          <w:tcPr>
            <w:tcW w:w="140" w:type="dxa"/>
            <w:vAlign w:val="bottom"/>
            <w:tcBorders>
              <w:bottom w:val="single" w:sz="8" w:color="1352DE"/>
            </w:tcBorders>
          </w:tcPr>
          <w:p>
            <w:pPr>
              <w:spacing w:after="0"/>
              <w:rPr>
                <w:sz w:val="10"/>
                <w:szCs w:val="10"/>
                <w:color w:val="auto"/>
              </w:rPr>
            </w:pPr>
          </w:p>
        </w:tc>
        <w:tc>
          <w:tcPr>
            <w:tcW w:w="60" w:type="dxa"/>
            <w:vAlign w:val="bottom"/>
            <w:tcBorders>
              <w:bottom w:val="single" w:sz="8" w:color="1352DE"/>
            </w:tcBorders>
          </w:tcPr>
          <w:p>
            <w:pPr>
              <w:spacing w:after="0"/>
              <w:rPr>
                <w:sz w:val="10"/>
                <w:szCs w:val="10"/>
                <w:color w:val="auto"/>
              </w:rPr>
            </w:pPr>
          </w:p>
        </w:tc>
        <w:tc>
          <w:tcPr>
            <w:tcW w:w="780" w:type="dxa"/>
            <w:vAlign w:val="bottom"/>
            <w:tcBorders>
              <w:bottom w:val="single" w:sz="8" w:color="1352DE"/>
            </w:tcBorders>
          </w:tcPr>
          <w:p>
            <w:pPr>
              <w:spacing w:after="0"/>
              <w:rPr>
                <w:sz w:val="10"/>
                <w:szCs w:val="10"/>
                <w:color w:val="auto"/>
              </w:rPr>
            </w:pPr>
          </w:p>
        </w:tc>
        <w:tc>
          <w:tcPr>
            <w:tcW w:w="180" w:type="dxa"/>
            <w:vAlign w:val="bottom"/>
            <w:tcBorders>
              <w:bottom w:val="single" w:sz="8" w:color="1352DE"/>
            </w:tcBorders>
          </w:tcPr>
          <w:p>
            <w:pPr>
              <w:spacing w:after="0"/>
              <w:rPr>
                <w:sz w:val="10"/>
                <w:szCs w:val="10"/>
                <w:color w:val="auto"/>
              </w:rPr>
            </w:pPr>
          </w:p>
        </w:tc>
        <w:tc>
          <w:tcPr>
            <w:tcW w:w="56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56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48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440" w:type="dxa"/>
            <w:vAlign w:val="bottom"/>
            <w:tcBorders>
              <w:bottom w:val="single" w:sz="8" w:color="1352DE"/>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restart"/>
          </w:tcPr>
          <w:p>
            <w:pPr>
              <w:jc w:val="right"/>
              <w:ind w:right="21"/>
              <w:spacing w:after="0"/>
              <w:rPr>
                <w:sz w:val="20"/>
                <w:szCs w:val="20"/>
                <w:color w:val="auto"/>
              </w:rPr>
            </w:pPr>
            <w:r>
              <w:rPr>
                <w:rFonts w:ascii="Arial" w:cs="Arial" w:eastAsia="Arial" w:hAnsi="Arial"/>
                <w:sz w:val="11"/>
                <w:szCs w:val="11"/>
                <w:color w:val="1252DE"/>
              </w:rPr>
              <w:t>Fair Value</w:t>
            </w:r>
          </w:p>
        </w:tc>
        <w:tc>
          <w:tcPr>
            <w:tcW w:w="220" w:type="dxa"/>
            <w:vAlign w:val="bottom"/>
          </w:tcPr>
          <w:p>
            <w:pPr>
              <w:spacing w:after="0"/>
              <w:rPr>
                <w:sz w:val="8"/>
                <w:szCs w:val="8"/>
                <w:color w:val="auto"/>
              </w:rPr>
            </w:pPr>
          </w:p>
        </w:tc>
        <w:tc>
          <w:tcPr>
            <w:tcW w:w="1140" w:type="dxa"/>
            <w:vAlign w:val="bottom"/>
          </w:tcPr>
          <w:p>
            <w:pPr>
              <w:jc w:val="right"/>
              <w:ind w:right="20"/>
              <w:spacing w:after="0" w:line="102" w:lineRule="exact"/>
              <w:rPr>
                <w:sz w:val="20"/>
                <w:szCs w:val="20"/>
                <w:color w:val="auto"/>
              </w:rPr>
            </w:pPr>
            <w:r>
              <w:rPr>
                <w:rFonts w:ascii="Arial" w:cs="Arial" w:eastAsia="Arial" w:hAnsi="Arial"/>
                <w:sz w:val="11"/>
                <w:szCs w:val="11"/>
                <w:color w:val="1252DE"/>
              </w:rPr>
              <w:t>Net Realized</w:t>
            </w:r>
          </w:p>
        </w:tc>
        <w:tc>
          <w:tcPr>
            <w:tcW w:w="200" w:type="dxa"/>
            <w:vAlign w:val="bottom"/>
          </w:tcPr>
          <w:p>
            <w:pPr>
              <w:spacing w:after="0"/>
              <w:rPr>
                <w:sz w:val="8"/>
                <w:szCs w:val="8"/>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1"/>
                <w:szCs w:val="11"/>
                <w:color w:val="1252DE"/>
              </w:rPr>
              <w:t>Issuances</w:t>
            </w:r>
          </w:p>
        </w:tc>
        <w:tc>
          <w:tcPr>
            <w:tcW w:w="180" w:type="dxa"/>
            <w:vAlign w:val="bottom"/>
          </w:tcPr>
          <w:p>
            <w:pPr>
              <w:spacing w:after="0"/>
              <w:rPr>
                <w:sz w:val="8"/>
                <w:szCs w:val="8"/>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Pr>
          <w:p>
            <w:pPr>
              <w:spacing w:after="0"/>
              <w:rPr>
                <w:sz w:val="8"/>
                <w:szCs w:val="8"/>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gridSpan w:val="2"/>
          </w:tcPr>
          <w:p>
            <w:pPr>
              <w:jc w:val="right"/>
              <w:ind w:right="40"/>
              <w:spacing w:after="0" w:line="102" w:lineRule="exact"/>
              <w:rPr>
                <w:sz w:val="20"/>
                <w:szCs w:val="20"/>
                <w:color w:val="auto"/>
              </w:rPr>
            </w:pPr>
            <w:r>
              <w:rPr>
                <w:rFonts w:ascii="Arial" w:cs="Arial" w:eastAsia="Arial" w:hAnsi="Arial"/>
                <w:sz w:val="11"/>
                <w:szCs w:val="11"/>
                <w:color w:val="1252DE"/>
              </w:rPr>
              <w:t>Fair</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and Unrealized</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1252DE"/>
              </w:rPr>
              <w:t>Value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jc w:val="right"/>
              <w:ind w:right="41"/>
              <w:spacing w:after="0" w:line="108" w:lineRule="exact"/>
              <w:rPr>
                <w:sz w:val="20"/>
                <w:szCs w:val="20"/>
                <w:color w:val="auto"/>
              </w:rPr>
            </w:pPr>
            <w:r>
              <w:rPr>
                <w:rFonts w:ascii="Arial" w:cs="Arial" w:eastAsia="Arial" w:hAnsi="Arial"/>
                <w:sz w:val="11"/>
                <w:szCs w:val="11"/>
                <w:color w:val="1252DE"/>
              </w:rPr>
              <w:t>Beginning</w:t>
            </w:r>
          </w:p>
        </w:tc>
        <w:tc>
          <w:tcPr>
            <w:tcW w:w="220" w:type="dxa"/>
            <w:vAlign w:val="bottom"/>
          </w:tcPr>
          <w:p>
            <w:pPr>
              <w:spacing w:after="0"/>
              <w:rPr>
                <w:sz w:val="9"/>
                <w:szCs w:val="9"/>
                <w:color w:val="auto"/>
              </w:rPr>
            </w:pPr>
          </w:p>
        </w:tc>
        <w:tc>
          <w:tcPr>
            <w:tcW w:w="114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Gains (Losses)</w:t>
            </w:r>
          </w:p>
        </w:tc>
        <w:tc>
          <w:tcPr>
            <w:tcW w:w="200" w:type="dxa"/>
            <w:vAlign w:val="bottom"/>
          </w:tcPr>
          <w:p>
            <w:pPr>
              <w:spacing w:after="0"/>
              <w:rPr>
                <w:sz w:val="9"/>
                <w:szCs w:val="9"/>
                <w:color w:val="auto"/>
              </w:rPr>
            </w:pPr>
          </w:p>
        </w:tc>
        <w:tc>
          <w:tcPr>
            <w:tcW w:w="900" w:type="dxa"/>
            <w:vAlign w:val="bottom"/>
          </w:tcPr>
          <w:p>
            <w:pPr>
              <w:jc w:val="right"/>
              <w:ind w:right="19"/>
              <w:spacing w:after="0" w:line="108" w:lineRule="exact"/>
              <w:rPr>
                <w:sz w:val="20"/>
                <w:szCs w:val="20"/>
                <w:color w:val="auto"/>
              </w:rPr>
            </w:pPr>
            <w:r>
              <w:rPr>
                <w:rFonts w:ascii="Arial" w:cs="Arial" w:eastAsia="Arial" w:hAnsi="Arial"/>
                <w:sz w:val="11"/>
                <w:szCs w:val="11"/>
                <w:color w:val="1252DE"/>
              </w:rPr>
              <w:t>Comprehensive</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and</w:t>
            </w:r>
          </w:p>
        </w:tc>
        <w:tc>
          <w:tcPr>
            <w:tcW w:w="18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1252DE"/>
              </w:rPr>
              <w:t>End of</w:t>
            </w:r>
          </w:p>
        </w:tc>
        <w:tc>
          <w:tcPr>
            <w:tcW w:w="0" w:type="dxa"/>
            <w:vAlign w:val="bottom"/>
          </w:tcPr>
          <w:p>
            <w:pPr>
              <w:spacing w:after="0"/>
              <w:rPr>
                <w:sz w:val="1"/>
                <w:szCs w:val="1"/>
                <w:color w:val="auto"/>
              </w:rPr>
            </w:pPr>
          </w:p>
        </w:tc>
      </w:tr>
      <w:tr>
        <w:trPr>
          <w:trHeight w:val="162"/>
        </w:trPr>
        <w:tc>
          <w:tcPr>
            <w:tcW w:w="2440" w:type="dxa"/>
            <w:vAlign w:val="bottom"/>
          </w:tcPr>
          <w:p>
            <w:pPr>
              <w:ind w:left="20"/>
              <w:spacing w:after="0"/>
              <w:rPr>
                <w:sz w:val="20"/>
                <w:szCs w:val="20"/>
                <w:color w:val="auto"/>
              </w:rPr>
            </w:pPr>
            <w:r>
              <w:rPr>
                <w:rFonts w:ascii="Arial" w:cs="Arial" w:eastAsia="Arial" w:hAnsi="Arial"/>
                <w:sz w:val="11"/>
                <w:szCs w:val="11"/>
                <w:i w:val="1"/>
                <w:iCs w:val="1"/>
                <w:color w:val="1252DE"/>
              </w:rPr>
              <w:t>(in millions)</w:t>
            </w:r>
          </w:p>
        </w:tc>
        <w:tc>
          <w:tcPr>
            <w:tcW w:w="260" w:type="dxa"/>
            <w:vAlign w:val="bottom"/>
          </w:tcPr>
          <w:p>
            <w:pPr>
              <w:spacing w:after="0"/>
              <w:rPr>
                <w:sz w:val="14"/>
                <w:szCs w:val="14"/>
                <w:color w:val="auto"/>
              </w:rPr>
            </w:pPr>
          </w:p>
        </w:tc>
        <w:tc>
          <w:tcPr>
            <w:tcW w:w="620" w:type="dxa"/>
            <w:vAlign w:val="bottom"/>
          </w:tcPr>
          <w:p>
            <w:pPr>
              <w:jc w:val="right"/>
              <w:ind w:right="21"/>
              <w:spacing w:after="0"/>
              <w:rPr>
                <w:sz w:val="20"/>
                <w:szCs w:val="20"/>
                <w:color w:val="auto"/>
              </w:rPr>
            </w:pPr>
            <w:r>
              <w:rPr>
                <w:rFonts w:ascii="Arial" w:cs="Arial" w:eastAsia="Arial" w:hAnsi="Arial"/>
                <w:sz w:val="11"/>
                <w:szCs w:val="11"/>
                <w:color w:val="1252DE"/>
              </w:rPr>
              <w:t>of Year</w:t>
            </w:r>
          </w:p>
        </w:tc>
        <w:tc>
          <w:tcPr>
            <w:tcW w:w="22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1"/>
                <w:szCs w:val="11"/>
                <w:color w:val="1252DE"/>
              </w:rPr>
              <w:t>Included in Income</w:t>
            </w:r>
            <w:r>
              <w:rPr>
                <w:rFonts w:ascii="Arial" w:cs="Arial" w:eastAsia="Arial" w:hAnsi="Arial"/>
                <w:sz w:val="14"/>
                <w:szCs w:val="14"/>
                <w:color w:val="1252DE"/>
                <w:vertAlign w:val="superscript"/>
              </w:rPr>
              <w:t>(a)</w:t>
            </w:r>
          </w:p>
        </w:tc>
        <w:tc>
          <w:tcPr>
            <w:tcW w:w="200" w:type="dxa"/>
            <w:vAlign w:val="bottom"/>
          </w:tcPr>
          <w:p>
            <w:pPr>
              <w:spacing w:after="0"/>
              <w:rPr>
                <w:sz w:val="14"/>
                <w:szCs w:val="14"/>
                <w:color w:val="auto"/>
              </w:rPr>
            </w:pPr>
          </w:p>
        </w:tc>
        <w:tc>
          <w:tcPr>
            <w:tcW w:w="900" w:type="dxa"/>
            <w:vAlign w:val="bottom"/>
          </w:tcPr>
          <w:p>
            <w:pPr>
              <w:jc w:val="right"/>
              <w:ind w:right="19"/>
              <w:spacing w:after="0"/>
              <w:rPr>
                <w:sz w:val="20"/>
                <w:szCs w:val="20"/>
                <w:color w:val="auto"/>
              </w:rPr>
            </w:pPr>
            <w:r>
              <w:rPr>
                <w:rFonts w:ascii="Arial" w:cs="Arial" w:eastAsia="Arial" w:hAnsi="Arial"/>
                <w:sz w:val="11"/>
                <w:szCs w:val="11"/>
                <w:color w:val="1252DE"/>
              </w:rPr>
              <w:t>Income (Loss)</w:t>
            </w:r>
          </w:p>
        </w:tc>
        <w:tc>
          <w:tcPr>
            <w:tcW w:w="20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1"/>
                <w:szCs w:val="11"/>
                <w:color w:val="1252DE"/>
              </w:rPr>
              <w:t>Purchases</w:t>
            </w:r>
          </w:p>
        </w:tc>
        <w:tc>
          <w:tcPr>
            <w:tcW w:w="320" w:type="dxa"/>
            <w:vAlign w:val="bottom"/>
          </w:tcPr>
          <w:p>
            <w:pPr>
              <w:spacing w:after="0"/>
              <w:rPr>
                <w:sz w:val="14"/>
                <w:szCs w:val="14"/>
                <w:color w:val="auto"/>
              </w:rPr>
            </w:pPr>
          </w:p>
        </w:tc>
        <w:tc>
          <w:tcPr>
            <w:tcW w:w="500" w:type="dxa"/>
            <w:vAlign w:val="bottom"/>
          </w:tcPr>
          <w:p>
            <w:pPr>
              <w:ind w:left="160"/>
              <w:spacing w:after="0"/>
              <w:rPr>
                <w:sz w:val="20"/>
                <w:szCs w:val="20"/>
                <w:color w:val="auto"/>
              </w:rPr>
            </w:pPr>
            <w:r>
              <w:rPr>
                <w:rFonts w:ascii="Arial" w:cs="Arial" w:eastAsia="Arial" w:hAnsi="Arial"/>
                <w:sz w:val="11"/>
                <w:szCs w:val="11"/>
                <w:color w:val="1252DE"/>
              </w:rPr>
              <w:t>Sales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1"/>
                <w:szCs w:val="11"/>
                <w:color w:val="1252DE"/>
                <w:w w:val="94"/>
              </w:rPr>
              <w:t>Settlements</w:t>
            </w:r>
            <w:r>
              <w:rPr>
                <w:rFonts w:ascii="Arial" w:cs="Arial" w:eastAsia="Arial" w:hAnsi="Arial"/>
                <w:sz w:val="14"/>
                <w:szCs w:val="14"/>
                <w:color w:val="1252DE"/>
                <w:w w:val="94"/>
                <w:vertAlign w:val="superscript"/>
              </w:rPr>
              <w:t>(b)</w:t>
            </w:r>
          </w:p>
        </w:tc>
        <w:tc>
          <w:tcPr>
            <w:tcW w:w="18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1"/>
                <w:szCs w:val="11"/>
                <w:color w:val="1252DE"/>
              </w:rPr>
              <w:t>In</w:t>
            </w:r>
          </w:p>
        </w:tc>
        <w:tc>
          <w:tcPr>
            <w:tcW w:w="20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1"/>
                <w:szCs w:val="11"/>
                <w:color w:val="1252DE"/>
              </w:rPr>
              <w:t>Out</w:t>
            </w:r>
          </w:p>
        </w:tc>
        <w:tc>
          <w:tcPr>
            <w:tcW w:w="200" w:type="dxa"/>
            <w:vAlign w:val="bottom"/>
          </w:tcPr>
          <w:p>
            <w:pPr>
              <w:spacing w:after="0"/>
              <w:rPr>
                <w:sz w:val="14"/>
                <w:szCs w:val="14"/>
                <w:color w:val="auto"/>
              </w:rPr>
            </w:pPr>
          </w:p>
        </w:tc>
        <w:tc>
          <w:tcPr>
            <w:tcW w:w="480" w:type="dxa"/>
            <w:vAlign w:val="bottom"/>
          </w:tcPr>
          <w:p>
            <w:pPr>
              <w:jc w:val="right"/>
              <w:ind w:right="58"/>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1252DE"/>
              </w:rPr>
              <w:t>Period</w:t>
            </w:r>
          </w:p>
        </w:tc>
        <w:tc>
          <w:tcPr>
            <w:tcW w:w="0" w:type="dxa"/>
            <w:vAlign w:val="bottom"/>
          </w:tcPr>
          <w:p>
            <w:pPr>
              <w:spacing w:after="0"/>
              <w:rPr>
                <w:sz w:val="1"/>
                <w:szCs w:val="1"/>
                <w:color w:val="auto"/>
              </w:rPr>
            </w:pPr>
          </w:p>
        </w:tc>
      </w:tr>
      <w:tr>
        <w:trPr>
          <w:trHeight w:val="157"/>
        </w:trPr>
        <w:tc>
          <w:tcPr>
            <w:tcW w:w="2440" w:type="dxa"/>
            <w:vAlign w:val="bottom"/>
            <w:tcBorders>
              <w:top w:val="single" w:sz="8" w:color="1352DE"/>
            </w:tcBorders>
          </w:tcPr>
          <w:p>
            <w:pPr>
              <w:ind w:left="20"/>
              <w:spacing w:after="0"/>
              <w:rPr>
                <w:sz w:val="20"/>
                <w:szCs w:val="20"/>
                <w:color w:val="auto"/>
              </w:rPr>
            </w:pPr>
            <w:r>
              <w:rPr>
                <w:rFonts w:ascii="Arial" w:cs="Arial" w:eastAsia="Arial" w:hAnsi="Arial"/>
                <w:sz w:val="12"/>
                <w:szCs w:val="12"/>
                <w:b w:val="1"/>
                <w:bCs w:val="1"/>
                <w:color w:val="1252DE"/>
              </w:rPr>
              <w:t>Nine Months Ended September 30, 2026</w:t>
            </w:r>
          </w:p>
        </w:tc>
        <w:tc>
          <w:tcPr>
            <w:tcW w:w="260" w:type="dxa"/>
            <w:vAlign w:val="bottom"/>
            <w:tcBorders>
              <w:top w:val="single" w:sz="8" w:color="1352DE"/>
            </w:tcBorders>
          </w:tcPr>
          <w:p>
            <w:pPr>
              <w:spacing w:after="0"/>
              <w:rPr>
                <w:sz w:val="13"/>
                <w:szCs w:val="13"/>
                <w:color w:val="auto"/>
              </w:rPr>
            </w:pPr>
          </w:p>
        </w:tc>
        <w:tc>
          <w:tcPr>
            <w:tcW w:w="620" w:type="dxa"/>
            <w:vAlign w:val="bottom"/>
            <w:tcBorders>
              <w:top w:val="single" w:sz="8" w:color="1352DE"/>
            </w:tcBorders>
          </w:tcPr>
          <w:p>
            <w:pPr>
              <w:spacing w:after="0"/>
              <w:rPr>
                <w:sz w:val="13"/>
                <w:szCs w:val="13"/>
                <w:color w:val="auto"/>
              </w:rPr>
            </w:pPr>
          </w:p>
        </w:tc>
        <w:tc>
          <w:tcPr>
            <w:tcW w:w="220" w:type="dxa"/>
            <w:vAlign w:val="bottom"/>
            <w:tcBorders>
              <w:top w:val="single" w:sz="8" w:color="1352DE"/>
            </w:tcBorders>
          </w:tcPr>
          <w:p>
            <w:pPr>
              <w:spacing w:after="0"/>
              <w:rPr>
                <w:sz w:val="13"/>
                <w:szCs w:val="13"/>
                <w:color w:val="auto"/>
              </w:rPr>
            </w:pPr>
          </w:p>
        </w:tc>
        <w:tc>
          <w:tcPr>
            <w:tcW w:w="114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90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620" w:type="dxa"/>
            <w:vAlign w:val="bottom"/>
            <w:tcBorders>
              <w:top w:val="single" w:sz="8" w:color="1352DE"/>
            </w:tcBorders>
          </w:tcPr>
          <w:p>
            <w:pPr>
              <w:spacing w:after="0"/>
              <w:rPr>
                <w:sz w:val="13"/>
                <w:szCs w:val="13"/>
                <w:color w:val="auto"/>
              </w:rPr>
            </w:pPr>
          </w:p>
        </w:tc>
        <w:tc>
          <w:tcPr>
            <w:tcW w:w="320" w:type="dxa"/>
            <w:vAlign w:val="bottom"/>
            <w:tcBorders>
              <w:top w:val="single" w:sz="8" w:color="1352DE"/>
            </w:tcBorders>
          </w:tcPr>
          <w:p>
            <w:pPr>
              <w:spacing w:after="0"/>
              <w:rPr>
                <w:sz w:val="13"/>
                <w:szCs w:val="13"/>
                <w:color w:val="auto"/>
              </w:rPr>
            </w:pPr>
          </w:p>
        </w:tc>
        <w:tc>
          <w:tcPr>
            <w:tcW w:w="500" w:type="dxa"/>
            <w:vAlign w:val="bottom"/>
            <w:tcBorders>
              <w:top w:val="single" w:sz="8" w:color="1352DE"/>
            </w:tcBorders>
          </w:tcPr>
          <w:p>
            <w:pPr>
              <w:spacing w:after="0"/>
              <w:rPr>
                <w:sz w:val="13"/>
                <w:szCs w:val="13"/>
                <w:color w:val="auto"/>
              </w:rPr>
            </w:pPr>
          </w:p>
        </w:tc>
        <w:tc>
          <w:tcPr>
            <w:tcW w:w="140" w:type="dxa"/>
            <w:vAlign w:val="bottom"/>
            <w:tcBorders>
              <w:top w:val="single" w:sz="8" w:color="1352DE"/>
            </w:tcBorders>
          </w:tcPr>
          <w:p>
            <w:pPr>
              <w:spacing w:after="0"/>
              <w:rPr>
                <w:sz w:val="13"/>
                <w:szCs w:val="13"/>
                <w:color w:val="auto"/>
              </w:rPr>
            </w:pPr>
          </w:p>
        </w:tc>
        <w:tc>
          <w:tcPr>
            <w:tcW w:w="60" w:type="dxa"/>
            <w:vAlign w:val="bottom"/>
            <w:tcBorders>
              <w:top w:val="single" w:sz="8" w:color="1352DE"/>
            </w:tcBorders>
          </w:tcPr>
          <w:p>
            <w:pPr>
              <w:spacing w:after="0"/>
              <w:rPr>
                <w:sz w:val="13"/>
                <w:szCs w:val="13"/>
                <w:color w:val="auto"/>
              </w:rPr>
            </w:pPr>
          </w:p>
        </w:tc>
        <w:tc>
          <w:tcPr>
            <w:tcW w:w="780" w:type="dxa"/>
            <w:vAlign w:val="bottom"/>
            <w:tcBorders>
              <w:top w:val="single" w:sz="8" w:color="1352DE"/>
            </w:tcBorders>
          </w:tcPr>
          <w:p>
            <w:pPr>
              <w:spacing w:after="0"/>
              <w:rPr>
                <w:sz w:val="13"/>
                <w:szCs w:val="13"/>
                <w:color w:val="auto"/>
              </w:rPr>
            </w:pPr>
          </w:p>
        </w:tc>
        <w:tc>
          <w:tcPr>
            <w:tcW w:w="180" w:type="dxa"/>
            <w:vAlign w:val="bottom"/>
            <w:tcBorders>
              <w:top w:val="single" w:sz="8" w:color="1352DE"/>
            </w:tcBorders>
          </w:tcPr>
          <w:p>
            <w:pPr>
              <w:spacing w:after="0"/>
              <w:rPr>
                <w:sz w:val="13"/>
                <w:szCs w:val="13"/>
                <w:color w:val="auto"/>
              </w:rPr>
            </w:pPr>
          </w:p>
        </w:tc>
        <w:tc>
          <w:tcPr>
            <w:tcW w:w="56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56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48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440" w:type="dxa"/>
            <w:vAlign w:val="bottom"/>
            <w:tcBorders>
              <w:top w:val="single" w:sz="8" w:color="1352D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rPr>
                <w:sz w:val="20"/>
                <w:szCs w:val="20"/>
                <w:color w:val="auto"/>
              </w:rPr>
            </w:pPr>
            <w:r>
              <w:rPr>
                <w:rFonts w:ascii="Arial" w:cs="Arial" w:eastAsia="Arial" w:hAnsi="Arial"/>
                <w:sz w:val="12"/>
                <w:szCs w:val="12"/>
                <w:b w:val="1"/>
                <w:bCs w:val="1"/>
                <w:color w:val="1252DE"/>
              </w:rPr>
              <w:t>Assets: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140"/>
              <w:spacing w:after="0"/>
              <w:rPr>
                <w:sz w:val="20"/>
                <w:szCs w:val="20"/>
                <w:color w:val="auto"/>
              </w:rPr>
            </w:pPr>
            <w:r>
              <w:rPr>
                <w:rFonts w:ascii="Arial" w:cs="Arial" w:eastAsia="Arial" w:hAnsi="Arial"/>
                <w:sz w:val="12"/>
                <w:szCs w:val="12"/>
                <w:b w:val="1"/>
                <w:bCs w:val="1"/>
                <w:color w:val="1252DE"/>
              </w:rPr>
              <w:t>Bonds available for sale:</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40"/>
              <w:spacing w:after="0"/>
              <w:rPr>
                <w:sz w:val="20"/>
                <w:szCs w:val="20"/>
                <w:color w:val="auto"/>
              </w:rPr>
            </w:pPr>
            <w:r>
              <w:rPr>
                <w:rFonts w:ascii="Arial" w:cs="Arial" w:eastAsia="Arial" w:hAnsi="Arial"/>
                <w:sz w:val="12"/>
                <w:szCs w:val="12"/>
                <w:color w:val="auto"/>
              </w:rPr>
              <w:t>Obligations of states, municipalities and</w:t>
            </w: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620" w:type="dxa"/>
            <w:vAlign w:val="bottom"/>
            <w:vMerge w:val="restart"/>
          </w:tcPr>
          <w:p>
            <w:pPr>
              <w:jc w:val="right"/>
              <w:ind w:right="61"/>
              <w:spacing w:after="0"/>
              <w:rPr>
                <w:sz w:val="20"/>
                <w:szCs w:val="20"/>
                <w:color w:val="auto"/>
              </w:rPr>
            </w:pPr>
            <w:r>
              <w:rPr>
                <w:rFonts w:ascii="Arial" w:cs="Arial" w:eastAsia="Arial" w:hAnsi="Arial"/>
                <w:sz w:val="13"/>
                <w:szCs w:val="13"/>
                <w:b w:val="1"/>
                <w:bCs w:val="1"/>
                <w:color w:val="1252DE"/>
              </w:rPr>
              <w:t>4</w:t>
            </w:r>
          </w:p>
        </w:tc>
        <w:tc>
          <w:tcPr>
            <w:tcW w:w="2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1140" w:type="dxa"/>
            <w:vAlign w:val="bottom"/>
            <w:vMerge w:val="restart"/>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90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1252DE"/>
              </w:rPr>
              <w:t>(1)</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62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1252DE"/>
              </w:rPr>
              <w:t>2</w:t>
            </w:r>
          </w:p>
        </w:tc>
        <w:tc>
          <w:tcPr>
            <w:tcW w:w="3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1252DE"/>
              </w:rPr>
              <w:t>$</w:t>
            </w:r>
          </w:p>
        </w:tc>
        <w:tc>
          <w:tcPr>
            <w:tcW w:w="50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1252DE"/>
              </w:rPr>
              <w:t>(1)</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1252DE"/>
              </w:rPr>
              <w:t>$</w:t>
            </w:r>
          </w:p>
        </w:tc>
        <w:tc>
          <w:tcPr>
            <w:tcW w:w="780" w:type="dxa"/>
            <w:vAlign w:val="bottom"/>
            <w:vMerge w:val="restart"/>
          </w:tcPr>
          <w:p>
            <w:pPr>
              <w:jc w:val="right"/>
              <w:ind w:right="79"/>
              <w:spacing w:after="0"/>
              <w:rPr>
                <w:sz w:val="20"/>
                <w:szCs w:val="20"/>
                <w:color w:val="auto"/>
              </w:rPr>
            </w:pPr>
            <w:r>
              <w:rPr>
                <w:rFonts w:ascii="Arial" w:cs="Arial" w:eastAsia="Arial" w:hAnsi="Arial"/>
                <w:sz w:val="13"/>
                <w:szCs w:val="13"/>
                <w:b w:val="1"/>
                <w:bCs w:val="1"/>
                <w:color w:val="1252DE"/>
              </w:rPr>
              <w:t>—</w:t>
            </w:r>
          </w:p>
        </w:tc>
        <w:tc>
          <w:tcPr>
            <w:tcW w:w="18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5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5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480" w:type="dxa"/>
            <w:vAlign w:val="bottom"/>
            <w:vMerge w:val="restart"/>
          </w:tcPr>
          <w:p>
            <w:pPr>
              <w:jc w:val="right"/>
              <w:ind w:right="118"/>
              <w:spacing w:after="0"/>
              <w:rPr>
                <w:sz w:val="20"/>
                <w:szCs w:val="20"/>
                <w:color w:val="auto"/>
              </w:rPr>
            </w:pPr>
            <w:r>
              <w:rPr>
                <w:rFonts w:ascii="Arial" w:cs="Arial" w:eastAsia="Arial" w:hAnsi="Arial"/>
                <w:sz w:val="13"/>
                <w:szCs w:val="13"/>
                <w:b w:val="1"/>
                <w:bCs w:val="1"/>
                <w:color w:val="1252DE"/>
              </w:rPr>
              <w:t>—</w:t>
            </w:r>
          </w:p>
        </w:tc>
        <w:tc>
          <w:tcPr>
            <w:tcW w:w="2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1252DE"/>
              </w:rPr>
              <w:t>$</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360"/>
              <w:spacing w:after="0"/>
              <w:rPr>
                <w:sz w:val="20"/>
                <w:szCs w:val="20"/>
                <w:color w:val="auto"/>
              </w:rPr>
            </w:pPr>
            <w:r>
              <w:rPr>
                <w:rFonts w:ascii="Arial" w:cs="Arial" w:eastAsia="Arial" w:hAnsi="Arial"/>
                <w:sz w:val="12"/>
                <w:szCs w:val="12"/>
                <w:color w:val="auto"/>
              </w:rPr>
              <w:t>political subdivisions</w:t>
            </w:r>
          </w:p>
        </w:tc>
        <w:tc>
          <w:tcPr>
            <w:tcW w:w="2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40" w:type="dxa"/>
            <w:vAlign w:val="bottom"/>
          </w:tcPr>
          <w:p>
            <w:pPr>
              <w:ind w:left="240"/>
              <w:spacing w:after="0"/>
              <w:rPr>
                <w:sz w:val="20"/>
                <w:szCs w:val="20"/>
                <w:color w:val="auto"/>
              </w:rPr>
            </w:pPr>
            <w:r>
              <w:rPr>
                <w:rFonts w:ascii="Arial" w:cs="Arial" w:eastAsia="Arial" w:hAnsi="Arial"/>
                <w:sz w:val="12"/>
                <w:szCs w:val="12"/>
                <w:color w:val="auto"/>
              </w:rPr>
              <w:t>Non-U.S. governments</w:t>
            </w:r>
          </w:p>
        </w:tc>
        <w:tc>
          <w:tcPr>
            <w:tcW w:w="260" w:type="dxa"/>
            <w:vAlign w:val="bottom"/>
          </w:tcPr>
          <w:p>
            <w:pPr>
              <w:spacing w:after="0"/>
              <w:rPr>
                <w:sz w:val="14"/>
                <w:szCs w:val="14"/>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252DE"/>
              </w:rPr>
              <w:t>23</w:t>
            </w:r>
          </w:p>
        </w:tc>
        <w:tc>
          <w:tcPr>
            <w:tcW w:w="22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3</w:t>
            </w:r>
          </w:p>
        </w:tc>
        <w:tc>
          <w:tcPr>
            <w:tcW w:w="32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13"/>
                <w:szCs w:val="13"/>
                <w:b w:val="1"/>
                <w:bCs w:val="1"/>
                <w:color w:val="1252DE"/>
              </w:rPr>
              <w:t>(3)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b w:val="1"/>
                <w:bCs w:val="1"/>
                <w:color w:val="1252DE"/>
              </w:rPr>
              <w:t>(3)</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b w:val="1"/>
                <w:bCs w:val="1"/>
                <w:color w:val="1252DE"/>
              </w:rPr>
              <w:t>(14)</w:t>
            </w:r>
          </w:p>
        </w:tc>
        <w:tc>
          <w:tcPr>
            <w:tcW w:w="200" w:type="dxa"/>
            <w:vAlign w:val="bottom"/>
          </w:tcPr>
          <w:p>
            <w:pPr>
              <w:spacing w:after="0"/>
              <w:rPr>
                <w:sz w:val="14"/>
                <w:szCs w:val="14"/>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b w:val="1"/>
                <w:bCs w:val="1"/>
                <w:color w:val="1252DE"/>
              </w:rPr>
              <w:t>(7)</w:t>
            </w:r>
          </w:p>
        </w:tc>
        <w:tc>
          <w:tcPr>
            <w:tcW w:w="20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1252DE"/>
              </w:rPr>
              <w:t>—</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Corporate debt</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252DE"/>
              </w:rPr>
              <w:t>113</w:t>
            </w:r>
          </w:p>
        </w:tc>
        <w:tc>
          <w:tcPr>
            <w:tcW w:w="22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b w:val="1"/>
                <w:bCs w:val="1"/>
                <w:color w:val="1252DE"/>
              </w:rPr>
              <w:t>(2)</w:t>
            </w:r>
          </w:p>
        </w:tc>
        <w:tc>
          <w:tcPr>
            <w:tcW w:w="20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6</w:t>
            </w:r>
          </w:p>
        </w:tc>
        <w:tc>
          <w:tcPr>
            <w:tcW w:w="32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Arial" w:cs="Arial" w:eastAsia="Arial" w:hAnsi="Arial"/>
                <w:sz w:val="13"/>
                <w:szCs w:val="13"/>
                <w:b w:val="1"/>
                <w:bCs w:val="1"/>
                <w:color w:val="1252DE"/>
              </w:rPr>
              <w:t>(7)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b w:val="1"/>
                <w:bCs w:val="1"/>
                <w:color w:val="1252DE"/>
              </w:rPr>
              <w:t>(5)</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9</w:t>
            </w:r>
          </w:p>
        </w:tc>
        <w:tc>
          <w:tcPr>
            <w:tcW w:w="2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b w:val="1"/>
                <w:bCs w:val="1"/>
                <w:color w:val="1252DE"/>
              </w:rPr>
              <w:t>(70)</w:t>
            </w:r>
          </w:p>
        </w:tc>
        <w:tc>
          <w:tcPr>
            <w:tcW w:w="20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b w:val="1"/>
                <w:bCs w:val="1"/>
                <w:color w:val="1252DE"/>
              </w:rPr>
              <w:t>(11)</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RMBS</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252DE"/>
              </w:rPr>
              <w:t>1,546</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b w:val="1"/>
                <w:bCs w:val="1"/>
                <w:color w:val="1252DE"/>
              </w:rPr>
              <w:t>20</w:t>
            </w:r>
          </w:p>
        </w:tc>
        <w:tc>
          <w:tcPr>
            <w:tcW w:w="200" w:type="dxa"/>
            <w:vAlign w:val="bottom"/>
          </w:tcPr>
          <w:p>
            <w:pPr>
              <w:spacing w:after="0"/>
              <w:rPr>
                <w:sz w:val="15"/>
                <w:szCs w:val="15"/>
                <w:color w:val="auto"/>
              </w:rPr>
            </w:pPr>
          </w:p>
        </w:tc>
        <w:tc>
          <w:tcPr>
            <w:tcW w:w="900" w:type="dxa"/>
            <w:vAlign w:val="bottom"/>
          </w:tcPr>
          <w:p>
            <w:pPr>
              <w:jc w:val="right"/>
              <w:ind w:right="19"/>
              <w:spacing w:after="0"/>
              <w:rPr>
                <w:sz w:val="20"/>
                <w:szCs w:val="20"/>
                <w:color w:val="auto"/>
              </w:rPr>
            </w:pPr>
            <w:r>
              <w:rPr>
                <w:rFonts w:ascii="Arial" w:cs="Arial" w:eastAsia="Arial" w:hAnsi="Arial"/>
                <w:sz w:val="13"/>
                <w:szCs w:val="13"/>
                <w:b w:val="1"/>
                <w:bCs w:val="1"/>
                <w:color w:val="1252DE"/>
              </w:rPr>
              <w:t>(83)</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14</w:t>
            </w:r>
          </w:p>
        </w:tc>
        <w:tc>
          <w:tcPr>
            <w:tcW w:w="32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Arial" w:cs="Arial" w:eastAsia="Arial" w:hAnsi="Arial"/>
                <w:sz w:val="13"/>
                <w:szCs w:val="13"/>
                <w:b w:val="1"/>
                <w:bCs w:val="1"/>
                <w:color w:val="1252DE"/>
              </w:rPr>
              <w:t>(15)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b w:val="1"/>
                <w:bCs w:val="1"/>
                <w:color w:val="1252DE"/>
              </w:rPr>
              <w:t>(139)</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8</w:t>
            </w:r>
          </w:p>
        </w:tc>
        <w:tc>
          <w:tcPr>
            <w:tcW w:w="2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b w:val="1"/>
                <w:bCs w:val="1"/>
                <w:color w:val="1252DE"/>
              </w:rPr>
              <w:t>(2)</w:t>
            </w:r>
          </w:p>
        </w:tc>
        <w:tc>
          <w:tcPr>
            <w:tcW w:w="200" w:type="dxa"/>
            <w:vAlign w:val="bottom"/>
          </w:tcPr>
          <w:p>
            <w:pPr>
              <w:spacing w:after="0"/>
              <w:rPr>
                <w:sz w:val="15"/>
                <w:szCs w:val="15"/>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1,350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CMBS</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252DE"/>
              </w:rPr>
              <w:t>24</w:t>
            </w:r>
          </w:p>
        </w:tc>
        <w:tc>
          <w:tcPr>
            <w:tcW w:w="22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14</w:t>
            </w:r>
          </w:p>
        </w:tc>
        <w:tc>
          <w:tcPr>
            <w:tcW w:w="32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Arial" w:cs="Arial" w:eastAsia="Arial" w:hAnsi="Arial"/>
                <w:sz w:val="13"/>
                <w:szCs w:val="13"/>
                <w:b w:val="1"/>
                <w:bCs w:val="1"/>
                <w:color w:val="1252DE"/>
              </w:rPr>
              <w:t>(8)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b w:val="1"/>
                <w:bCs w:val="1"/>
                <w:color w:val="1252DE"/>
              </w:rPr>
              <w:t>(2)</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25</w:t>
            </w:r>
          </w:p>
        </w:tc>
        <w:tc>
          <w:tcPr>
            <w:tcW w:w="2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b w:val="1"/>
                <w:bCs w:val="1"/>
                <w:color w:val="1252DE"/>
              </w:rPr>
              <w:t>(3)</w:t>
            </w:r>
          </w:p>
        </w:tc>
        <w:tc>
          <w:tcPr>
            <w:tcW w:w="20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b w:val="1"/>
                <w:bCs w:val="1"/>
                <w:color w:val="1252DE"/>
              </w:rPr>
              <w:t>(20)</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3"/>
                <w:szCs w:val="13"/>
                <w:b w:val="1"/>
                <w:bCs w:val="1"/>
                <w:color w:val="1252DE"/>
              </w:rPr>
              <w:t>1,741</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19"/>
              <w:spacing w:after="0"/>
              <w:rPr>
                <w:sz w:val="20"/>
                <w:szCs w:val="20"/>
                <w:color w:val="auto"/>
              </w:rPr>
            </w:pPr>
            <w:r>
              <w:rPr>
                <w:rFonts w:ascii="Arial" w:cs="Arial" w:eastAsia="Arial" w:hAnsi="Arial"/>
                <w:sz w:val="13"/>
                <w:szCs w:val="13"/>
                <w:b w:val="1"/>
                <w:bCs w:val="1"/>
                <w:color w:val="1252DE"/>
              </w:rPr>
              <w:t>(39)</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881</w:t>
            </w:r>
          </w:p>
        </w:tc>
        <w:tc>
          <w:tcPr>
            <w:tcW w:w="32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(263)</w:t>
            </w:r>
          </w:p>
        </w:tc>
        <w:tc>
          <w:tcPr>
            <w:tcW w:w="140" w:type="dxa"/>
            <w:vAlign w:val="bottom"/>
            <w:tcBorders>
              <w:bottom w:val="single" w:sz="8" w:color="1352DE"/>
            </w:tcBorders>
          </w:tcPr>
          <w:p>
            <w:pPr>
              <w:spacing w:after="0"/>
              <w:rPr>
                <w:sz w:val="15"/>
                <w:szCs w:val="15"/>
                <w:color w:val="auto"/>
              </w:rPr>
            </w:pPr>
          </w:p>
        </w:tc>
        <w:tc>
          <w:tcPr>
            <w:tcW w:w="6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b w:val="1"/>
                <w:bCs w:val="1"/>
                <w:color w:val="1252DE"/>
              </w:rPr>
              <w:t>(317)</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31</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b w:val="1"/>
                <w:bCs w:val="1"/>
                <w:color w:val="1252DE"/>
              </w:rPr>
              <w:t>(62)</w:t>
            </w:r>
          </w:p>
        </w:tc>
        <w:tc>
          <w:tcPr>
            <w:tcW w:w="200" w:type="dxa"/>
            <w:vAlign w:val="bottom"/>
            <w:tcBorders>
              <w:bottom w:val="single" w:sz="8" w:color="1352DE"/>
            </w:tcBorders>
          </w:tcPr>
          <w:p>
            <w:pPr>
              <w:spacing w:after="0"/>
              <w:rPr>
                <w:sz w:val="15"/>
                <w:szCs w:val="15"/>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b w:val="1"/>
                <w:bCs w:val="1"/>
                <w:color w:val="1252DE"/>
              </w:rPr>
              <w:t>18</w:t>
            </w:r>
          </w:p>
        </w:tc>
        <w:tc>
          <w:tcPr>
            <w:tcW w:w="20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1,990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252DE"/>
              </w:rPr>
              <w:t>Total bonds available for sale</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3"/>
                <w:szCs w:val="13"/>
                <w:b w:val="1"/>
                <w:bCs w:val="1"/>
                <w:color w:val="1252DE"/>
              </w:rPr>
              <w:t>3,451</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18</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19"/>
              <w:spacing w:after="0"/>
              <w:rPr>
                <w:sz w:val="20"/>
                <w:szCs w:val="20"/>
                <w:color w:val="auto"/>
              </w:rPr>
            </w:pPr>
            <w:r>
              <w:rPr>
                <w:rFonts w:ascii="Arial" w:cs="Arial" w:eastAsia="Arial" w:hAnsi="Arial"/>
                <w:sz w:val="13"/>
                <w:szCs w:val="13"/>
                <w:b w:val="1"/>
                <w:bCs w:val="1"/>
                <w:color w:val="1252DE"/>
              </w:rPr>
              <w:t>(121)</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920</w:t>
            </w:r>
          </w:p>
        </w:tc>
        <w:tc>
          <w:tcPr>
            <w:tcW w:w="320" w:type="dxa"/>
            <w:vAlign w:val="bottom"/>
            <w:tcBorders>
              <w:bottom w:val="single" w:sz="8" w:color="1352DE"/>
            </w:tcBorders>
          </w:tcPr>
          <w:p>
            <w:pPr>
              <w:spacing w:after="0"/>
              <w:rPr>
                <w:sz w:val="14"/>
                <w:szCs w:val="14"/>
                <w:color w:val="auto"/>
              </w:rPr>
            </w:pPr>
          </w:p>
        </w:tc>
        <w:tc>
          <w:tcPr>
            <w:tcW w:w="50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(297)</w:t>
            </w:r>
          </w:p>
        </w:tc>
        <w:tc>
          <w:tcPr>
            <w:tcW w:w="140" w:type="dxa"/>
            <w:vAlign w:val="bottom"/>
            <w:tcBorders>
              <w:bottom w:val="single" w:sz="8" w:color="1352DE"/>
            </w:tcBorders>
          </w:tcPr>
          <w:p>
            <w:pPr>
              <w:spacing w:after="0"/>
              <w:rPr>
                <w:sz w:val="14"/>
                <w:szCs w:val="14"/>
                <w:color w:val="auto"/>
              </w:rPr>
            </w:pPr>
          </w:p>
        </w:tc>
        <w:tc>
          <w:tcPr>
            <w:tcW w:w="6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b w:val="1"/>
                <w:bCs w:val="1"/>
                <w:color w:val="1252DE"/>
              </w:rPr>
              <w:t>(466)</w:t>
            </w:r>
          </w:p>
        </w:tc>
        <w:tc>
          <w:tcPr>
            <w:tcW w:w="1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73</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b w:val="1"/>
                <w:bCs w:val="1"/>
                <w:color w:val="1252DE"/>
              </w:rPr>
              <w:t>(151)</w:t>
            </w:r>
          </w:p>
        </w:tc>
        <w:tc>
          <w:tcPr>
            <w:tcW w:w="200" w:type="dxa"/>
            <w:vAlign w:val="bottom"/>
            <w:tcBorders>
              <w:bottom w:val="single" w:sz="8" w:color="1352DE"/>
            </w:tcBorders>
          </w:tcPr>
          <w:p>
            <w:pPr>
              <w:spacing w:after="0"/>
              <w:rPr>
                <w:sz w:val="14"/>
                <w:szCs w:val="14"/>
                <w:color w:val="auto"/>
              </w:rPr>
            </w:pPr>
          </w:p>
        </w:tc>
        <w:tc>
          <w:tcPr>
            <w:tcW w:w="48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252DE"/>
              </w:rPr>
              <w:t>(19)</w:t>
            </w:r>
          </w:p>
        </w:tc>
        <w:tc>
          <w:tcPr>
            <w:tcW w:w="20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3,408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40" w:type="dxa"/>
            <w:vAlign w:val="bottom"/>
          </w:tcPr>
          <w:p>
            <w:pPr>
              <w:ind w:left="140"/>
              <w:spacing w:after="0"/>
              <w:rPr>
                <w:sz w:val="20"/>
                <w:szCs w:val="20"/>
                <w:color w:val="auto"/>
              </w:rPr>
            </w:pPr>
            <w:r>
              <w:rPr>
                <w:rFonts w:ascii="Arial" w:cs="Arial" w:eastAsia="Arial" w:hAnsi="Arial"/>
                <w:sz w:val="12"/>
                <w:szCs w:val="12"/>
                <w:b w:val="1"/>
                <w:bCs w:val="1"/>
                <w:color w:val="1252DE"/>
              </w:rPr>
              <w:t>Other bond securities:</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40" w:type="dxa"/>
            <w:vAlign w:val="bottom"/>
          </w:tcPr>
          <w:p>
            <w:pPr>
              <w:ind w:left="240"/>
              <w:spacing w:after="0"/>
              <w:rPr>
                <w:sz w:val="20"/>
                <w:szCs w:val="20"/>
                <w:color w:val="auto"/>
              </w:rPr>
            </w:pPr>
            <w:r>
              <w:rPr>
                <w:rFonts w:ascii="Arial" w:cs="Arial" w:eastAsia="Arial" w:hAnsi="Arial"/>
                <w:sz w:val="12"/>
                <w:szCs w:val="12"/>
                <w:color w:val="auto"/>
              </w:rPr>
              <w:t>RMBS</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252DE"/>
              </w:rPr>
              <w:t>51</w:t>
            </w:r>
          </w:p>
        </w:tc>
        <w:tc>
          <w:tcPr>
            <w:tcW w:w="22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2</w:t>
            </w:r>
          </w:p>
        </w:tc>
        <w:tc>
          <w:tcPr>
            <w:tcW w:w="32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Arial" w:cs="Arial" w:eastAsia="Arial" w:hAnsi="Arial"/>
                <w:sz w:val="13"/>
                <w:szCs w:val="13"/>
                <w:b w:val="1"/>
                <w:bCs w:val="1"/>
                <w:color w:val="1252DE"/>
              </w:rPr>
              <w:t>(1)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b w:val="1"/>
                <w:bCs w:val="1"/>
                <w:color w:val="1252DE"/>
              </w:rPr>
              <w:t>(3)</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b w:val="1"/>
                <w:bCs w:val="1"/>
                <w:color w:val="1252DE"/>
              </w:rPr>
              <w:t>2</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3"/>
                <w:szCs w:val="13"/>
                <w:b w:val="1"/>
                <w:bCs w:val="1"/>
                <w:color w:val="1252DE"/>
              </w:rPr>
              <w:t>119</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20"/>
              <w:spacing w:after="0"/>
              <w:rPr>
                <w:sz w:val="20"/>
                <w:szCs w:val="20"/>
                <w:color w:val="auto"/>
              </w:rPr>
            </w:pPr>
            <w:r>
              <w:rPr>
                <w:rFonts w:ascii="Arial" w:cs="Arial" w:eastAsia="Arial" w:hAnsi="Arial"/>
                <w:sz w:val="13"/>
                <w:szCs w:val="13"/>
                <w:b w:val="1"/>
                <w:bCs w:val="1"/>
                <w:color w:val="1252DE"/>
              </w:rPr>
              <w:t>(1)</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2</w:t>
            </w:r>
          </w:p>
        </w:tc>
        <w:tc>
          <w:tcPr>
            <w:tcW w:w="32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(9)</w:t>
            </w:r>
          </w:p>
        </w:tc>
        <w:tc>
          <w:tcPr>
            <w:tcW w:w="140" w:type="dxa"/>
            <w:vAlign w:val="bottom"/>
            <w:tcBorders>
              <w:bottom w:val="single" w:sz="8" w:color="1352DE"/>
            </w:tcBorders>
          </w:tcPr>
          <w:p>
            <w:pPr>
              <w:spacing w:after="0"/>
              <w:rPr>
                <w:sz w:val="15"/>
                <w:szCs w:val="15"/>
                <w:color w:val="auto"/>
              </w:rPr>
            </w:pPr>
          </w:p>
        </w:tc>
        <w:tc>
          <w:tcPr>
            <w:tcW w:w="6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b w:val="1"/>
                <w:bCs w:val="1"/>
                <w:color w:val="1252DE"/>
              </w:rPr>
              <w:t>(6)</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5"/>
                <w:szCs w:val="15"/>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b w:val="1"/>
                <w:bCs w:val="1"/>
                <w:color w:val="1252DE"/>
              </w:rPr>
              <w:t>1</w:t>
            </w:r>
          </w:p>
        </w:tc>
        <w:tc>
          <w:tcPr>
            <w:tcW w:w="20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252DE"/>
              </w:rPr>
              <w:t>Total other bond securities</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61"/>
              <w:spacing w:after="0"/>
              <w:rPr>
                <w:sz w:val="20"/>
                <w:szCs w:val="20"/>
                <w:color w:val="auto"/>
              </w:rPr>
            </w:pPr>
            <w:r>
              <w:rPr>
                <w:rFonts w:ascii="Arial" w:cs="Arial" w:eastAsia="Arial" w:hAnsi="Arial"/>
                <w:sz w:val="13"/>
                <w:szCs w:val="13"/>
                <w:b w:val="1"/>
                <w:bCs w:val="1"/>
                <w:color w:val="1252DE"/>
              </w:rPr>
              <w:t>170</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20"/>
              <w:spacing w:after="0"/>
              <w:rPr>
                <w:sz w:val="20"/>
                <w:szCs w:val="20"/>
                <w:color w:val="auto"/>
              </w:rPr>
            </w:pPr>
            <w:r>
              <w:rPr>
                <w:rFonts w:ascii="Arial" w:cs="Arial" w:eastAsia="Arial" w:hAnsi="Arial"/>
                <w:sz w:val="13"/>
                <w:szCs w:val="13"/>
                <w:b w:val="1"/>
                <w:bCs w:val="1"/>
                <w:color w:val="1252DE"/>
              </w:rPr>
              <w:t>(2)</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4</w:t>
            </w:r>
          </w:p>
        </w:tc>
        <w:tc>
          <w:tcPr>
            <w:tcW w:w="320" w:type="dxa"/>
            <w:vAlign w:val="bottom"/>
            <w:tcBorders>
              <w:bottom w:val="single" w:sz="8" w:color="1352DE"/>
            </w:tcBorders>
          </w:tcPr>
          <w:p>
            <w:pPr>
              <w:spacing w:after="0"/>
              <w:rPr>
                <w:sz w:val="14"/>
                <w:szCs w:val="14"/>
                <w:color w:val="auto"/>
              </w:rPr>
            </w:pPr>
          </w:p>
        </w:tc>
        <w:tc>
          <w:tcPr>
            <w:tcW w:w="50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(10)</w:t>
            </w:r>
          </w:p>
        </w:tc>
        <w:tc>
          <w:tcPr>
            <w:tcW w:w="140" w:type="dxa"/>
            <w:vAlign w:val="bottom"/>
            <w:tcBorders>
              <w:bottom w:val="single" w:sz="8" w:color="1352DE"/>
            </w:tcBorders>
          </w:tcPr>
          <w:p>
            <w:pPr>
              <w:spacing w:after="0"/>
              <w:rPr>
                <w:sz w:val="14"/>
                <w:szCs w:val="14"/>
                <w:color w:val="auto"/>
              </w:rPr>
            </w:pPr>
          </w:p>
        </w:tc>
        <w:tc>
          <w:tcPr>
            <w:tcW w:w="6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b w:val="1"/>
                <w:bCs w:val="1"/>
                <w:color w:val="1252DE"/>
              </w:rPr>
              <w:t>(9)</w:t>
            </w:r>
          </w:p>
        </w:tc>
        <w:tc>
          <w:tcPr>
            <w:tcW w:w="1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bottom w:val="single" w:sz="8" w:color="1352DE"/>
            </w:tcBorders>
          </w:tcPr>
          <w:p>
            <w:pPr>
              <w:spacing w:after="0"/>
              <w:rPr>
                <w:sz w:val="14"/>
                <w:szCs w:val="14"/>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b w:val="1"/>
                <w:bCs w:val="1"/>
                <w:color w:val="1252DE"/>
              </w:rPr>
              <w:t>3</w:t>
            </w:r>
          </w:p>
        </w:tc>
        <w:tc>
          <w:tcPr>
            <w:tcW w:w="20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Pr>
          <w:p>
            <w:pPr>
              <w:ind w:left="140"/>
              <w:spacing w:after="0"/>
              <w:rPr>
                <w:sz w:val="20"/>
                <w:szCs w:val="20"/>
                <w:color w:val="auto"/>
              </w:rPr>
            </w:pPr>
            <w:r>
              <w:rPr>
                <w:rFonts w:ascii="Arial" w:cs="Arial" w:eastAsia="Arial" w:hAnsi="Arial"/>
                <w:sz w:val="12"/>
                <w:szCs w:val="12"/>
                <w:color w:val="auto"/>
              </w:rPr>
              <w:t>Equity securities</w:t>
            </w:r>
          </w:p>
        </w:tc>
        <w:tc>
          <w:tcPr>
            <w:tcW w:w="260" w:type="dxa"/>
            <w:vAlign w:val="bottom"/>
          </w:tcPr>
          <w:p>
            <w:pPr>
              <w:spacing w:after="0"/>
              <w:rPr>
                <w:sz w:val="14"/>
                <w:szCs w:val="14"/>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252DE"/>
              </w:rPr>
              <w:t>55</w:t>
            </w:r>
          </w:p>
        </w:tc>
        <w:tc>
          <w:tcPr>
            <w:tcW w:w="22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b w:val="1"/>
                <w:bCs w:val="1"/>
                <w:color w:val="1252DE"/>
              </w:rPr>
              <w:t>1</w:t>
            </w:r>
          </w:p>
        </w:tc>
        <w:tc>
          <w:tcPr>
            <w:tcW w:w="20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97</w:t>
            </w:r>
          </w:p>
        </w:tc>
        <w:tc>
          <w:tcPr>
            <w:tcW w:w="320" w:type="dxa"/>
            <w:vAlign w:val="bottom"/>
          </w:tcPr>
          <w:p>
            <w:pPr>
              <w:spacing w:after="0"/>
              <w:rPr>
                <w:sz w:val="14"/>
                <w:szCs w:val="14"/>
                <w:color w:val="auto"/>
              </w:rPr>
            </w:pPr>
          </w:p>
        </w:tc>
        <w:tc>
          <w:tcPr>
            <w:tcW w:w="500" w:type="dxa"/>
            <w:vAlign w:val="bottom"/>
          </w:tcPr>
          <w:p>
            <w:pPr>
              <w:jc w:val="right"/>
              <w:ind w:right="18"/>
              <w:spacing w:after="0"/>
              <w:rPr>
                <w:sz w:val="20"/>
                <w:szCs w:val="20"/>
                <w:color w:val="auto"/>
              </w:rPr>
            </w:pPr>
            <w:r>
              <w:rPr>
                <w:rFonts w:ascii="Arial" w:cs="Arial" w:eastAsia="Arial" w:hAnsi="Arial"/>
                <w:sz w:val="13"/>
                <w:szCs w:val="13"/>
                <w:b w:val="1"/>
                <w:bCs w:val="1"/>
                <w:color w:val="1252DE"/>
              </w:rPr>
              <w:t>(49)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79"/>
              <w:spacing w:after="0"/>
              <w:rPr>
                <w:sz w:val="20"/>
                <w:szCs w:val="20"/>
                <w:color w:val="auto"/>
              </w:rPr>
            </w:pPr>
            <w:r>
              <w:rPr>
                <w:rFonts w:ascii="Arial" w:cs="Arial" w:eastAsia="Arial" w:hAnsi="Arial"/>
                <w:sz w:val="13"/>
                <w:szCs w:val="13"/>
                <w:b w:val="1"/>
                <w:bCs w:val="1"/>
                <w:color w:val="1252DE"/>
              </w:rPr>
              <w:t>—</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b w:val="1"/>
                <w:bCs w:val="1"/>
                <w:color w:val="1252DE"/>
              </w:rPr>
              <w:t>(23)</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40" w:type="dxa"/>
            <w:vAlign w:val="bottom"/>
          </w:tcPr>
          <w:p>
            <w:pPr>
              <w:ind w:left="140"/>
              <w:spacing w:after="0"/>
              <w:rPr>
                <w:sz w:val="20"/>
                <w:szCs w:val="20"/>
                <w:color w:val="auto"/>
              </w:rPr>
            </w:pPr>
            <w:r>
              <w:rPr>
                <w:rFonts w:ascii="Arial" w:cs="Arial" w:eastAsia="Arial" w:hAnsi="Arial"/>
                <w:sz w:val="12"/>
                <w:szCs w:val="12"/>
                <w:color w:val="auto"/>
              </w:rPr>
              <w:t>Other invested assets</w:t>
            </w:r>
          </w:p>
        </w:tc>
        <w:tc>
          <w:tcPr>
            <w:tcW w:w="260" w:type="dxa"/>
            <w:vAlign w:val="bottom"/>
          </w:tcPr>
          <w:p>
            <w:pPr>
              <w:spacing w:after="0"/>
              <w:rPr>
                <w:sz w:val="14"/>
                <w:szCs w:val="14"/>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252DE"/>
              </w:rPr>
              <w:t>92</w:t>
            </w:r>
          </w:p>
        </w:tc>
        <w:tc>
          <w:tcPr>
            <w:tcW w:w="22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b w:val="1"/>
                <w:bCs w:val="1"/>
                <w:color w:val="1252DE"/>
              </w:rPr>
              <w:t>(17)</w:t>
            </w:r>
          </w:p>
        </w:tc>
        <w:tc>
          <w:tcPr>
            <w:tcW w:w="20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3</w:t>
            </w:r>
          </w:p>
        </w:tc>
        <w:tc>
          <w:tcPr>
            <w:tcW w:w="320" w:type="dxa"/>
            <w:vAlign w:val="bottom"/>
          </w:tcPr>
          <w:p>
            <w:pPr>
              <w:spacing w:after="0"/>
              <w:rPr>
                <w:sz w:val="14"/>
                <w:szCs w:val="14"/>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b w:val="1"/>
                <w:bCs w:val="1"/>
                <w:color w:val="1252DE"/>
              </w:rPr>
              <w:t>(2)</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b w:val="1"/>
                <w:bCs w:val="1"/>
                <w:color w:val="1252DE"/>
              </w:rPr>
              <w:t>2</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252DE"/>
              </w:rPr>
              <w:t>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140"/>
              <w:spacing w:after="0"/>
              <w:rPr>
                <w:sz w:val="20"/>
                <w:szCs w:val="20"/>
                <w:color w:val="auto"/>
              </w:rPr>
            </w:pPr>
            <w:r>
              <w:rPr>
                <w:rFonts w:ascii="Arial" w:cs="Arial" w:eastAsia="Arial" w:hAnsi="Arial"/>
                <w:sz w:val="12"/>
                <w:szCs w:val="12"/>
                <w:color w:val="auto"/>
              </w:rPr>
              <w:t>Other assets</w:t>
            </w:r>
          </w:p>
        </w:tc>
        <w:tc>
          <w:tcPr>
            <w:tcW w:w="2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252DE"/>
              </w:rPr>
              <w:t>130</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32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b w:val="1"/>
                <w:bCs w:val="1"/>
                <w:color w:val="1252DE"/>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79"/>
              <w:spacing w:after="0"/>
              <w:rPr>
                <w:sz w:val="20"/>
                <w:szCs w:val="20"/>
                <w:color w:val="auto"/>
              </w:rPr>
            </w:pPr>
            <w:r>
              <w:rPr>
                <w:rFonts w:ascii="Arial" w:cs="Arial" w:eastAsia="Arial" w:hAnsi="Arial"/>
                <w:sz w:val="13"/>
                <w:szCs w:val="13"/>
                <w:b w:val="1"/>
                <w:bCs w:val="1"/>
                <w:color w:val="1252DE"/>
              </w:rPr>
              <w:t>—</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252DE"/>
              </w:rPr>
              <w:t>—</w:t>
            </w:r>
          </w:p>
        </w:tc>
        <w:tc>
          <w:tcPr>
            <w:tcW w:w="20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b w:val="1"/>
                <w:bCs w:val="1"/>
                <w:color w:val="1252DE"/>
              </w:rPr>
              <w:t>(130)</w:t>
            </w:r>
          </w:p>
        </w:tc>
        <w:tc>
          <w:tcPr>
            <w:tcW w:w="20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1252DE"/>
              </w:rPr>
              <w:t>—</w:t>
            </w:r>
          </w:p>
        </w:tc>
        <w:tc>
          <w:tcPr>
            <w:tcW w:w="0" w:type="dxa"/>
            <w:vAlign w:val="bottom"/>
          </w:tcPr>
          <w:p>
            <w:pPr>
              <w:spacing w:after="0"/>
              <w:rPr>
                <w:sz w:val="1"/>
                <w:szCs w:val="1"/>
                <w:color w:val="auto"/>
              </w:rPr>
            </w:pPr>
          </w:p>
        </w:tc>
      </w:tr>
      <w:tr>
        <w:trPr>
          <w:trHeight w:val="171"/>
        </w:trPr>
        <w:tc>
          <w:tcPr>
            <w:tcW w:w="244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w:t>
            </w:r>
          </w:p>
        </w:tc>
        <w:tc>
          <w:tcPr>
            <w:tcW w:w="26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620" w:type="dxa"/>
            <w:vAlign w:val="bottom"/>
            <w:tcBorders>
              <w:top w:val="single" w:sz="8" w:color="1352DE"/>
              <w:bottom w:val="single" w:sz="8" w:color="1352DE"/>
            </w:tcBorders>
          </w:tcPr>
          <w:p>
            <w:pPr>
              <w:jc w:val="right"/>
              <w:ind w:right="61"/>
              <w:spacing w:after="0"/>
              <w:rPr>
                <w:sz w:val="20"/>
                <w:szCs w:val="20"/>
                <w:color w:val="auto"/>
              </w:rPr>
            </w:pPr>
            <w:r>
              <w:rPr>
                <w:rFonts w:ascii="Arial" w:cs="Arial" w:eastAsia="Arial" w:hAnsi="Arial"/>
                <w:sz w:val="13"/>
                <w:szCs w:val="13"/>
                <w:b w:val="1"/>
                <w:bCs w:val="1"/>
                <w:color w:val="1252DE"/>
              </w:rPr>
              <w:t>3,898</w:t>
            </w:r>
          </w:p>
        </w:tc>
        <w:tc>
          <w:tcPr>
            <w:tcW w:w="22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1140" w:type="dxa"/>
            <w:vAlign w:val="bottom"/>
            <w:tcBorders>
              <w:top w:val="single" w:sz="8" w:color="1352DE"/>
              <w:bottom w:val="single" w:sz="8" w:color="1352DE"/>
            </w:tcBorders>
          </w:tcPr>
          <w:p>
            <w:pPr>
              <w:jc w:val="right"/>
              <w:ind w:right="60"/>
              <w:spacing w:after="0"/>
              <w:rPr>
                <w:sz w:val="20"/>
                <w:szCs w:val="20"/>
                <w:color w:val="auto"/>
              </w:rPr>
            </w:pPr>
            <w:r>
              <w:rPr>
                <w:rFonts w:ascii="Arial" w:cs="Arial" w:eastAsia="Arial" w:hAnsi="Arial"/>
                <w:sz w:val="13"/>
                <w:szCs w:val="13"/>
                <w:b w:val="1"/>
                <w:bCs w:val="1"/>
                <w:color w:val="1252DE"/>
              </w:rPr>
              <w:t>—</w:t>
            </w:r>
          </w:p>
        </w:tc>
        <w:tc>
          <w:tcPr>
            <w:tcW w:w="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900" w:type="dxa"/>
            <w:vAlign w:val="bottom"/>
            <w:tcBorders>
              <w:top w:val="single" w:sz="8" w:color="1352DE"/>
              <w:bottom w:val="single" w:sz="8" w:color="1352DE"/>
            </w:tcBorders>
          </w:tcPr>
          <w:p>
            <w:pPr>
              <w:jc w:val="right"/>
              <w:ind w:right="19"/>
              <w:spacing w:after="0"/>
              <w:rPr>
                <w:sz w:val="20"/>
                <w:szCs w:val="20"/>
                <w:color w:val="auto"/>
              </w:rPr>
            </w:pPr>
            <w:r>
              <w:rPr>
                <w:rFonts w:ascii="Arial" w:cs="Arial" w:eastAsia="Arial" w:hAnsi="Arial"/>
                <w:sz w:val="13"/>
                <w:szCs w:val="13"/>
                <w:b w:val="1"/>
                <w:bCs w:val="1"/>
                <w:color w:val="1252DE"/>
              </w:rPr>
              <w:t>(121)</w:t>
            </w:r>
          </w:p>
        </w:tc>
        <w:tc>
          <w:tcPr>
            <w:tcW w:w="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620" w:type="dxa"/>
            <w:vAlign w:val="bottom"/>
            <w:tcBorders>
              <w:top w:val="single" w:sz="8" w:color="1352DE"/>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252DE"/>
              </w:rPr>
              <w:t>1,024</w:t>
            </w:r>
          </w:p>
        </w:tc>
        <w:tc>
          <w:tcPr>
            <w:tcW w:w="320" w:type="dxa"/>
            <w:vAlign w:val="bottom"/>
            <w:tcBorders>
              <w:top w:val="single" w:sz="8" w:color="1352DE"/>
              <w:bottom w:val="single" w:sz="8" w:color="1352DE"/>
            </w:tcBorders>
          </w:tcPr>
          <w:p>
            <w:pPr>
              <w:jc w:val="right"/>
              <w:ind w:right="97"/>
              <w:spacing w:after="0"/>
              <w:rPr>
                <w:sz w:val="20"/>
                <w:szCs w:val="20"/>
                <w:color w:val="auto"/>
              </w:rPr>
            </w:pPr>
            <w:r>
              <w:rPr>
                <w:rFonts w:ascii="Arial" w:cs="Arial" w:eastAsia="Arial" w:hAnsi="Arial"/>
                <w:sz w:val="13"/>
                <w:szCs w:val="13"/>
                <w:b w:val="1"/>
                <w:bCs w:val="1"/>
                <w:color w:val="1252DE"/>
              </w:rPr>
              <w:t>$</w:t>
            </w:r>
          </w:p>
        </w:tc>
        <w:tc>
          <w:tcPr>
            <w:tcW w:w="500" w:type="dxa"/>
            <w:vAlign w:val="bottom"/>
            <w:tcBorders>
              <w:top w:val="single" w:sz="8" w:color="1352DE"/>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252DE"/>
              </w:rPr>
              <w:t>(356)</w:t>
            </w:r>
          </w:p>
        </w:tc>
        <w:tc>
          <w:tcPr>
            <w:tcW w:w="200" w:type="dxa"/>
            <w:vAlign w:val="bottom"/>
            <w:tcBorders>
              <w:top w:val="single" w:sz="8" w:color="1352DE"/>
              <w:bottom w:val="single" w:sz="8" w:color="1352DE"/>
            </w:tcBorders>
            <w:gridSpan w:val="2"/>
          </w:tcPr>
          <w:p>
            <w:pPr>
              <w:jc w:val="right"/>
              <w:ind w:right="40"/>
              <w:spacing w:after="0"/>
              <w:rPr>
                <w:sz w:val="20"/>
                <w:szCs w:val="20"/>
                <w:color w:val="auto"/>
              </w:rPr>
            </w:pPr>
            <w:r>
              <w:rPr>
                <w:rFonts w:ascii="Arial" w:cs="Arial" w:eastAsia="Arial" w:hAnsi="Arial"/>
                <w:sz w:val="13"/>
                <w:szCs w:val="13"/>
                <w:b w:val="1"/>
                <w:bCs w:val="1"/>
                <w:color w:val="1252DE"/>
              </w:rPr>
              <w:t>$</w:t>
            </w:r>
          </w:p>
        </w:tc>
        <w:tc>
          <w:tcPr>
            <w:tcW w:w="780" w:type="dxa"/>
            <w:vAlign w:val="bottom"/>
            <w:tcBorders>
              <w:top w:val="single" w:sz="8" w:color="1352DE"/>
              <w:bottom w:val="single" w:sz="8" w:color="1352DE"/>
            </w:tcBorders>
          </w:tcPr>
          <w:p>
            <w:pPr>
              <w:jc w:val="right"/>
              <w:ind w:right="39"/>
              <w:spacing w:after="0"/>
              <w:rPr>
                <w:sz w:val="20"/>
                <w:szCs w:val="20"/>
                <w:color w:val="auto"/>
              </w:rPr>
            </w:pPr>
            <w:r>
              <w:rPr>
                <w:rFonts w:ascii="Arial" w:cs="Arial" w:eastAsia="Arial" w:hAnsi="Arial"/>
                <w:sz w:val="13"/>
                <w:szCs w:val="13"/>
                <w:b w:val="1"/>
                <w:bCs w:val="1"/>
                <w:color w:val="1252DE"/>
              </w:rPr>
              <w:t>(477)</w:t>
            </w:r>
          </w:p>
        </w:tc>
        <w:tc>
          <w:tcPr>
            <w:tcW w:w="18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560" w:type="dxa"/>
            <w:vAlign w:val="bottom"/>
            <w:tcBorders>
              <w:top w:val="single" w:sz="8" w:color="1352DE"/>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252DE"/>
              </w:rPr>
              <w:t>73</w:t>
            </w:r>
          </w:p>
        </w:tc>
        <w:tc>
          <w:tcPr>
            <w:tcW w:w="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560" w:type="dxa"/>
            <w:vAlign w:val="bottom"/>
            <w:tcBorders>
              <w:top w:val="single" w:sz="8" w:color="1352DE"/>
              <w:bottom w:val="single" w:sz="8" w:color="1352DE"/>
            </w:tcBorders>
          </w:tcPr>
          <w:p>
            <w:pPr>
              <w:jc w:val="right"/>
              <w:ind w:right="39"/>
              <w:spacing w:after="0"/>
              <w:rPr>
                <w:sz w:val="20"/>
                <w:szCs w:val="20"/>
                <w:color w:val="auto"/>
              </w:rPr>
            </w:pPr>
            <w:r>
              <w:rPr>
                <w:rFonts w:ascii="Arial" w:cs="Arial" w:eastAsia="Arial" w:hAnsi="Arial"/>
                <w:sz w:val="13"/>
                <w:szCs w:val="13"/>
                <w:b w:val="1"/>
                <w:bCs w:val="1"/>
                <w:color w:val="1252DE"/>
              </w:rPr>
              <w:t>(151)</w:t>
            </w:r>
          </w:p>
        </w:tc>
        <w:tc>
          <w:tcPr>
            <w:tcW w:w="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480" w:type="dxa"/>
            <w:vAlign w:val="bottom"/>
            <w:tcBorders>
              <w:top w:val="single" w:sz="8" w:color="1352DE"/>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252DE"/>
              </w:rPr>
              <w:t>(167)</w:t>
            </w:r>
          </w:p>
        </w:tc>
        <w:tc>
          <w:tcPr>
            <w:tcW w:w="200" w:type="dxa"/>
            <w:vAlign w:val="bottom"/>
            <w:tcBorders>
              <w:top w:val="single" w:sz="8" w:color="1352DE"/>
              <w:bottom w:val="single" w:sz="8" w:color="1352DE"/>
            </w:tcBorders>
          </w:tcPr>
          <w:p>
            <w:pPr>
              <w:jc w:val="right"/>
              <w:ind w:right="17"/>
              <w:spacing w:after="0"/>
              <w:rPr>
                <w:sz w:val="20"/>
                <w:szCs w:val="20"/>
                <w:color w:val="auto"/>
              </w:rPr>
            </w:pPr>
            <w:r>
              <w:rPr>
                <w:rFonts w:ascii="Arial" w:cs="Arial" w:eastAsia="Arial" w:hAnsi="Arial"/>
                <w:sz w:val="13"/>
                <w:szCs w:val="13"/>
                <w:b w:val="1"/>
                <w:bCs w:val="1"/>
                <w:color w:val="1252DE"/>
              </w:rPr>
              <w:t>$</w:t>
            </w:r>
          </w:p>
        </w:tc>
        <w:tc>
          <w:tcPr>
            <w:tcW w:w="44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3,723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440" w:type="dxa"/>
            <w:vAlign w:val="bottom"/>
            <w:tcBorders>
              <w:bottom w:val="single" w:sz="8" w:color="1352DE"/>
            </w:tcBorders>
          </w:tcPr>
          <w:p>
            <w:pPr>
              <w:spacing w:after="0"/>
              <w:rPr>
                <w:sz w:val="10"/>
                <w:szCs w:val="10"/>
                <w:color w:val="auto"/>
              </w:rPr>
            </w:pPr>
          </w:p>
        </w:tc>
        <w:tc>
          <w:tcPr>
            <w:tcW w:w="260" w:type="dxa"/>
            <w:vAlign w:val="bottom"/>
            <w:tcBorders>
              <w:bottom w:val="single" w:sz="8" w:color="1352DE"/>
            </w:tcBorders>
          </w:tcPr>
          <w:p>
            <w:pPr>
              <w:spacing w:after="0"/>
              <w:rPr>
                <w:sz w:val="10"/>
                <w:szCs w:val="10"/>
                <w:color w:val="auto"/>
              </w:rPr>
            </w:pPr>
          </w:p>
        </w:tc>
        <w:tc>
          <w:tcPr>
            <w:tcW w:w="62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114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90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620" w:type="dxa"/>
            <w:vAlign w:val="bottom"/>
            <w:tcBorders>
              <w:bottom w:val="single" w:sz="8" w:color="1352DE"/>
            </w:tcBorders>
          </w:tcPr>
          <w:p>
            <w:pPr>
              <w:spacing w:after="0"/>
              <w:rPr>
                <w:sz w:val="10"/>
                <w:szCs w:val="10"/>
                <w:color w:val="auto"/>
              </w:rPr>
            </w:pPr>
          </w:p>
        </w:tc>
        <w:tc>
          <w:tcPr>
            <w:tcW w:w="320" w:type="dxa"/>
            <w:vAlign w:val="bottom"/>
            <w:tcBorders>
              <w:bottom w:val="single" w:sz="8" w:color="1352DE"/>
            </w:tcBorders>
          </w:tcPr>
          <w:p>
            <w:pPr>
              <w:spacing w:after="0"/>
              <w:rPr>
                <w:sz w:val="10"/>
                <w:szCs w:val="10"/>
                <w:color w:val="auto"/>
              </w:rPr>
            </w:pPr>
          </w:p>
        </w:tc>
        <w:tc>
          <w:tcPr>
            <w:tcW w:w="500" w:type="dxa"/>
            <w:vAlign w:val="bottom"/>
            <w:tcBorders>
              <w:bottom w:val="single" w:sz="8" w:color="1352DE"/>
            </w:tcBorders>
          </w:tcPr>
          <w:p>
            <w:pPr>
              <w:spacing w:after="0"/>
              <w:rPr>
                <w:sz w:val="10"/>
                <w:szCs w:val="10"/>
                <w:color w:val="auto"/>
              </w:rPr>
            </w:pPr>
          </w:p>
        </w:tc>
        <w:tc>
          <w:tcPr>
            <w:tcW w:w="140" w:type="dxa"/>
            <w:vAlign w:val="bottom"/>
            <w:tcBorders>
              <w:bottom w:val="single" w:sz="8" w:color="1352DE"/>
            </w:tcBorders>
          </w:tcPr>
          <w:p>
            <w:pPr>
              <w:spacing w:after="0"/>
              <w:rPr>
                <w:sz w:val="10"/>
                <w:szCs w:val="10"/>
                <w:color w:val="auto"/>
              </w:rPr>
            </w:pPr>
          </w:p>
        </w:tc>
        <w:tc>
          <w:tcPr>
            <w:tcW w:w="60" w:type="dxa"/>
            <w:vAlign w:val="bottom"/>
            <w:tcBorders>
              <w:bottom w:val="single" w:sz="8" w:color="1352DE"/>
            </w:tcBorders>
          </w:tcPr>
          <w:p>
            <w:pPr>
              <w:spacing w:after="0"/>
              <w:rPr>
                <w:sz w:val="10"/>
                <w:szCs w:val="10"/>
                <w:color w:val="auto"/>
              </w:rPr>
            </w:pPr>
          </w:p>
        </w:tc>
        <w:tc>
          <w:tcPr>
            <w:tcW w:w="780" w:type="dxa"/>
            <w:vAlign w:val="bottom"/>
            <w:tcBorders>
              <w:bottom w:val="single" w:sz="8" w:color="1352DE"/>
            </w:tcBorders>
          </w:tcPr>
          <w:p>
            <w:pPr>
              <w:spacing w:after="0"/>
              <w:rPr>
                <w:sz w:val="10"/>
                <w:szCs w:val="10"/>
                <w:color w:val="auto"/>
              </w:rPr>
            </w:pPr>
          </w:p>
        </w:tc>
        <w:tc>
          <w:tcPr>
            <w:tcW w:w="180" w:type="dxa"/>
            <w:vAlign w:val="bottom"/>
            <w:tcBorders>
              <w:bottom w:val="single" w:sz="8" w:color="1352DE"/>
            </w:tcBorders>
          </w:tcPr>
          <w:p>
            <w:pPr>
              <w:spacing w:after="0"/>
              <w:rPr>
                <w:sz w:val="10"/>
                <w:szCs w:val="10"/>
                <w:color w:val="auto"/>
              </w:rPr>
            </w:pPr>
          </w:p>
        </w:tc>
        <w:tc>
          <w:tcPr>
            <w:tcW w:w="56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56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48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440" w:type="dxa"/>
            <w:vAlign w:val="bottom"/>
            <w:tcBorders>
              <w:bottom w:val="single" w:sz="8" w:color="1352DE"/>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restart"/>
          </w:tcPr>
          <w:p>
            <w:pPr>
              <w:jc w:val="right"/>
              <w:ind w:right="41"/>
              <w:spacing w:after="0"/>
              <w:rPr>
                <w:sz w:val="20"/>
                <w:szCs w:val="20"/>
                <w:color w:val="auto"/>
              </w:rPr>
            </w:pPr>
            <w:r>
              <w:rPr>
                <w:rFonts w:ascii="Arial" w:cs="Arial" w:eastAsia="Arial" w:hAnsi="Arial"/>
                <w:sz w:val="11"/>
                <w:szCs w:val="11"/>
                <w:color w:val="1252DE"/>
                <w:w w:val="99"/>
              </w:rPr>
              <w:t>Fair Value</w:t>
            </w:r>
          </w:p>
        </w:tc>
        <w:tc>
          <w:tcPr>
            <w:tcW w:w="220" w:type="dxa"/>
            <w:vAlign w:val="bottom"/>
          </w:tcPr>
          <w:p>
            <w:pPr>
              <w:spacing w:after="0"/>
              <w:rPr>
                <w:sz w:val="8"/>
                <w:szCs w:val="8"/>
                <w:color w:val="auto"/>
              </w:rPr>
            </w:pPr>
          </w:p>
        </w:tc>
        <w:tc>
          <w:tcPr>
            <w:tcW w:w="1140" w:type="dxa"/>
            <w:vAlign w:val="bottom"/>
          </w:tcPr>
          <w:p>
            <w:pPr>
              <w:jc w:val="right"/>
              <w:ind w:right="40"/>
              <w:spacing w:after="0" w:line="102" w:lineRule="exact"/>
              <w:rPr>
                <w:sz w:val="20"/>
                <w:szCs w:val="20"/>
                <w:color w:val="auto"/>
              </w:rPr>
            </w:pPr>
            <w:r>
              <w:rPr>
                <w:rFonts w:ascii="Arial" w:cs="Arial" w:eastAsia="Arial" w:hAnsi="Arial"/>
                <w:sz w:val="11"/>
                <w:szCs w:val="11"/>
                <w:color w:val="1252DE"/>
              </w:rPr>
              <w:t>Net Realized</w:t>
            </w:r>
          </w:p>
        </w:tc>
        <w:tc>
          <w:tcPr>
            <w:tcW w:w="200" w:type="dxa"/>
            <w:vAlign w:val="bottom"/>
          </w:tcPr>
          <w:p>
            <w:pPr>
              <w:spacing w:after="0"/>
              <w:rPr>
                <w:sz w:val="8"/>
                <w:szCs w:val="8"/>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1"/>
                <w:szCs w:val="11"/>
                <w:color w:val="1252DE"/>
              </w:rPr>
              <w:t>Issuances</w:t>
            </w:r>
          </w:p>
        </w:tc>
        <w:tc>
          <w:tcPr>
            <w:tcW w:w="180" w:type="dxa"/>
            <w:vAlign w:val="bottom"/>
          </w:tcPr>
          <w:p>
            <w:pPr>
              <w:spacing w:after="0"/>
              <w:rPr>
                <w:sz w:val="8"/>
                <w:szCs w:val="8"/>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Pr>
          <w:p>
            <w:pPr>
              <w:spacing w:after="0"/>
              <w:rPr>
                <w:sz w:val="8"/>
                <w:szCs w:val="8"/>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gridSpan w:val="2"/>
          </w:tcPr>
          <w:p>
            <w:pPr>
              <w:jc w:val="right"/>
              <w:ind w:right="40"/>
              <w:spacing w:after="0" w:line="102" w:lineRule="exact"/>
              <w:rPr>
                <w:sz w:val="20"/>
                <w:szCs w:val="20"/>
                <w:color w:val="auto"/>
              </w:rPr>
            </w:pPr>
            <w:r>
              <w:rPr>
                <w:rFonts w:ascii="Arial" w:cs="Arial" w:eastAsia="Arial" w:hAnsi="Arial"/>
                <w:sz w:val="11"/>
                <w:szCs w:val="11"/>
                <w:color w:val="1252DE"/>
              </w:rPr>
              <w:t>Fair</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and Unrealized</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1252DE"/>
              </w:rPr>
              <w:t>Value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jc w:val="right"/>
              <w:ind w:right="81"/>
              <w:spacing w:after="0" w:line="108" w:lineRule="exact"/>
              <w:rPr>
                <w:sz w:val="20"/>
                <w:szCs w:val="20"/>
                <w:color w:val="auto"/>
              </w:rPr>
            </w:pPr>
            <w:r>
              <w:rPr>
                <w:rFonts w:ascii="Arial" w:cs="Arial" w:eastAsia="Arial" w:hAnsi="Arial"/>
                <w:sz w:val="11"/>
                <w:szCs w:val="11"/>
                <w:color w:val="1252DE"/>
                <w:w w:val="93"/>
              </w:rPr>
              <w:t>Beginning</w:t>
            </w:r>
          </w:p>
        </w:tc>
        <w:tc>
          <w:tcPr>
            <w:tcW w:w="220" w:type="dxa"/>
            <w:vAlign w:val="bottom"/>
          </w:tcPr>
          <w:p>
            <w:pPr>
              <w:spacing w:after="0"/>
              <w:rPr>
                <w:sz w:val="9"/>
                <w:szCs w:val="9"/>
                <w:color w:val="auto"/>
              </w:rPr>
            </w:pPr>
          </w:p>
        </w:tc>
        <w:tc>
          <w:tcPr>
            <w:tcW w:w="114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(Gains) Losses</w:t>
            </w:r>
          </w:p>
        </w:tc>
        <w:tc>
          <w:tcPr>
            <w:tcW w:w="200" w:type="dxa"/>
            <w:vAlign w:val="bottom"/>
          </w:tcPr>
          <w:p>
            <w:pPr>
              <w:spacing w:after="0"/>
              <w:rPr>
                <w:sz w:val="9"/>
                <w:szCs w:val="9"/>
                <w:color w:val="auto"/>
              </w:rPr>
            </w:pPr>
          </w:p>
        </w:tc>
        <w:tc>
          <w:tcPr>
            <w:tcW w:w="90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Comprehensive</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and</w:t>
            </w:r>
          </w:p>
        </w:tc>
        <w:tc>
          <w:tcPr>
            <w:tcW w:w="18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1"/>
                <w:szCs w:val="11"/>
                <w:color w:val="1252DE"/>
              </w:rPr>
              <w:t>End of</w:t>
            </w:r>
          </w:p>
        </w:tc>
        <w:tc>
          <w:tcPr>
            <w:tcW w:w="0" w:type="dxa"/>
            <w:vAlign w:val="bottom"/>
          </w:tcPr>
          <w:p>
            <w:pPr>
              <w:spacing w:after="0"/>
              <w:rPr>
                <w:sz w:val="1"/>
                <w:szCs w:val="1"/>
                <w:color w:val="auto"/>
              </w:rPr>
            </w:pPr>
          </w:p>
        </w:tc>
      </w:tr>
      <w:tr>
        <w:trPr>
          <w:trHeight w:val="162"/>
        </w:trPr>
        <w:tc>
          <w:tcPr>
            <w:tcW w:w="2440" w:type="dxa"/>
            <w:vAlign w:val="bottom"/>
          </w:tcPr>
          <w:p>
            <w:pPr>
              <w:ind w:left="40"/>
              <w:spacing w:after="0"/>
              <w:rPr>
                <w:sz w:val="20"/>
                <w:szCs w:val="20"/>
                <w:color w:val="auto"/>
              </w:rPr>
            </w:pPr>
            <w:r>
              <w:rPr>
                <w:rFonts w:ascii="Arial" w:cs="Arial" w:eastAsia="Arial" w:hAnsi="Arial"/>
                <w:sz w:val="11"/>
                <w:szCs w:val="11"/>
                <w:i w:val="1"/>
                <w:iCs w:val="1"/>
                <w:color w:val="1252DE"/>
              </w:rPr>
              <w:t>(in millions)</w:t>
            </w:r>
          </w:p>
        </w:tc>
        <w:tc>
          <w:tcPr>
            <w:tcW w:w="260" w:type="dxa"/>
            <w:vAlign w:val="bottom"/>
          </w:tcPr>
          <w:p>
            <w:pPr>
              <w:spacing w:after="0"/>
              <w:rPr>
                <w:sz w:val="14"/>
                <w:szCs w:val="14"/>
                <w:color w:val="auto"/>
              </w:rPr>
            </w:pPr>
          </w:p>
        </w:tc>
        <w:tc>
          <w:tcPr>
            <w:tcW w:w="620" w:type="dxa"/>
            <w:vAlign w:val="bottom"/>
          </w:tcPr>
          <w:p>
            <w:pPr>
              <w:jc w:val="right"/>
              <w:ind w:right="41"/>
              <w:spacing w:after="0"/>
              <w:rPr>
                <w:sz w:val="20"/>
                <w:szCs w:val="20"/>
                <w:color w:val="auto"/>
              </w:rPr>
            </w:pPr>
            <w:r>
              <w:rPr>
                <w:rFonts w:ascii="Arial" w:cs="Arial" w:eastAsia="Arial" w:hAnsi="Arial"/>
                <w:sz w:val="11"/>
                <w:szCs w:val="11"/>
                <w:color w:val="1252DE"/>
              </w:rPr>
              <w:t>of Year</w:t>
            </w:r>
          </w:p>
        </w:tc>
        <w:tc>
          <w:tcPr>
            <w:tcW w:w="22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1"/>
                <w:szCs w:val="11"/>
                <w:color w:val="1252DE"/>
                <w:w w:val="98"/>
              </w:rPr>
              <w:t>Included in Income</w:t>
            </w:r>
            <w:r>
              <w:rPr>
                <w:rFonts w:ascii="Arial" w:cs="Arial" w:eastAsia="Arial" w:hAnsi="Arial"/>
                <w:sz w:val="14"/>
                <w:szCs w:val="14"/>
                <w:color w:val="1252DE"/>
                <w:w w:val="98"/>
                <w:vertAlign w:val="superscript"/>
              </w:rPr>
              <w:t>(a)</w:t>
            </w:r>
          </w:p>
        </w:tc>
        <w:tc>
          <w:tcPr>
            <w:tcW w:w="2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1"/>
                <w:szCs w:val="11"/>
                <w:color w:val="1252DE"/>
              </w:rPr>
              <w:t>(Income) Loss</w:t>
            </w:r>
          </w:p>
        </w:tc>
        <w:tc>
          <w:tcPr>
            <w:tcW w:w="2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1252DE"/>
              </w:rPr>
              <w:t>Purchases</w:t>
            </w:r>
          </w:p>
        </w:tc>
        <w:tc>
          <w:tcPr>
            <w:tcW w:w="32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1252DE"/>
              </w:rPr>
              <w:t>Sales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1"/>
                <w:szCs w:val="11"/>
                <w:color w:val="1252DE"/>
                <w:w w:val="94"/>
              </w:rPr>
              <w:t>Settlements</w:t>
            </w:r>
            <w:r>
              <w:rPr>
                <w:rFonts w:ascii="Arial" w:cs="Arial" w:eastAsia="Arial" w:hAnsi="Arial"/>
                <w:sz w:val="14"/>
                <w:szCs w:val="14"/>
                <w:color w:val="1252DE"/>
                <w:w w:val="94"/>
                <w:vertAlign w:val="superscript"/>
              </w:rPr>
              <w:t>(b)</w:t>
            </w:r>
          </w:p>
        </w:tc>
        <w:tc>
          <w:tcPr>
            <w:tcW w:w="18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1"/>
                <w:szCs w:val="11"/>
                <w:color w:val="1252DE"/>
              </w:rPr>
              <w:t>In</w:t>
            </w:r>
          </w:p>
        </w:tc>
        <w:tc>
          <w:tcPr>
            <w:tcW w:w="20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1"/>
                <w:szCs w:val="11"/>
                <w:color w:val="1252DE"/>
              </w:rPr>
              <w:t>Out</w:t>
            </w:r>
          </w:p>
        </w:tc>
        <w:tc>
          <w:tcPr>
            <w:tcW w:w="200" w:type="dxa"/>
            <w:vAlign w:val="bottom"/>
          </w:tcPr>
          <w:p>
            <w:pPr>
              <w:spacing w:after="0"/>
              <w:rPr>
                <w:sz w:val="14"/>
                <w:szCs w:val="14"/>
                <w:color w:val="auto"/>
              </w:rPr>
            </w:pPr>
          </w:p>
        </w:tc>
        <w:tc>
          <w:tcPr>
            <w:tcW w:w="480" w:type="dxa"/>
            <w:vAlign w:val="bottom"/>
          </w:tcPr>
          <w:p>
            <w:pPr>
              <w:jc w:val="right"/>
              <w:ind w:right="58"/>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1252DE"/>
              </w:rPr>
              <w:t>Period</w:t>
            </w:r>
          </w:p>
        </w:tc>
        <w:tc>
          <w:tcPr>
            <w:tcW w:w="0" w:type="dxa"/>
            <w:vAlign w:val="bottom"/>
          </w:tcPr>
          <w:p>
            <w:pPr>
              <w:spacing w:after="0"/>
              <w:rPr>
                <w:sz w:val="1"/>
                <w:szCs w:val="1"/>
                <w:color w:val="auto"/>
              </w:rPr>
            </w:pPr>
          </w:p>
        </w:tc>
      </w:tr>
      <w:tr>
        <w:trPr>
          <w:trHeight w:val="157"/>
        </w:trPr>
        <w:tc>
          <w:tcPr>
            <w:tcW w:w="2440" w:type="dxa"/>
            <w:vAlign w:val="bottom"/>
            <w:tcBorders>
              <w:top w:val="single" w:sz="8" w:color="1352DE"/>
            </w:tcBorders>
          </w:tcPr>
          <w:p>
            <w:pPr>
              <w:ind w:left="40"/>
              <w:spacing w:after="0"/>
              <w:rPr>
                <w:sz w:val="20"/>
                <w:szCs w:val="20"/>
                <w:color w:val="auto"/>
              </w:rPr>
            </w:pPr>
            <w:r>
              <w:rPr>
                <w:rFonts w:ascii="Arial" w:cs="Arial" w:eastAsia="Arial" w:hAnsi="Arial"/>
                <w:sz w:val="12"/>
                <w:szCs w:val="12"/>
                <w:b w:val="1"/>
                <w:bCs w:val="1"/>
                <w:color w:val="1252DE"/>
              </w:rPr>
              <w:t>Liabilities:</w:t>
            </w:r>
          </w:p>
        </w:tc>
        <w:tc>
          <w:tcPr>
            <w:tcW w:w="260" w:type="dxa"/>
            <w:vAlign w:val="bottom"/>
            <w:tcBorders>
              <w:top w:val="single" w:sz="8" w:color="1352DE"/>
            </w:tcBorders>
          </w:tcPr>
          <w:p>
            <w:pPr>
              <w:spacing w:after="0"/>
              <w:rPr>
                <w:sz w:val="13"/>
                <w:szCs w:val="13"/>
                <w:color w:val="auto"/>
              </w:rPr>
            </w:pPr>
          </w:p>
        </w:tc>
        <w:tc>
          <w:tcPr>
            <w:tcW w:w="620" w:type="dxa"/>
            <w:vAlign w:val="bottom"/>
            <w:tcBorders>
              <w:top w:val="single" w:sz="8" w:color="1352DE"/>
            </w:tcBorders>
          </w:tcPr>
          <w:p>
            <w:pPr>
              <w:spacing w:after="0"/>
              <w:rPr>
                <w:sz w:val="13"/>
                <w:szCs w:val="13"/>
                <w:color w:val="auto"/>
              </w:rPr>
            </w:pPr>
          </w:p>
        </w:tc>
        <w:tc>
          <w:tcPr>
            <w:tcW w:w="220" w:type="dxa"/>
            <w:vAlign w:val="bottom"/>
            <w:tcBorders>
              <w:top w:val="single" w:sz="8" w:color="1352DE"/>
            </w:tcBorders>
          </w:tcPr>
          <w:p>
            <w:pPr>
              <w:spacing w:after="0"/>
              <w:rPr>
                <w:sz w:val="13"/>
                <w:szCs w:val="13"/>
                <w:color w:val="auto"/>
              </w:rPr>
            </w:pPr>
          </w:p>
        </w:tc>
        <w:tc>
          <w:tcPr>
            <w:tcW w:w="114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90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620" w:type="dxa"/>
            <w:vAlign w:val="bottom"/>
            <w:tcBorders>
              <w:top w:val="single" w:sz="8" w:color="1352DE"/>
            </w:tcBorders>
          </w:tcPr>
          <w:p>
            <w:pPr>
              <w:spacing w:after="0"/>
              <w:rPr>
                <w:sz w:val="13"/>
                <w:szCs w:val="13"/>
                <w:color w:val="auto"/>
              </w:rPr>
            </w:pPr>
          </w:p>
        </w:tc>
        <w:tc>
          <w:tcPr>
            <w:tcW w:w="320" w:type="dxa"/>
            <w:vAlign w:val="bottom"/>
            <w:tcBorders>
              <w:top w:val="single" w:sz="8" w:color="1352DE"/>
            </w:tcBorders>
          </w:tcPr>
          <w:p>
            <w:pPr>
              <w:spacing w:after="0"/>
              <w:rPr>
                <w:sz w:val="13"/>
                <w:szCs w:val="13"/>
                <w:color w:val="auto"/>
              </w:rPr>
            </w:pPr>
          </w:p>
        </w:tc>
        <w:tc>
          <w:tcPr>
            <w:tcW w:w="500" w:type="dxa"/>
            <w:vAlign w:val="bottom"/>
            <w:tcBorders>
              <w:top w:val="single" w:sz="8" w:color="1352DE"/>
            </w:tcBorders>
          </w:tcPr>
          <w:p>
            <w:pPr>
              <w:spacing w:after="0"/>
              <w:rPr>
                <w:sz w:val="13"/>
                <w:szCs w:val="13"/>
                <w:color w:val="auto"/>
              </w:rPr>
            </w:pPr>
          </w:p>
        </w:tc>
        <w:tc>
          <w:tcPr>
            <w:tcW w:w="140" w:type="dxa"/>
            <w:vAlign w:val="bottom"/>
            <w:tcBorders>
              <w:top w:val="single" w:sz="8" w:color="1352DE"/>
            </w:tcBorders>
          </w:tcPr>
          <w:p>
            <w:pPr>
              <w:spacing w:after="0"/>
              <w:rPr>
                <w:sz w:val="13"/>
                <w:szCs w:val="13"/>
                <w:color w:val="auto"/>
              </w:rPr>
            </w:pPr>
          </w:p>
        </w:tc>
        <w:tc>
          <w:tcPr>
            <w:tcW w:w="60" w:type="dxa"/>
            <w:vAlign w:val="bottom"/>
            <w:tcBorders>
              <w:top w:val="single" w:sz="8" w:color="1352DE"/>
            </w:tcBorders>
          </w:tcPr>
          <w:p>
            <w:pPr>
              <w:spacing w:after="0"/>
              <w:rPr>
                <w:sz w:val="13"/>
                <w:szCs w:val="13"/>
                <w:color w:val="auto"/>
              </w:rPr>
            </w:pPr>
          </w:p>
        </w:tc>
        <w:tc>
          <w:tcPr>
            <w:tcW w:w="780" w:type="dxa"/>
            <w:vAlign w:val="bottom"/>
            <w:tcBorders>
              <w:top w:val="single" w:sz="8" w:color="1352DE"/>
            </w:tcBorders>
          </w:tcPr>
          <w:p>
            <w:pPr>
              <w:spacing w:after="0"/>
              <w:rPr>
                <w:sz w:val="13"/>
                <w:szCs w:val="13"/>
                <w:color w:val="auto"/>
              </w:rPr>
            </w:pPr>
          </w:p>
        </w:tc>
        <w:tc>
          <w:tcPr>
            <w:tcW w:w="180" w:type="dxa"/>
            <w:vAlign w:val="bottom"/>
            <w:tcBorders>
              <w:top w:val="single" w:sz="8" w:color="1352DE"/>
            </w:tcBorders>
          </w:tcPr>
          <w:p>
            <w:pPr>
              <w:spacing w:after="0"/>
              <w:rPr>
                <w:sz w:val="13"/>
                <w:szCs w:val="13"/>
                <w:color w:val="auto"/>
              </w:rPr>
            </w:pPr>
          </w:p>
        </w:tc>
        <w:tc>
          <w:tcPr>
            <w:tcW w:w="56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56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480" w:type="dxa"/>
            <w:vAlign w:val="bottom"/>
            <w:tcBorders>
              <w:top w:val="single" w:sz="8" w:color="1352DE"/>
            </w:tcBorders>
          </w:tcPr>
          <w:p>
            <w:pPr>
              <w:spacing w:after="0"/>
              <w:rPr>
                <w:sz w:val="13"/>
                <w:szCs w:val="13"/>
                <w:color w:val="auto"/>
              </w:rPr>
            </w:pPr>
          </w:p>
        </w:tc>
        <w:tc>
          <w:tcPr>
            <w:tcW w:w="200" w:type="dxa"/>
            <w:vAlign w:val="bottom"/>
            <w:tcBorders>
              <w:top w:val="single" w:sz="8" w:color="1352DE"/>
            </w:tcBorders>
          </w:tcPr>
          <w:p>
            <w:pPr>
              <w:spacing w:after="0"/>
              <w:rPr>
                <w:sz w:val="13"/>
                <w:szCs w:val="13"/>
                <w:color w:val="auto"/>
              </w:rPr>
            </w:pPr>
          </w:p>
        </w:tc>
        <w:tc>
          <w:tcPr>
            <w:tcW w:w="440" w:type="dxa"/>
            <w:vAlign w:val="bottom"/>
            <w:tcBorders>
              <w:top w:val="single" w:sz="8" w:color="1352D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140"/>
              <w:spacing w:after="0"/>
              <w:rPr>
                <w:sz w:val="20"/>
                <w:szCs w:val="20"/>
                <w:color w:val="auto"/>
              </w:rPr>
            </w:pPr>
            <w:r>
              <w:rPr>
                <w:rFonts w:ascii="Arial" w:cs="Arial" w:eastAsia="Arial" w:hAnsi="Arial"/>
                <w:sz w:val="12"/>
                <w:szCs w:val="12"/>
                <w:color w:val="auto"/>
              </w:rPr>
              <w:t>Fortitude Re funds withheld payable</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620" w:type="dxa"/>
            <w:vAlign w:val="bottom"/>
          </w:tcPr>
          <w:p>
            <w:pPr>
              <w:jc w:val="right"/>
              <w:ind w:right="61"/>
              <w:spacing w:after="0"/>
              <w:rPr>
                <w:sz w:val="20"/>
                <w:szCs w:val="20"/>
                <w:color w:val="auto"/>
              </w:rPr>
            </w:pPr>
            <w:r>
              <w:rPr>
                <w:rFonts w:ascii="Arial" w:cs="Arial" w:eastAsia="Arial" w:hAnsi="Arial"/>
                <w:sz w:val="13"/>
                <w:szCs w:val="13"/>
                <w:b w:val="1"/>
                <w:bCs w:val="1"/>
                <w:color w:val="1352DE"/>
              </w:rPr>
              <w:t>(92)</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1352DE"/>
              </w:rPr>
              <w:t>$</w:t>
            </w:r>
          </w:p>
        </w:tc>
        <w:tc>
          <w:tcPr>
            <w:tcW w:w="1140" w:type="dxa"/>
            <w:vAlign w:val="bottom"/>
          </w:tcPr>
          <w:p>
            <w:pPr>
              <w:jc w:val="right"/>
              <w:ind w:right="40"/>
              <w:spacing w:after="0"/>
              <w:rPr>
                <w:sz w:val="20"/>
                <w:szCs w:val="20"/>
                <w:color w:val="auto"/>
              </w:rPr>
            </w:pPr>
            <w:r>
              <w:rPr>
                <w:rFonts w:ascii="Arial" w:cs="Arial" w:eastAsia="Arial" w:hAnsi="Arial"/>
                <w:sz w:val="13"/>
                <w:szCs w:val="13"/>
                <w:b w:val="1"/>
                <w:bCs w:val="1"/>
                <w:color w:val="1352DE"/>
              </w:rPr>
              <w:t>(44)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900" w:type="dxa"/>
            <w:vAlign w:val="bottom"/>
          </w:tcPr>
          <w:p>
            <w:pPr>
              <w:jc w:val="right"/>
              <w:ind w:right="79"/>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620" w:type="dxa"/>
            <w:vAlign w:val="bottom"/>
          </w:tcPr>
          <w:p>
            <w:pPr>
              <w:jc w:val="right"/>
              <w:ind w:right="78"/>
              <w:spacing w:after="0"/>
              <w:rPr>
                <w:sz w:val="20"/>
                <w:szCs w:val="20"/>
                <w:color w:val="auto"/>
              </w:rPr>
            </w:pPr>
            <w:r>
              <w:rPr>
                <w:rFonts w:ascii="Arial" w:cs="Arial" w:eastAsia="Arial" w:hAnsi="Arial"/>
                <w:sz w:val="13"/>
                <w:szCs w:val="13"/>
                <w:b w:val="1"/>
                <w:bCs w:val="1"/>
                <w:color w:val="1352DE"/>
              </w:rPr>
              <w:t>—</w:t>
            </w:r>
          </w:p>
        </w:tc>
        <w:tc>
          <w:tcPr>
            <w:tcW w:w="320" w:type="dxa"/>
            <w:vAlign w:val="bottom"/>
          </w:tcPr>
          <w:p>
            <w:pPr>
              <w:jc w:val="right"/>
              <w:ind w:right="97"/>
              <w:spacing w:after="0"/>
              <w:rPr>
                <w:sz w:val="20"/>
                <w:szCs w:val="20"/>
                <w:color w:val="auto"/>
              </w:rPr>
            </w:pPr>
            <w:r>
              <w:rPr>
                <w:rFonts w:ascii="Arial" w:cs="Arial" w:eastAsia="Arial" w:hAnsi="Arial"/>
                <w:sz w:val="13"/>
                <w:szCs w:val="13"/>
                <w:b w:val="1"/>
                <w:bCs w:val="1"/>
                <w:color w:val="1352DE"/>
              </w:rPr>
              <w:t>$</w:t>
            </w:r>
          </w:p>
        </w:tc>
        <w:tc>
          <w:tcPr>
            <w:tcW w:w="500" w:type="dxa"/>
            <w:vAlign w:val="bottom"/>
          </w:tcPr>
          <w:p>
            <w:pPr>
              <w:jc w:val="right"/>
              <w:ind w:right="58"/>
              <w:spacing w:after="0"/>
              <w:rPr>
                <w:sz w:val="20"/>
                <w:szCs w:val="20"/>
                <w:color w:val="auto"/>
              </w:rPr>
            </w:pPr>
            <w:r>
              <w:rPr>
                <w:rFonts w:ascii="Arial" w:cs="Arial" w:eastAsia="Arial" w:hAnsi="Arial"/>
                <w:sz w:val="13"/>
                <w:szCs w:val="13"/>
                <w:b w:val="1"/>
                <w:bCs w:val="1"/>
                <w:color w:val="1352DE"/>
              </w:rPr>
              <w:t>—</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1352DE"/>
              </w:rPr>
              <w:t>$</w:t>
            </w:r>
          </w:p>
        </w:tc>
        <w:tc>
          <w:tcPr>
            <w:tcW w:w="780" w:type="dxa"/>
            <w:vAlign w:val="bottom"/>
          </w:tcPr>
          <w:p>
            <w:pPr>
              <w:jc w:val="right"/>
              <w:ind w:right="39"/>
              <w:spacing w:after="0"/>
              <w:rPr>
                <w:sz w:val="20"/>
                <w:szCs w:val="20"/>
                <w:color w:val="auto"/>
              </w:rPr>
            </w:pPr>
            <w:r>
              <w:rPr>
                <w:rFonts w:ascii="Arial" w:cs="Arial" w:eastAsia="Arial" w:hAnsi="Arial"/>
                <w:sz w:val="13"/>
                <w:szCs w:val="13"/>
                <w:b w:val="1"/>
                <w:bCs w:val="1"/>
                <w:color w:val="1352DE"/>
              </w:rPr>
              <w:t>(48)</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560" w:type="dxa"/>
            <w:vAlign w:val="bottom"/>
          </w:tcPr>
          <w:p>
            <w:pPr>
              <w:jc w:val="right"/>
              <w:ind w:right="59"/>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480" w:type="dxa"/>
            <w:vAlign w:val="bottom"/>
          </w:tcPr>
          <w:p>
            <w:pPr>
              <w:jc w:val="right"/>
              <w:ind w:right="118"/>
              <w:spacing w:after="0"/>
              <w:rPr>
                <w:sz w:val="20"/>
                <w:szCs w:val="20"/>
                <w:color w:val="auto"/>
              </w:rPr>
            </w:pPr>
            <w:r>
              <w:rPr>
                <w:rFonts w:ascii="Arial" w:cs="Arial" w:eastAsia="Arial" w:hAnsi="Arial"/>
                <w:sz w:val="13"/>
                <w:szCs w:val="13"/>
                <w:b w:val="1"/>
                <w:bCs w:val="1"/>
                <w:color w:val="1352DE"/>
              </w:rPr>
              <w:t>—</w:t>
            </w:r>
          </w:p>
        </w:tc>
        <w:tc>
          <w:tcPr>
            <w:tcW w:w="200" w:type="dxa"/>
            <w:vAlign w:val="bottom"/>
          </w:tcPr>
          <w:p>
            <w:pPr>
              <w:jc w:val="right"/>
              <w:ind w:right="17"/>
              <w:spacing w:after="0"/>
              <w:rPr>
                <w:sz w:val="20"/>
                <w:szCs w:val="20"/>
                <w:color w:val="auto"/>
              </w:rPr>
            </w:pPr>
            <w:r>
              <w:rPr>
                <w:rFonts w:ascii="Arial" w:cs="Arial" w:eastAsia="Arial" w:hAnsi="Arial"/>
                <w:sz w:val="13"/>
                <w:szCs w:val="13"/>
                <w:b w:val="1"/>
                <w:bCs w:val="1"/>
                <w:color w:val="1352DE"/>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1352DE"/>
              </w:rPr>
              <w:t>(184)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Other Liabilities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81"/>
              <w:spacing w:after="0"/>
              <w:rPr>
                <w:sz w:val="20"/>
                <w:szCs w:val="20"/>
                <w:color w:val="auto"/>
              </w:rPr>
            </w:pPr>
            <w:r>
              <w:rPr>
                <w:rFonts w:ascii="Arial" w:cs="Arial" w:eastAsia="Arial" w:hAnsi="Arial"/>
                <w:sz w:val="13"/>
                <w:szCs w:val="13"/>
                <w:b w:val="1"/>
                <w:bCs w:val="1"/>
                <w:color w:val="1352DE"/>
              </w:rPr>
              <w:t>73</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80"/>
              <w:spacing w:after="0"/>
              <w:rPr>
                <w:sz w:val="20"/>
                <w:szCs w:val="20"/>
                <w:color w:val="auto"/>
              </w:rPr>
            </w:pPr>
            <w:r>
              <w:rPr>
                <w:rFonts w:ascii="Arial" w:cs="Arial" w:eastAsia="Arial" w:hAnsi="Arial"/>
                <w:sz w:val="13"/>
                <w:szCs w:val="13"/>
                <w:b w:val="1"/>
                <w:bCs w:val="1"/>
                <w:color w:val="1352DE"/>
              </w:rPr>
              <w:t>8</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b w:val="1"/>
                <w:bCs w:val="1"/>
                <w:color w:val="1352DE"/>
              </w:rPr>
              <w:t>—</w:t>
            </w:r>
          </w:p>
        </w:tc>
        <w:tc>
          <w:tcPr>
            <w:tcW w:w="32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b w:val="1"/>
                <w:bCs w:val="1"/>
                <w:color w:val="1352DE"/>
              </w:rPr>
              <w:t>—</w:t>
            </w:r>
          </w:p>
        </w:tc>
        <w:tc>
          <w:tcPr>
            <w:tcW w:w="140" w:type="dxa"/>
            <w:vAlign w:val="bottom"/>
            <w:tcBorders>
              <w:bottom w:val="single" w:sz="8" w:color="1352DE"/>
            </w:tcBorders>
          </w:tcPr>
          <w:p>
            <w:pPr>
              <w:spacing w:after="0"/>
              <w:rPr>
                <w:sz w:val="15"/>
                <w:szCs w:val="15"/>
                <w:color w:val="auto"/>
              </w:rPr>
            </w:pPr>
          </w:p>
        </w:tc>
        <w:tc>
          <w:tcPr>
            <w:tcW w:w="6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b w:val="1"/>
                <w:bCs w:val="1"/>
                <w:color w:val="1352DE"/>
              </w:rPr>
              <w:t>—</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5"/>
                <w:szCs w:val="15"/>
                <w:color w:val="auto"/>
              </w:rPr>
            </w:pPr>
          </w:p>
        </w:tc>
        <w:tc>
          <w:tcPr>
            <w:tcW w:w="480" w:type="dxa"/>
            <w:vAlign w:val="bottom"/>
            <w:tcBorders>
              <w:bottom w:val="single" w:sz="8" w:color="1352DE"/>
            </w:tcBorders>
          </w:tcPr>
          <w:p>
            <w:pPr>
              <w:jc w:val="right"/>
              <w:ind w:right="118"/>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3051F2"/>
            </w:tcBorders>
          </w:tcPr>
          <w:p>
            <w:pPr>
              <w:ind w:left="20"/>
              <w:spacing w:after="0"/>
              <w:rPr>
                <w:sz w:val="20"/>
                <w:szCs w:val="20"/>
                <w:color w:val="auto"/>
              </w:rPr>
            </w:pPr>
            <w:r>
              <w:rPr>
                <w:rFonts w:ascii="Arial" w:cs="Arial" w:eastAsia="Arial" w:hAnsi="Arial"/>
                <w:sz w:val="12"/>
                <w:szCs w:val="12"/>
                <w:b w:val="1"/>
                <w:bCs w:val="1"/>
                <w:color w:val="1252DE"/>
              </w:rPr>
              <w:t>Total</w:t>
            </w:r>
          </w:p>
        </w:tc>
        <w:tc>
          <w:tcPr>
            <w:tcW w:w="26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620" w:type="dxa"/>
            <w:vAlign w:val="bottom"/>
            <w:tcBorders>
              <w:bottom w:val="single" w:sz="8" w:color="3051F2"/>
            </w:tcBorders>
          </w:tcPr>
          <w:p>
            <w:pPr>
              <w:jc w:val="right"/>
              <w:ind w:right="61"/>
              <w:spacing w:after="0"/>
              <w:rPr>
                <w:sz w:val="20"/>
                <w:szCs w:val="20"/>
                <w:color w:val="auto"/>
              </w:rPr>
            </w:pPr>
            <w:r>
              <w:rPr>
                <w:rFonts w:ascii="Arial" w:cs="Arial" w:eastAsia="Arial" w:hAnsi="Arial"/>
                <w:sz w:val="13"/>
                <w:szCs w:val="13"/>
                <w:b w:val="1"/>
                <w:bCs w:val="1"/>
                <w:color w:val="1352DE"/>
              </w:rPr>
              <w:t>(19)</w:t>
            </w:r>
          </w:p>
        </w:tc>
        <w:tc>
          <w:tcPr>
            <w:tcW w:w="220" w:type="dxa"/>
            <w:vAlign w:val="bottom"/>
            <w:tcBorders>
              <w:bottom w:val="single" w:sz="8" w:color="3051F2"/>
            </w:tcBorders>
          </w:tcPr>
          <w:p>
            <w:pPr>
              <w:jc w:val="right"/>
              <w:ind w:right="17"/>
              <w:spacing w:after="0"/>
              <w:rPr>
                <w:sz w:val="20"/>
                <w:szCs w:val="20"/>
                <w:color w:val="auto"/>
              </w:rPr>
            </w:pPr>
            <w:r>
              <w:rPr>
                <w:rFonts w:ascii="Arial" w:cs="Arial" w:eastAsia="Arial" w:hAnsi="Arial"/>
                <w:sz w:val="13"/>
                <w:szCs w:val="13"/>
                <w:b w:val="1"/>
                <w:bCs w:val="1"/>
                <w:color w:val="1352DE"/>
              </w:rPr>
              <w:t>$</w:t>
            </w:r>
          </w:p>
        </w:tc>
        <w:tc>
          <w:tcPr>
            <w:tcW w:w="1140" w:type="dxa"/>
            <w:vAlign w:val="bottom"/>
            <w:tcBorders>
              <w:bottom w:val="single" w:sz="8" w:color="3051F2"/>
            </w:tcBorders>
          </w:tcPr>
          <w:p>
            <w:pPr>
              <w:jc w:val="right"/>
              <w:ind w:right="40"/>
              <w:spacing w:after="0"/>
              <w:rPr>
                <w:sz w:val="20"/>
                <w:szCs w:val="20"/>
                <w:color w:val="auto"/>
              </w:rPr>
            </w:pPr>
            <w:r>
              <w:rPr>
                <w:rFonts w:ascii="Arial" w:cs="Arial" w:eastAsia="Arial" w:hAnsi="Arial"/>
                <w:sz w:val="13"/>
                <w:szCs w:val="13"/>
                <w:b w:val="1"/>
                <w:bCs w:val="1"/>
                <w:color w:val="1352DE"/>
              </w:rPr>
              <w:t>(36)</w:t>
            </w:r>
          </w:p>
        </w:tc>
        <w:tc>
          <w:tcPr>
            <w:tcW w:w="2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900" w:type="dxa"/>
            <w:vAlign w:val="bottom"/>
            <w:tcBorders>
              <w:bottom w:val="single" w:sz="8" w:color="3051F2"/>
            </w:tcBorders>
          </w:tcPr>
          <w:p>
            <w:pPr>
              <w:jc w:val="right"/>
              <w:ind w:right="79"/>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620" w:type="dxa"/>
            <w:vAlign w:val="bottom"/>
            <w:tcBorders>
              <w:bottom w:val="single" w:sz="8" w:color="3051F2"/>
            </w:tcBorders>
          </w:tcPr>
          <w:p>
            <w:pPr>
              <w:jc w:val="right"/>
              <w:ind w:right="78"/>
              <w:spacing w:after="0"/>
              <w:rPr>
                <w:sz w:val="20"/>
                <w:szCs w:val="20"/>
                <w:color w:val="auto"/>
              </w:rPr>
            </w:pPr>
            <w:r>
              <w:rPr>
                <w:rFonts w:ascii="Arial" w:cs="Arial" w:eastAsia="Arial" w:hAnsi="Arial"/>
                <w:sz w:val="13"/>
                <w:szCs w:val="13"/>
                <w:b w:val="1"/>
                <w:bCs w:val="1"/>
                <w:color w:val="1352DE"/>
              </w:rPr>
              <w:t>—</w:t>
            </w:r>
          </w:p>
        </w:tc>
        <w:tc>
          <w:tcPr>
            <w:tcW w:w="320" w:type="dxa"/>
            <w:vAlign w:val="bottom"/>
            <w:tcBorders>
              <w:bottom w:val="single" w:sz="8" w:color="3051F2"/>
            </w:tcBorders>
          </w:tcPr>
          <w:p>
            <w:pPr>
              <w:jc w:val="right"/>
              <w:ind w:right="97"/>
              <w:spacing w:after="0"/>
              <w:rPr>
                <w:sz w:val="20"/>
                <w:szCs w:val="20"/>
                <w:color w:val="auto"/>
              </w:rPr>
            </w:pPr>
            <w:r>
              <w:rPr>
                <w:rFonts w:ascii="Arial" w:cs="Arial" w:eastAsia="Arial" w:hAnsi="Arial"/>
                <w:sz w:val="13"/>
                <w:szCs w:val="13"/>
                <w:b w:val="1"/>
                <w:bCs w:val="1"/>
                <w:color w:val="1352DE"/>
              </w:rPr>
              <w:t>$</w:t>
            </w:r>
          </w:p>
        </w:tc>
        <w:tc>
          <w:tcPr>
            <w:tcW w:w="500" w:type="dxa"/>
            <w:vAlign w:val="bottom"/>
            <w:tcBorders>
              <w:bottom w:val="single" w:sz="8" w:color="3051F2"/>
            </w:tcBorders>
          </w:tcPr>
          <w:p>
            <w:pPr>
              <w:jc w:val="right"/>
              <w:ind w:right="58"/>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3051F2"/>
            </w:tcBorders>
            <w:gridSpan w:val="2"/>
          </w:tcPr>
          <w:p>
            <w:pPr>
              <w:jc w:val="right"/>
              <w:ind w:right="40"/>
              <w:spacing w:after="0"/>
              <w:rPr>
                <w:sz w:val="20"/>
                <w:szCs w:val="20"/>
                <w:color w:val="auto"/>
              </w:rPr>
            </w:pPr>
            <w:r>
              <w:rPr>
                <w:rFonts w:ascii="Arial" w:cs="Arial" w:eastAsia="Arial" w:hAnsi="Arial"/>
                <w:sz w:val="13"/>
                <w:szCs w:val="13"/>
                <w:b w:val="1"/>
                <w:bCs w:val="1"/>
                <w:color w:val="1352DE"/>
              </w:rPr>
              <w:t>$</w:t>
            </w:r>
          </w:p>
        </w:tc>
        <w:tc>
          <w:tcPr>
            <w:tcW w:w="780" w:type="dxa"/>
            <w:vAlign w:val="bottom"/>
            <w:tcBorders>
              <w:bottom w:val="single" w:sz="8" w:color="3051F2"/>
            </w:tcBorders>
          </w:tcPr>
          <w:p>
            <w:pPr>
              <w:jc w:val="right"/>
              <w:ind w:right="39"/>
              <w:spacing w:after="0"/>
              <w:rPr>
                <w:sz w:val="20"/>
                <w:szCs w:val="20"/>
                <w:color w:val="auto"/>
              </w:rPr>
            </w:pPr>
            <w:r>
              <w:rPr>
                <w:rFonts w:ascii="Arial" w:cs="Arial" w:eastAsia="Arial" w:hAnsi="Arial"/>
                <w:sz w:val="13"/>
                <w:szCs w:val="13"/>
                <w:b w:val="1"/>
                <w:bCs w:val="1"/>
                <w:color w:val="1352DE"/>
              </w:rPr>
              <w:t>(48)</w:t>
            </w: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560" w:type="dxa"/>
            <w:vAlign w:val="bottom"/>
            <w:tcBorders>
              <w:bottom w:val="single" w:sz="8" w:color="3051F2"/>
            </w:tcBorders>
          </w:tcPr>
          <w:p>
            <w:pPr>
              <w:jc w:val="right"/>
              <w:ind w:right="59"/>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560" w:type="dxa"/>
            <w:vAlign w:val="bottom"/>
            <w:tcBorders>
              <w:bottom w:val="single" w:sz="8" w:color="3051F2"/>
            </w:tcBorders>
          </w:tcPr>
          <w:p>
            <w:pPr>
              <w:jc w:val="right"/>
              <w:ind w:right="59"/>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480" w:type="dxa"/>
            <w:vAlign w:val="bottom"/>
            <w:tcBorders>
              <w:bottom w:val="single" w:sz="8" w:color="3051F2"/>
            </w:tcBorders>
          </w:tcPr>
          <w:p>
            <w:pPr>
              <w:jc w:val="right"/>
              <w:ind w:right="118"/>
              <w:spacing w:after="0"/>
              <w:rPr>
                <w:sz w:val="20"/>
                <w:szCs w:val="20"/>
                <w:color w:val="auto"/>
              </w:rPr>
            </w:pPr>
            <w:r>
              <w:rPr>
                <w:rFonts w:ascii="Arial" w:cs="Arial" w:eastAsia="Arial" w:hAnsi="Arial"/>
                <w:sz w:val="13"/>
                <w:szCs w:val="13"/>
                <w:b w:val="1"/>
                <w:bCs w:val="1"/>
                <w:color w:val="1352DE"/>
              </w:rPr>
              <w:t>—</w:t>
            </w:r>
          </w:p>
        </w:tc>
        <w:tc>
          <w:tcPr>
            <w:tcW w:w="200" w:type="dxa"/>
            <w:vAlign w:val="bottom"/>
            <w:tcBorders>
              <w:bottom w:val="single" w:sz="8" w:color="3051F2"/>
            </w:tcBorders>
          </w:tcPr>
          <w:p>
            <w:pPr>
              <w:jc w:val="right"/>
              <w:ind w:right="17"/>
              <w:spacing w:after="0"/>
              <w:rPr>
                <w:sz w:val="20"/>
                <w:szCs w:val="20"/>
                <w:color w:val="auto"/>
              </w:rPr>
            </w:pPr>
            <w:r>
              <w:rPr>
                <w:rFonts w:ascii="Arial" w:cs="Arial" w:eastAsia="Arial" w:hAnsi="Arial"/>
                <w:sz w:val="13"/>
                <w:szCs w:val="13"/>
                <w:b w:val="1"/>
                <w:bCs w:val="1"/>
                <w:color w:val="1352DE"/>
              </w:rPr>
              <w:t>$</w:t>
            </w:r>
          </w:p>
        </w:tc>
        <w:tc>
          <w:tcPr>
            <w:tcW w:w="44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8"/>
        </w:trPr>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001770"/>
            </w:tcBorders>
          </w:tcPr>
          <w:p>
            <w:pPr>
              <w:spacing w:after="0"/>
              <w:rPr>
                <w:sz w:val="24"/>
                <w:szCs w:val="24"/>
                <w:color w:val="auto"/>
              </w:rPr>
            </w:pPr>
          </w:p>
        </w:tc>
        <w:tc>
          <w:tcPr>
            <w:tcW w:w="780" w:type="dxa"/>
            <w:vAlign w:val="bottom"/>
            <w:tcBorders>
              <w:bottom w:val="single" w:sz="8" w:color="001770"/>
            </w:tcBorders>
          </w:tcPr>
          <w:p>
            <w:pPr>
              <w:spacing w:after="0"/>
              <w:rPr>
                <w:sz w:val="24"/>
                <w:szCs w:val="24"/>
                <w:color w:val="auto"/>
              </w:rPr>
            </w:pPr>
          </w:p>
        </w:tc>
        <w:tc>
          <w:tcPr>
            <w:tcW w:w="180" w:type="dxa"/>
            <w:vAlign w:val="bottom"/>
            <w:tcBorders>
              <w:bottom w:val="single" w:sz="8" w:color="001770"/>
            </w:tcBorders>
          </w:tcPr>
          <w:p>
            <w:pPr>
              <w:spacing w:after="0"/>
              <w:rPr>
                <w:sz w:val="24"/>
                <w:szCs w:val="24"/>
                <w:color w:val="auto"/>
              </w:rPr>
            </w:pPr>
          </w:p>
        </w:tc>
        <w:tc>
          <w:tcPr>
            <w:tcW w:w="2000" w:type="dxa"/>
            <w:vAlign w:val="bottom"/>
            <w:tcBorders>
              <w:bottom w:val="single" w:sz="8" w:color="001770"/>
            </w:tcBorders>
            <w:gridSpan w:val="5"/>
          </w:tcPr>
          <w:p>
            <w:pPr>
              <w:spacing w:after="0"/>
              <w:rPr>
                <w:sz w:val="24"/>
                <w:szCs w:val="24"/>
                <w:color w:val="auto"/>
              </w:rPr>
            </w:pPr>
          </w:p>
        </w:tc>
        <w:tc>
          <w:tcPr>
            <w:tcW w:w="200" w:type="dxa"/>
            <w:vAlign w:val="bottom"/>
            <w:tcBorders>
              <w:bottom w:val="single" w:sz="8" w:color="001770"/>
            </w:tcBorders>
          </w:tcPr>
          <w:p>
            <w:pPr>
              <w:spacing w:after="0"/>
              <w:rPr>
                <w:sz w:val="24"/>
                <w:szCs w:val="24"/>
                <w:color w:val="auto"/>
              </w:rPr>
            </w:pPr>
          </w:p>
        </w:tc>
        <w:tc>
          <w:tcPr>
            <w:tcW w:w="440" w:type="dxa"/>
            <w:vAlign w:val="bottom"/>
            <w:tcBorders>
              <w:bottom w:val="single" w:sz="8" w:color="001770"/>
            </w:tcBorders>
          </w:tcPr>
          <w:p>
            <w:pPr>
              <w:spacing w:after="0"/>
              <w:rPr>
                <w:sz w:val="24"/>
                <w:szCs w:val="24"/>
                <w:color w:val="auto"/>
              </w:rPr>
            </w:pPr>
          </w:p>
        </w:tc>
        <w:tc>
          <w:tcPr>
            <w:tcW w:w="20" w:type="dxa"/>
            <w:vAlign w:val="bottom"/>
            <w:tcBorders>
              <w:bottom w:val="single" w:sz="8" w:color="001770"/>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right"/>
              <w:spacing w:after="0"/>
              <w:rPr>
                <w:sz w:val="20"/>
                <w:szCs w:val="20"/>
                <w:color w:val="auto"/>
              </w:rPr>
            </w:pPr>
            <w:r>
              <w:rPr>
                <w:rFonts w:ascii="Arial" w:cs="Arial" w:eastAsia="Arial" w:hAnsi="Arial"/>
                <w:sz w:val="12"/>
                <w:szCs w:val="12"/>
                <w:color w:val="auto"/>
                <w:w w:val="99"/>
              </w:rPr>
              <w:t>AIG | Third Quarter 2026 Form 10-Q</w:t>
            </w: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4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4. Fair Value Measurements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440" w:type="dxa"/>
            <w:vAlign w:val="bottom"/>
            <w:tcBorders>
              <w:top w:val="single" w:sz="8" w:color="1352DE"/>
            </w:tcBorders>
          </w:tcPr>
          <w:p>
            <w:pPr>
              <w:spacing w:after="0"/>
              <w:rPr>
                <w:sz w:val="10"/>
                <w:szCs w:val="10"/>
                <w:color w:val="auto"/>
              </w:rPr>
            </w:pPr>
          </w:p>
        </w:tc>
        <w:tc>
          <w:tcPr>
            <w:tcW w:w="260" w:type="dxa"/>
            <w:vAlign w:val="bottom"/>
            <w:tcBorders>
              <w:top w:val="single" w:sz="8" w:color="1352DE"/>
            </w:tcBorders>
          </w:tcPr>
          <w:p>
            <w:pPr>
              <w:spacing w:after="0"/>
              <w:rPr>
                <w:sz w:val="10"/>
                <w:szCs w:val="10"/>
                <w:color w:val="auto"/>
              </w:rPr>
            </w:pPr>
          </w:p>
        </w:tc>
        <w:tc>
          <w:tcPr>
            <w:tcW w:w="620" w:type="dxa"/>
            <w:vAlign w:val="bottom"/>
            <w:tcBorders>
              <w:top w:val="single" w:sz="8" w:color="1352DE"/>
            </w:tcBorders>
            <w:vMerge w:val="restart"/>
          </w:tcPr>
          <w:p>
            <w:pPr>
              <w:jc w:val="right"/>
              <w:ind w:right="19"/>
              <w:spacing w:after="0"/>
              <w:rPr>
                <w:sz w:val="20"/>
                <w:szCs w:val="20"/>
                <w:color w:val="auto"/>
              </w:rPr>
            </w:pPr>
            <w:r>
              <w:rPr>
                <w:rFonts w:ascii="Arial" w:cs="Arial" w:eastAsia="Arial" w:hAnsi="Arial"/>
                <w:sz w:val="11"/>
                <w:szCs w:val="11"/>
                <w:color w:val="1252DE"/>
              </w:rPr>
              <w:t>Fair Value</w:t>
            </w:r>
          </w:p>
        </w:tc>
        <w:tc>
          <w:tcPr>
            <w:tcW w:w="220" w:type="dxa"/>
            <w:vAlign w:val="bottom"/>
            <w:tcBorders>
              <w:top w:val="single" w:sz="8" w:color="1352DE"/>
            </w:tcBorders>
          </w:tcPr>
          <w:p>
            <w:pPr>
              <w:spacing w:after="0"/>
              <w:rPr>
                <w:sz w:val="10"/>
                <w:szCs w:val="10"/>
                <w:color w:val="auto"/>
              </w:rPr>
            </w:pPr>
          </w:p>
        </w:tc>
        <w:tc>
          <w:tcPr>
            <w:tcW w:w="1140" w:type="dxa"/>
            <w:vAlign w:val="bottom"/>
            <w:tcBorders>
              <w:top w:val="single" w:sz="8" w:color="1352DE"/>
            </w:tcBorders>
          </w:tcPr>
          <w:p>
            <w:pPr>
              <w:jc w:val="right"/>
              <w:ind w:right="20"/>
              <w:spacing w:after="0" w:line="122" w:lineRule="exact"/>
              <w:rPr>
                <w:sz w:val="20"/>
                <w:szCs w:val="20"/>
                <w:color w:val="auto"/>
              </w:rPr>
            </w:pPr>
            <w:r>
              <w:rPr>
                <w:rFonts w:ascii="Arial" w:cs="Arial" w:eastAsia="Arial" w:hAnsi="Arial"/>
                <w:sz w:val="11"/>
                <w:szCs w:val="11"/>
                <w:color w:val="1252DE"/>
              </w:rPr>
              <w:t>Net Realized</w:t>
            </w:r>
          </w:p>
        </w:tc>
        <w:tc>
          <w:tcPr>
            <w:tcW w:w="200" w:type="dxa"/>
            <w:vAlign w:val="bottom"/>
            <w:tcBorders>
              <w:top w:val="single" w:sz="8" w:color="1352DE"/>
            </w:tcBorders>
          </w:tcPr>
          <w:p>
            <w:pPr>
              <w:spacing w:after="0"/>
              <w:rPr>
                <w:sz w:val="10"/>
                <w:szCs w:val="10"/>
                <w:color w:val="auto"/>
              </w:rPr>
            </w:pPr>
          </w:p>
        </w:tc>
        <w:tc>
          <w:tcPr>
            <w:tcW w:w="900" w:type="dxa"/>
            <w:vAlign w:val="bottom"/>
            <w:tcBorders>
              <w:top w:val="single" w:sz="8" w:color="1352DE"/>
            </w:tcBorders>
            <w:vMerge w:val="restart"/>
          </w:tcPr>
          <w:p>
            <w:pPr>
              <w:jc w:val="right"/>
              <w:ind w:right="19"/>
              <w:spacing w:after="0"/>
              <w:rPr>
                <w:sz w:val="20"/>
                <w:szCs w:val="20"/>
                <w:color w:val="auto"/>
              </w:rPr>
            </w:pPr>
            <w:r>
              <w:rPr>
                <w:rFonts w:ascii="Arial" w:cs="Arial" w:eastAsia="Arial" w:hAnsi="Arial"/>
                <w:sz w:val="11"/>
                <w:szCs w:val="11"/>
                <w:color w:val="1252DE"/>
              </w:rPr>
              <w:t>Other</w:t>
            </w:r>
          </w:p>
        </w:tc>
        <w:tc>
          <w:tcPr>
            <w:tcW w:w="200" w:type="dxa"/>
            <w:vAlign w:val="bottom"/>
            <w:tcBorders>
              <w:top w:val="single" w:sz="8" w:color="1352DE"/>
            </w:tcBorders>
          </w:tcPr>
          <w:p>
            <w:pPr>
              <w:spacing w:after="0"/>
              <w:rPr>
                <w:sz w:val="10"/>
                <w:szCs w:val="10"/>
                <w:color w:val="auto"/>
              </w:rPr>
            </w:pPr>
          </w:p>
        </w:tc>
        <w:tc>
          <w:tcPr>
            <w:tcW w:w="620" w:type="dxa"/>
            <w:vAlign w:val="bottom"/>
            <w:tcBorders>
              <w:top w:val="single" w:sz="8" w:color="1352DE"/>
            </w:tcBorders>
          </w:tcPr>
          <w:p>
            <w:pPr>
              <w:spacing w:after="0"/>
              <w:rPr>
                <w:sz w:val="10"/>
                <w:szCs w:val="10"/>
                <w:color w:val="auto"/>
              </w:rPr>
            </w:pPr>
          </w:p>
        </w:tc>
        <w:tc>
          <w:tcPr>
            <w:tcW w:w="300" w:type="dxa"/>
            <w:vAlign w:val="bottom"/>
            <w:tcBorders>
              <w:top w:val="single" w:sz="8" w:color="1352DE"/>
            </w:tcBorders>
          </w:tcPr>
          <w:p>
            <w:pPr>
              <w:spacing w:after="0"/>
              <w:rPr>
                <w:sz w:val="10"/>
                <w:szCs w:val="10"/>
                <w:color w:val="auto"/>
              </w:rPr>
            </w:pPr>
          </w:p>
        </w:tc>
        <w:tc>
          <w:tcPr>
            <w:tcW w:w="520" w:type="dxa"/>
            <w:vAlign w:val="bottom"/>
            <w:tcBorders>
              <w:top w:val="single" w:sz="8" w:color="1352DE"/>
            </w:tcBorders>
          </w:tcPr>
          <w:p>
            <w:pPr>
              <w:spacing w:after="0"/>
              <w:rPr>
                <w:sz w:val="10"/>
                <w:szCs w:val="10"/>
                <w:color w:val="auto"/>
              </w:rPr>
            </w:pPr>
          </w:p>
        </w:tc>
        <w:tc>
          <w:tcPr>
            <w:tcW w:w="200" w:type="dxa"/>
            <w:vAlign w:val="bottom"/>
            <w:tcBorders>
              <w:top w:val="single" w:sz="8" w:color="1352DE"/>
            </w:tcBorders>
          </w:tcPr>
          <w:p>
            <w:pPr>
              <w:spacing w:after="0"/>
              <w:rPr>
                <w:sz w:val="10"/>
                <w:szCs w:val="10"/>
                <w:color w:val="auto"/>
              </w:rPr>
            </w:pPr>
          </w:p>
        </w:tc>
        <w:tc>
          <w:tcPr>
            <w:tcW w:w="780" w:type="dxa"/>
            <w:vAlign w:val="bottom"/>
            <w:tcBorders>
              <w:top w:val="single" w:sz="8" w:color="1352DE"/>
            </w:tcBorders>
            <w:vMerge w:val="restart"/>
          </w:tcPr>
          <w:p>
            <w:pPr>
              <w:jc w:val="right"/>
              <w:ind w:right="39"/>
              <w:spacing w:after="0"/>
              <w:rPr>
                <w:sz w:val="20"/>
                <w:szCs w:val="20"/>
                <w:color w:val="auto"/>
              </w:rPr>
            </w:pPr>
            <w:r>
              <w:rPr>
                <w:rFonts w:ascii="Arial" w:cs="Arial" w:eastAsia="Arial" w:hAnsi="Arial"/>
                <w:sz w:val="11"/>
                <w:szCs w:val="11"/>
                <w:color w:val="1252DE"/>
              </w:rPr>
              <w:t>Issuances</w:t>
            </w:r>
          </w:p>
        </w:tc>
        <w:tc>
          <w:tcPr>
            <w:tcW w:w="180" w:type="dxa"/>
            <w:vAlign w:val="bottom"/>
            <w:tcBorders>
              <w:top w:val="single" w:sz="8" w:color="1352DE"/>
            </w:tcBorders>
          </w:tcPr>
          <w:p>
            <w:pPr>
              <w:spacing w:after="0"/>
              <w:rPr>
                <w:sz w:val="10"/>
                <w:szCs w:val="10"/>
                <w:color w:val="auto"/>
              </w:rPr>
            </w:pPr>
          </w:p>
        </w:tc>
        <w:tc>
          <w:tcPr>
            <w:tcW w:w="560" w:type="dxa"/>
            <w:vAlign w:val="bottom"/>
            <w:tcBorders>
              <w:top w:val="single" w:sz="8" w:color="1352DE"/>
            </w:tcBorders>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Borders>
              <w:top w:val="single" w:sz="8" w:color="1352DE"/>
            </w:tcBorders>
          </w:tcPr>
          <w:p>
            <w:pPr>
              <w:spacing w:after="0"/>
              <w:rPr>
                <w:sz w:val="10"/>
                <w:szCs w:val="10"/>
                <w:color w:val="auto"/>
              </w:rPr>
            </w:pPr>
          </w:p>
        </w:tc>
        <w:tc>
          <w:tcPr>
            <w:tcW w:w="560" w:type="dxa"/>
            <w:vAlign w:val="bottom"/>
            <w:tcBorders>
              <w:top w:val="single" w:sz="8" w:color="1352DE"/>
            </w:tcBorders>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20" w:type="dxa"/>
            <w:vAlign w:val="bottom"/>
            <w:tcBorders>
              <w:top w:val="single" w:sz="8" w:color="1352DE"/>
            </w:tcBorders>
          </w:tcPr>
          <w:p>
            <w:pPr>
              <w:spacing w:after="0"/>
              <w:rPr>
                <w:sz w:val="10"/>
                <w:szCs w:val="10"/>
                <w:color w:val="auto"/>
              </w:rPr>
            </w:pPr>
          </w:p>
        </w:tc>
        <w:tc>
          <w:tcPr>
            <w:tcW w:w="420" w:type="dxa"/>
            <w:vAlign w:val="bottom"/>
            <w:tcBorders>
              <w:top w:val="single" w:sz="8" w:color="1352DE"/>
            </w:tcBorders>
          </w:tcPr>
          <w:p>
            <w:pPr>
              <w:spacing w:after="0"/>
              <w:rPr>
                <w:sz w:val="10"/>
                <w:szCs w:val="10"/>
                <w:color w:val="auto"/>
              </w:rPr>
            </w:pPr>
          </w:p>
        </w:tc>
        <w:tc>
          <w:tcPr>
            <w:tcW w:w="240" w:type="dxa"/>
            <w:vAlign w:val="bottom"/>
            <w:tcBorders>
              <w:top w:val="single" w:sz="8" w:color="1352DE"/>
            </w:tcBorders>
          </w:tcPr>
          <w:p>
            <w:pPr>
              <w:spacing w:after="0"/>
              <w:rPr>
                <w:sz w:val="10"/>
                <w:szCs w:val="10"/>
                <w:color w:val="auto"/>
              </w:rPr>
            </w:pPr>
          </w:p>
        </w:tc>
        <w:tc>
          <w:tcPr>
            <w:tcW w:w="440" w:type="dxa"/>
            <w:vAlign w:val="bottom"/>
            <w:tcBorders>
              <w:top w:val="single" w:sz="8" w:color="1352DE"/>
            </w:tcBorders>
          </w:tcPr>
          <w:p>
            <w:pPr>
              <w:jc w:val="right"/>
              <w:spacing w:after="0" w:line="122" w:lineRule="exact"/>
              <w:rPr>
                <w:sz w:val="20"/>
                <w:szCs w:val="20"/>
                <w:color w:val="auto"/>
              </w:rPr>
            </w:pPr>
            <w:r>
              <w:rPr>
                <w:rFonts w:ascii="Arial" w:cs="Arial" w:eastAsia="Arial" w:hAnsi="Arial"/>
                <w:sz w:val="11"/>
                <w:szCs w:val="11"/>
                <w:color w:val="1252DE"/>
              </w:rPr>
              <w:t>Fair</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and Unrealized</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1252DE"/>
              </w:rPr>
              <w:t>Value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Beginning</w:t>
            </w:r>
          </w:p>
        </w:tc>
        <w:tc>
          <w:tcPr>
            <w:tcW w:w="220" w:type="dxa"/>
            <w:vAlign w:val="bottom"/>
          </w:tcPr>
          <w:p>
            <w:pPr>
              <w:spacing w:after="0"/>
              <w:rPr>
                <w:sz w:val="9"/>
                <w:szCs w:val="9"/>
                <w:color w:val="auto"/>
              </w:rPr>
            </w:pPr>
          </w:p>
        </w:tc>
        <w:tc>
          <w:tcPr>
            <w:tcW w:w="1140" w:type="dxa"/>
            <w:vAlign w:val="bottom"/>
          </w:tcPr>
          <w:p>
            <w:pPr>
              <w:jc w:val="right"/>
              <w:ind w:right="20"/>
              <w:spacing w:after="0" w:line="108" w:lineRule="exact"/>
              <w:rPr>
                <w:sz w:val="20"/>
                <w:szCs w:val="20"/>
                <w:color w:val="auto"/>
              </w:rPr>
            </w:pPr>
            <w:r>
              <w:rPr>
                <w:rFonts w:ascii="Arial" w:cs="Arial" w:eastAsia="Arial" w:hAnsi="Arial"/>
                <w:sz w:val="11"/>
                <w:szCs w:val="11"/>
                <w:color w:val="1252DE"/>
              </w:rPr>
              <w:t>Gains (Losses)</w:t>
            </w:r>
          </w:p>
        </w:tc>
        <w:tc>
          <w:tcPr>
            <w:tcW w:w="200" w:type="dxa"/>
            <w:vAlign w:val="bottom"/>
          </w:tcPr>
          <w:p>
            <w:pPr>
              <w:spacing w:after="0"/>
              <w:rPr>
                <w:sz w:val="9"/>
                <w:szCs w:val="9"/>
                <w:color w:val="auto"/>
              </w:rPr>
            </w:pPr>
          </w:p>
        </w:tc>
        <w:tc>
          <w:tcPr>
            <w:tcW w:w="900" w:type="dxa"/>
            <w:vAlign w:val="bottom"/>
          </w:tcPr>
          <w:p>
            <w:pPr>
              <w:jc w:val="right"/>
              <w:ind w:right="19"/>
              <w:spacing w:after="0" w:line="108" w:lineRule="exact"/>
              <w:rPr>
                <w:sz w:val="20"/>
                <w:szCs w:val="20"/>
                <w:color w:val="auto"/>
              </w:rPr>
            </w:pPr>
            <w:r>
              <w:rPr>
                <w:rFonts w:ascii="Arial" w:cs="Arial" w:eastAsia="Arial" w:hAnsi="Arial"/>
                <w:sz w:val="11"/>
                <w:szCs w:val="11"/>
                <w:color w:val="1252DE"/>
              </w:rPr>
              <w:t>Comprehensive</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and</w:t>
            </w:r>
          </w:p>
        </w:tc>
        <w:tc>
          <w:tcPr>
            <w:tcW w:w="18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1252DE"/>
              </w:rPr>
              <w:t>End of</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1352DE"/>
            </w:tcBorders>
          </w:tcPr>
          <w:p>
            <w:pPr>
              <w:ind w:left="40"/>
              <w:spacing w:after="0"/>
              <w:rPr>
                <w:sz w:val="20"/>
                <w:szCs w:val="20"/>
                <w:color w:val="auto"/>
              </w:rPr>
            </w:pPr>
            <w:r>
              <w:rPr>
                <w:rFonts w:ascii="Arial" w:cs="Arial" w:eastAsia="Arial" w:hAnsi="Arial"/>
                <w:sz w:val="11"/>
                <w:szCs w:val="11"/>
                <w:i w:val="1"/>
                <w:iCs w:val="1"/>
                <w:color w:val="1252DE"/>
              </w:rPr>
              <w:t>(in millions)</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19"/>
              <w:spacing w:after="0"/>
              <w:rPr>
                <w:sz w:val="20"/>
                <w:szCs w:val="20"/>
                <w:color w:val="auto"/>
              </w:rPr>
            </w:pPr>
            <w:r>
              <w:rPr>
                <w:rFonts w:ascii="Arial" w:cs="Arial" w:eastAsia="Arial" w:hAnsi="Arial"/>
                <w:sz w:val="11"/>
                <w:szCs w:val="11"/>
                <w:color w:val="1252DE"/>
              </w:rPr>
              <w:t>of Year</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20"/>
              <w:spacing w:after="0"/>
              <w:rPr>
                <w:sz w:val="20"/>
                <w:szCs w:val="20"/>
                <w:color w:val="auto"/>
              </w:rPr>
            </w:pPr>
            <w:r>
              <w:rPr>
                <w:rFonts w:ascii="Arial" w:cs="Arial" w:eastAsia="Arial" w:hAnsi="Arial"/>
                <w:sz w:val="11"/>
                <w:szCs w:val="11"/>
                <w:color w:val="1252DE"/>
              </w:rPr>
              <w:t>Included in Income</w:t>
            </w:r>
            <w:r>
              <w:rPr>
                <w:rFonts w:ascii="Arial" w:cs="Arial" w:eastAsia="Arial" w:hAnsi="Arial"/>
                <w:sz w:val="14"/>
                <w:szCs w:val="14"/>
                <w:color w:val="1252DE"/>
                <w:vertAlign w:val="superscript"/>
              </w:rPr>
              <w:t>(a)</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19"/>
              <w:spacing w:after="0"/>
              <w:rPr>
                <w:sz w:val="20"/>
                <w:szCs w:val="20"/>
                <w:color w:val="auto"/>
              </w:rPr>
            </w:pPr>
            <w:r>
              <w:rPr>
                <w:rFonts w:ascii="Arial" w:cs="Arial" w:eastAsia="Arial" w:hAnsi="Arial"/>
                <w:sz w:val="11"/>
                <w:szCs w:val="11"/>
                <w:color w:val="1252DE"/>
              </w:rPr>
              <w:t>Income (Loss)</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w w:val="99"/>
              </w:rPr>
              <w:t>Purchases</w:t>
            </w:r>
          </w:p>
        </w:tc>
        <w:tc>
          <w:tcPr>
            <w:tcW w:w="300" w:type="dxa"/>
            <w:vAlign w:val="bottom"/>
            <w:tcBorders>
              <w:bottom w:val="single" w:sz="8" w:color="1352DE"/>
            </w:tcBorders>
          </w:tcPr>
          <w:p>
            <w:pPr>
              <w:spacing w:after="0"/>
              <w:rPr>
                <w:sz w:val="14"/>
                <w:szCs w:val="14"/>
                <w:color w:val="auto"/>
              </w:rPr>
            </w:pPr>
          </w:p>
        </w:tc>
        <w:tc>
          <w:tcPr>
            <w:tcW w:w="520" w:type="dxa"/>
            <w:vAlign w:val="bottom"/>
            <w:tcBorders>
              <w:bottom w:val="single" w:sz="8" w:color="1352DE"/>
            </w:tcBorders>
          </w:tcPr>
          <w:p>
            <w:pPr>
              <w:ind w:left="180"/>
              <w:spacing w:after="0"/>
              <w:rPr>
                <w:sz w:val="20"/>
                <w:szCs w:val="20"/>
                <w:color w:val="auto"/>
              </w:rPr>
            </w:pPr>
            <w:r>
              <w:rPr>
                <w:rFonts w:ascii="Arial" w:cs="Arial" w:eastAsia="Arial" w:hAnsi="Arial"/>
                <w:sz w:val="11"/>
                <w:szCs w:val="11"/>
                <w:color w:val="1252DE"/>
              </w:rPr>
              <w:t>Sales</w:t>
            </w:r>
          </w:p>
        </w:tc>
        <w:tc>
          <w:tcPr>
            <w:tcW w:w="20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1"/>
                <w:szCs w:val="11"/>
                <w:color w:val="1252DE"/>
                <w:w w:val="94"/>
              </w:rPr>
              <w:t>Settlements</w:t>
            </w:r>
            <w:r>
              <w:rPr>
                <w:rFonts w:ascii="Arial" w:cs="Arial" w:eastAsia="Arial" w:hAnsi="Arial"/>
                <w:sz w:val="14"/>
                <w:szCs w:val="14"/>
                <w:color w:val="1252DE"/>
                <w:w w:val="94"/>
                <w:vertAlign w:val="superscript"/>
              </w:rPr>
              <w:t>(b)</w:t>
            </w:r>
          </w:p>
        </w:tc>
        <w:tc>
          <w:tcPr>
            <w:tcW w:w="1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19"/>
              <w:spacing w:after="0"/>
              <w:rPr>
                <w:sz w:val="20"/>
                <w:szCs w:val="20"/>
                <w:color w:val="auto"/>
              </w:rPr>
            </w:pPr>
            <w:r>
              <w:rPr>
                <w:rFonts w:ascii="Arial" w:cs="Arial" w:eastAsia="Arial" w:hAnsi="Arial"/>
                <w:sz w:val="11"/>
                <w:szCs w:val="11"/>
                <w:color w:val="1252DE"/>
              </w:rPr>
              <w:t>In</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19"/>
              <w:spacing w:after="0"/>
              <w:rPr>
                <w:sz w:val="20"/>
                <w:szCs w:val="20"/>
                <w:color w:val="auto"/>
              </w:rPr>
            </w:pPr>
            <w:r>
              <w:rPr>
                <w:rFonts w:ascii="Arial" w:cs="Arial" w:eastAsia="Arial" w:hAnsi="Arial"/>
                <w:sz w:val="11"/>
                <w:szCs w:val="11"/>
                <w:color w:val="1252DE"/>
              </w:rPr>
              <w:t>Out</w:t>
            </w:r>
          </w:p>
        </w:tc>
        <w:tc>
          <w:tcPr>
            <w:tcW w:w="220" w:type="dxa"/>
            <w:vAlign w:val="bottom"/>
            <w:tcBorders>
              <w:bottom w:val="single" w:sz="8" w:color="1352DE"/>
            </w:tcBorders>
          </w:tcPr>
          <w:p>
            <w:pPr>
              <w:spacing w:after="0"/>
              <w:rPr>
                <w:sz w:val="14"/>
                <w:szCs w:val="14"/>
                <w:color w:val="auto"/>
              </w:rPr>
            </w:pPr>
          </w:p>
        </w:tc>
        <w:tc>
          <w:tcPr>
            <w:tcW w:w="4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rPr>
              <w:t>Other</w:t>
            </w:r>
          </w:p>
        </w:tc>
        <w:tc>
          <w:tcPr>
            <w:tcW w:w="24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1"/>
                <w:szCs w:val="11"/>
                <w:color w:val="1252DE"/>
              </w:rPr>
              <w:t>Period</w:t>
            </w:r>
          </w:p>
        </w:tc>
        <w:tc>
          <w:tcPr>
            <w:tcW w:w="0" w:type="dxa"/>
            <w:vAlign w:val="bottom"/>
          </w:tcPr>
          <w:p>
            <w:pPr>
              <w:spacing w:after="0"/>
              <w:rPr>
                <w:sz w:val="1"/>
                <w:szCs w:val="1"/>
                <w:color w:val="auto"/>
              </w:rPr>
            </w:pPr>
          </w:p>
        </w:tc>
      </w:tr>
      <w:tr>
        <w:trPr>
          <w:trHeight w:val="164"/>
        </w:trPr>
        <w:tc>
          <w:tcPr>
            <w:tcW w:w="2440" w:type="dxa"/>
            <w:vAlign w:val="bottom"/>
          </w:tcPr>
          <w:p>
            <w:pPr>
              <w:ind w:left="20"/>
              <w:spacing w:after="0"/>
              <w:rPr>
                <w:sz w:val="20"/>
                <w:szCs w:val="20"/>
                <w:color w:val="auto"/>
              </w:rPr>
            </w:pPr>
            <w:r>
              <w:rPr>
                <w:rFonts w:ascii="Arial" w:cs="Arial" w:eastAsia="Arial" w:hAnsi="Arial"/>
                <w:sz w:val="12"/>
                <w:szCs w:val="12"/>
                <w:color w:val="1252DE"/>
              </w:rPr>
              <w:t>Nine Months Ended September 30, 2025</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2"/>
                <w:szCs w:val="12"/>
                <w:b w:val="1"/>
                <w:bCs w:val="1"/>
                <w:color w:val="1252DE"/>
              </w:rPr>
              <w:t>Assets: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140"/>
              <w:spacing w:after="0"/>
              <w:rPr>
                <w:sz w:val="20"/>
                <w:szCs w:val="20"/>
                <w:color w:val="auto"/>
              </w:rPr>
            </w:pPr>
            <w:r>
              <w:rPr>
                <w:rFonts w:ascii="Arial" w:cs="Arial" w:eastAsia="Arial" w:hAnsi="Arial"/>
                <w:sz w:val="12"/>
                <w:szCs w:val="12"/>
                <w:b w:val="1"/>
                <w:bCs w:val="1"/>
                <w:color w:val="1252DE"/>
              </w:rPr>
              <w:t>Bonds available for sale:</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40"/>
              <w:spacing w:after="0" w:line="134" w:lineRule="exact"/>
              <w:rPr>
                <w:sz w:val="20"/>
                <w:szCs w:val="20"/>
                <w:color w:val="auto"/>
              </w:rPr>
            </w:pPr>
            <w:r>
              <w:rPr>
                <w:rFonts w:ascii="Arial" w:cs="Arial" w:eastAsia="Arial" w:hAnsi="Arial"/>
                <w:sz w:val="12"/>
                <w:szCs w:val="12"/>
                <w:color w:val="auto"/>
              </w:rPr>
              <w:t>Obligations of states, municipalities and</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59"/>
              <w:spacing w:after="0"/>
              <w:rPr>
                <w:sz w:val="20"/>
                <w:szCs w:val="20"/>
                <w:color w:val="auto"/>
              </w:rPr>
            </w:pPr>
            <w:r>
              <w:rPr>
                <w:rFonts w:ascii="Arial" w:cs="Arial" w:eastAsia="Arial" w:hAnsi="Arial"/>
                <w:sz w:val="13"/>
                <w:szCs w:val="13"/>
                <w:color w:val="auto"/>
              </w:rPr>
              <w:t>3</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2"/>
        </w:trPr>
        <w:tc>
          <w:tcPr>
            <w:tcW w:w="2440" w:type="dxa"/>
            <w:vAlign w:val="bottom"/>
          </w:tcPr>
          <w:p>
            <w:pPr>
              <w:ind w:left="360"/>
              <w:spacing w:after="0"/>
              <w:rPr>
                <w:sz w:val="20"/>
                <w:szCs w:val="20"/>
                <w:color w:val="auto"/>
              </w:rPr>
            </w:pPr>
            <w:r>
              <w:rPr>
                <w:rFonts w:ascii="Arial" w:cs="Arial" w:eastAsia="Arial" w:hAnsi="Arial"/>
                <w:sz w:val="12"/>
                <w:szCs w:val="12"/>
                <w:color w:val="auto"/>
              </w:rPr>
              <w:t>political subdivisions</w:t>
            </w:r>
          </w:p>
        </w:tc>
        <w:tc>
          <w:tcPr>
            <w:tcW w:w="2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40" w:type="dxa"/>
            <w:vAlign w:val="bottom"/>
          </w:tcPr>
          <w:p>
            <w:pPr>
              <w:ind w:left="240"/>
              <w:spacing w:after="0"/>
              <w:rPr>
                <w:sz w:val="20"/>
                <w:szCs w:val="20"/>
                <w:color w:val="auto"/>
              </w:rPr>
            </w:pPr>
            <w:r>
              <w:rPr>
                <w:rFonts w:ascii="Arial" w:cs="Arial" w:eastAsia="Arial" w:hAnsi="Arial"/>
                <w:sz w:val="12"/>
                <w:szCs w:val="12"/>
                <w:color w:val="auto"/>
              </w:rPr>
              <w:t>Non-U.S. governments</w:t>
            </w:r>
          </w:p>
        </w:tc>
        <w:tc>
          <w:tcPr>
            <w:tcW w:w="260" w:type="dxa"/>
            <w:vAlign w:val="bottom"/>
          </w:tcPr>
          <w:p>
            <w:pPr>
              <w:spacing w:after="0"/>
              <w:rPr>
                <w:sz w:val="14"/>
                <w:szCs w:val="14"/>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Corporate debt</w:t>
            </w:r>
          </w:p>
        </w:tc>
        <w:tc>
          <w:tcPr>
            <w:tcW w:w="260" w:type="dxa"/>
            <w:vAlign w:val="bottom"/>
          </w:tcPr>
          <w:p>
            <w:pPr>
              <w:spacing w:after="0"/>
              <w:rPr>
                <w:sz w:val="15"/>
                <w:szCs w:val="15"/>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240</w:t>
            </w:r>
          </w:p>
        </w:tc>
        <w:tc>
          <w:tcPr>
            <w:tcW w:w="22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15"/>
                <w:szCs w:val="15"/>
                <w:color w:val="auto"/>
              </w:rPr>
            </w:pPr>
          </w:p>
        </w:tc>
        <w:tc>
          <w:tcPr>
            <w:tcW w:w="900" w:type="dxa"/>
            <w:vAlign w:val="bottom"/>
          </w:tcPr>
          <w:p>
            <w:pPr>
              <w:jc w:val="right"/>
              <w:ind w:right="19"/>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3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(152)</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(38)</w:t>
            </w:r>
          </w:p>
        </w:tc>
        <w:tc>
          <w:tcPr>
            <w:tcW w:w="220" w:type="dxa"/>
            <w:vAlign w:val="bottom"/>
          </w:tcPr>
          <w:p>
            <w:pPr>
              <w:spacing w:after="0"/>
              <w:rPr>
                <w:sz w:val="15"/>
                <w:szCs w:val="15"/>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38</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6"/>
        </w:trPr>
        <w:tc>
          <w:tcPr>
            <w:tcW w:w="2440" w:type="dxa"/>
            <w:vAlign w:val="bottom"/>
          </w:tcPr>
          <w:p>
            <w:pPr>
              <w:ind w:left="240"/>
              <w:spacing w:after="0"/>
              <w:rPr>
                <w:sz w:val="20"/>
                <w:szCs w:val="20"/>
                <w:color w:val="auto"/>
              </w:rPr>
            </w:pPr>
            <w:r>
              <w:rPr>
                <w:rFonts w:ascii="Arial" w:cs="Arial" w:eastAsia="Arial" w:hAnsi="Arial"/>
                <w:sz w:val="12"/>
                <w:szCs w:val="12"/>
                <w:color w:val="auto"/>
              </w:rPr>
              <w:t>RMBS</w:t>
            </w:r>
          </w:p>
        </w:tc>
        <w:tc>
          <w:tcPr>
            <w:tcW w:w="260" w:type="dxa"/>
            <w:vAlign w:val="bottom"/>
          </w:tcPr>
          <w:p>
            <w:pPr>
              <w:spacing w:after="0"/>
              <w:rPr>
                <w:sz w:val="15"/>
                <w:szCs w:val="15"/>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1,894</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54</w:t>
            </w:r>
          </w:p>
        </w:tc>
        <w:tc>
          <w:tcPr>
            <w:tcW w:w="3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(152)</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(242)</w:t>
            </w:r>
          </w:p>
        </w:tc>
        <w:tc>
          <w:tcPr>
            <w:tcW w:w="220" w:type="dxa"/>
            <w:vAlign w:val="bottom"/>
          </w:tcPr>
          <w:p>
            <w:pPr>
              <w:spacing w:after="0"/>
              <w:rPr>
                <w:sz w:val="15"/>
                <w:szCs w:val="15"/>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1,626</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rPr>
                <w:sz w:val="20"/>
                <w:szCs w:val="20"/>
                <w:color w:val="auto"/>
              </w:rPr>
            </w:pPr>
            <w:r>
              <w:rPr>
                <w:rFonts w:ascii="Arial" w:cs="Arial" w:eastAsia="Arial" w:hAnsi="Arial"/>
                <w:sz w:val="12"/>
                <w:szCs w:val="12"/>
                <w:color w:val="auto"/>
              </w:rPr>
              <w:t>CMBS</w:t>
            </w:r>
          </w:p>
        </w:tc>
        <w:tc>
          <w:tcPr>
            <w:tcW w:w="260" w:type="dxa"/>
            <w:vAlign w:val="bottom"/>
          </w:tcPr>
          <w:p>
            <w:pPr>
              <w:spacing w:after="0"/>
              <w:rPr>
                <w:sz w:val="15"/>
                <w:szCs w:val="15"/>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26</w:t>
            </w:r>
          </w:p>
        </w:tc>
        <w:tc>
          <w:tcPr>
            <w:tcW w:w="220" w:type="dxa"/>
            <w:vAlign w:val="bottom"/>
          </w:tcPr>
          <w:p>
            <w:pPr>
              <w:spacing w:after="0"/>
              <w:rPr>
                <w:sz w:val="15"/>
                <w:szCs w:val="15"/>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(5)</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5"/>
                <w:szCs w:val="15"/>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840</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7</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20</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969</w:t>
            </w:r>
          </w:p>
        </w:tc>
        <w:tc>
          <w:tcPr>
            <w:tcW w:w="300" w:type="dxa"/>
            <w:vAlign w:val="bottom"/>
            <w:tcBorders>
              <w:bottom w:val="single" w:sz="8" w:color="1352DE"/>
            </w:tcBorders>
          </w:tcPr>
          <w:p>
            <w:pPr>
              <w:spacing w:after="0"/>
              <w:rPr>
                <w:sz w:val="15"/>
                <w:szCs w:val="15"/>
                <w:color w:val="auto"/>
              </w:rPr>
            </w:pPr>
          </w:p>
        </w:tc>
        <w:tc>
          <w:tcPr>
            <w:tcW w:w="5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(84)</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(200)</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(7)</w:t>
            </w:r>
          </w:p>
        </w:tc>
        <w:tc>
          <w:tcPr>
            <w:tcW w:w="22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color w:val="auto"/>
              </w:rPr>
              <w:t>(59)</w:t>
            </w:r>
          </w:p>
        </w:tc>
        <w:tc>
          <w:tcPr>
            <w:tcW w:w="24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1,486</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252DE"/>
              </w:rPr>
              <w:t>Total bonds available for sale</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3,010</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15</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72</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1,028</w:t>
            </w:r>
          </w:p>
        </w:tc>
        <w:tc>
          <w:tcPr>
            <w:tcW w:w="300" w:type="dxa"/>
            <w:vAlign w:val="bottom"/>
            <w:tcBorders>
              <w:bottom w:val="single" w:sz="8" w:color="1352DE"/>
            </w:tcBorders>
          </w:tcPr>
          <w:p>
            <w:pPr>
              <w:spacing w:after="0"/>
              <w:rPr>
                <w:sz w:val="14"/>
                <w:szCs w:val="14"/>
                <w:color w:val="auto"/>
              </w:rPr>
            </w:pPr>
          </w:p>
        </w:tc>
        <w:tc>
          <w:tcPr>
            <w:tcW w:w="5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(99)</w:t>
            </w:r>
          </w:p>
        </w:tc>
        <w:tc>
          <w:tcPr>
            <w:tcW w:w="20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(510)</w:t>
            </w:r>
          </w:p>
        </w:tc>
        <w:tc>
          <w:tcPr>
            <w:tcW w:w="1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57</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(288)</w:t>
            </w:r>
          </w:p>
        </w:tc>
        <w:tc>
          <w:tcPr>
            <w:tcW w:w="220" w:type="dxa"/>
            <w:vAlign w:val="bottom"/>
            <w:tcBorders>
              <w:bottom w:val="single" w:sz="8" w:color="1352DE"/>
            </w:tcBorders>
          </w:tcPr>
          <w:p>
            <w:pPr>
              <w:spacing w:after="0"/>
              <w:rPr>
                <w:sz w:val="14"/>
                <w:szCs w:val="14"/>
                <w:color w:val="auto"/>
              </w:rPr>
            </w:pPr>
          </w:p>
        </w:tc>
        <w:tc>
          <w:tcPr>
            <w:tcW w:w="4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color w:val="auto"/>
              </w:rPr>
              <w:t>(21)</w:t>
            </w:r>
          </w:p>
        </w:tc>
        <w:tc>
          <w:tcPr>
            <w:tcW w:w="24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3,264</w:t>
            </w:r>
          </w:p>
        </w:tc>
        <w:tc>
          <w:tcPr>
            <w:tcW w:w="0" w:type="dxa"/>
            <w:vAlign w:val="bottom"/>
          </w:tcPr>
          <w:p>
            <w:pPr>
              <w:spacing w:after="0"/>
              <w:rPr>
                <w:sz w:val="1"/>
                <w:szCs w:val="1"/>
                <w:color w:val="auto"/>
              </w:rPr>
            </w:pPr>
          </w:p>
        </w:tc>
      </w:tr>
      <w:tr>
        <w:trPr>
          <w:trHeight w:val="162"/>
        </w:trPr>
        <w:tc>
          <w:tcPr>
            <w:tcW w:w="2440" w:type="dxa"/>
            <w:vAlign w:val="bottom"/>
          </w:tcPr>
          <w:p>
            <w:pPr>
              <w:ind w:left="140"/>
              <w:spacing w:after="0"/>
              <w:rPr>
                <w:sz w:val="20"/>
                <w:szCs w:val="20"/>
                <w:color w:val="auto"/>
              </w:rPr>
            </w:pPr>
            <w:r>
              <w:rPr>
                <w:rFonts w:ascii="Arial" w:cs="Arial" w:eastAsia="Arial" w:hAnsi="Arial"/>
                <w:sz w:val="12"/>
                <w:szCs w:val="12"/>
                <w:b w:val="1"/>
                <w:bCs w:val="1"/>
                <w:color w:val="1252DE"/>
              </w:rPr>
              <w:t>Other bond securities: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40" w:type="dxa"/>
            <w:vAlign w:val="bottom"/>
          </w:tcPr>
          <w:p>
            <w:pPr>
              <w:ind w:left="240"/>
              <w:spacing w:after="0"/>
              <w:rPr>
                <w:sz w:val="20"/>
                <w:szCs w:val="20"/>
                <w:color w:val="auto"/>
              </w:rPr>
            </w:pPr>
            <w:r>
              <w:rPr>
                <w:rFonts w:ascii="Arial" w:cs="Arial" w:eastAsia="Arial" w:hAnsi="Arial"/>
                <w:sz w:val="12"/>
                <w:szCs w:val="12"/>
                <w:color w:val="auto"/>
              </w:rPr>
              <w:t>Corporate debt</w:t>
            </w:r>
          </w:p>
        </w:tc>
        <w:tc>
          <w:tcPr>
            <w:tcW w:w="260" w:type="dxa"/>
            <w:vAlign w:val="bottom"/>
          </w:tcPr>
          <w:p>
            <w:pPr>
              <w:spacing w:after="0"/>
              <w:rPr>
                <w:sz w:val="15"/>
                <w:szCs w:val="15"/>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6"/>
        </w:trPr>
        <w:tc>
          <w:tcPr>
            <w:tcW w:w="2440" w:type="dxa"/>
            <w:vAlign w:val="bottom"/>
          </w:tcPr>
          <w:p>
            <w:pPr>
              <w:ind w:left="240"/>
              <w:spacing w:after="0"/>
              <w:rPr>
                <w:sz w:val="20"/>
                <w:szCs w:val="20"/>
                <w:color w:val="auto"/>
              </w:rPr>
            </w:pPr>
            <w:r>
              <w:rPr>
                <w:rFonts w:ascii="Arial" w:cs="Arial" w:eastAsia="Arial" w:hAnsi="Arial"/>
                <w:sz w:val="12"/>
                <w:szCs w:val="12"/>
                <w:color w:val="auto"/>
              </w:rPr>
              <w:t>RMBS</w:t>
            </w:r>
          </w:p>
        </w:tc>
        <w:tc>
          <w:tcPr>
            <w:tcW w:w="260" w:type="dxa"/>
            <w:vAlign w:val="bottom"/>
          </w:tcPr>
          <w:p>
            <w:pPr>
              <w:spacing w:after="0"/>
              <w:rPr>
                <w:sz w:val="15"/>
                <w:szCs w:val="15"/>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113</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5</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12</w:t>
            </w:r>
          </w:p>
        </w:tc>
        <w:tc>
          <w:tcPr>
            <w:tcW w:w="300" w:type="dxa"/>
            <w:vAlign w:val="bottom"/>
            <w:tcBorders>
              <w:bottom w:val="single" w:sz="8" w:color="1352DE"/>
            </w:tcBorders>
          </w:tcPr>
          <w:p>
            <w:pPr>
              <w:spacing w:after="0"/>
              <w:rPr>
                <w:sz w:val="15"/>
                <w:szCs w:val="15"/>
                <w:color w:val="auto"/>
              </w:rPr>
            </w:pPr>
          </w:p>
        </w:tc>
        <w:tc>
          <w:tcPr>
            <w:tcW w:w="520" w:type="dxa"/>
            <w:vAlign w:val="bottom"/>
            <w:tcBorders>
              <w:bottom w:val="single" w:sz="8" w:color="1352DE"/>
            </w:tcBorders>
          </w:tcPr>
          <w:p>
            <w:pPr>
              <w:ind w:left="28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(6)</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33</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(25)</w:t>
            </w:r>
          </w:p>
        </w:tc>
        <w:tc>
          <w:tcPr>
            <w:tcW w:w="22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252DE"/>
              </w:rPr>
              <w:t>Total other bond securities</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164</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7</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15</w:t>
            </w:r>
          </w:p>
        </w:tc>
        <w:tc>
          <w:tcPr>
            <w:tcW w:w="300" w:type="dxa"/>
            <w:vAlign w:val="bottom"/>
            <w:tcBorders>
              <w:bottom w:val="single" w:sz="8" w:color="1352DE"/>
            </w:tcBorders>
          </w:tcPr>
          <w:p>
            <w:pPr>
              <w:spacing w:after="0"/>
              <w:rPr>
                <w:sz w:val="14"/>
                <w:szCs w:val="14"/>
                <w:color w:val="auto"/>
              </w:rPr>
            </w:pPr>
          </w:p>
        </w:tc>
        <w:tc>
          <w:tcPr>
            <w:tcW w:w="520" w:type="dxa"/>
            <w:vAlign w:val="bottom"/>
            <w:tcBorders>
              <w:bottom w:val="single" w:sz="8" w:color="1352DE"/>
            </w:tcBorders>
          </w:tcPr>
          <w:p>
            <w:pPr>
              <w:ind w:left="28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(8)</w:t>
            </w:r>
          </w:p>
        </w:tc>
        <w:tc>
          <w:tcPr>
            <w:tcW w:w="1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33</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(25)</w:t>
            </w:r>
          </w:p>
        </w:tc>
        <w:tc>
          <w:tcPr>
            <w:tcW w:w="220" w:type="dxa"/>
            <w:vAlign w:val="bottom"/>
            <w:tcBorders>
              <w:bottom w:val="single" w:sz="8" w:color="1352DE"/>
            </w:tcBorders>
          </w:tcPr>
          <w:p>
            <w:pPr>
              <w:spacing w:after="0"/>
              <w:rPr>
                <w:sz w:val="14"/>
                <w:szCs w:val="14"/>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64"/>
        </w:trPr>
        <w:tc>
          <w:tcPr>
            <w:tcW w:w="2440" w:type="dxa"/>
            <w:vAlign w:val="bottom"/>
          </w:tcPr>
          <w:p>
            <w:pPr>
              <w:ind w:left="140"/>
              <w:spacing w:after="0"/>
              <w:rPr>
                <w:sz w:val="20"/>
                <w:szCs w:val="20"/>
                <w:color w:val="auto"/>
              </w:rPr>
            </w:pPr>
            <w:r>
              <w:rPr>
                <w:rFonts w:ascii="Arial" w:cs="Arial" w:eastAsia="Arial" w:hAnsi="Arial"/>
                <w:sz w:val="12"/>
                <w:szCs w:val="12"/>
                <w:color w:val="auto"/>
              </w:rPr>
              <w:t>Equity securities</w:t>
            </w:r>
          </w:p>
        </w:tc>
        <w:tc>
          <w:tcPr>
            <w:tcW w:w="260" w:type="dxa"/>
            <w:vAlign w:val="bottom"/>
          </w:tcPr>
          <w:p>
            <w:pPr>
              <w:spacing w:after="0"/>
              <w:rPr>
                <w:sz w:val="14"/>
                <w:szCs w:val="14"/>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56</w:t>
            </w:r>
          </w:p>
        </w:tc>
        <w:tc>
          <w:tcPr>
            <w:tcW w:w="300" w:type="dxa"/>
            <w:vAlign w:val="bottom"/>
          </w:tcPr>
          <w:p>
            <w:pPr>
              <w:spacing w:after="0"/>
              <w:rPr>
                <w:sz w:val="14"/>
                <w:szCs w:val="14"/>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(33)</w:t>
            </w:r>
          </w:p>
        </w:tc>
        <w:tc>
          <w:tcPr>
            <w:tcW w:w="200" w:type="dxa"/>
            <w:vAlign w:val="bottom"/>
          </w:tcPr>
          <w:p>
            <w:pPr>
              <w:spacing w:after="0"/>
              <w:rPr>
                <w:sz w:val="14"/>
                <w:szCs w:val="14"/>
                <w:color w:val="auto"/>
              </w:rPr>
            </w:pP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1"/>
        </w:trPr>
        <w:tc>
          <w:tcPr>
            <w:tcW w:w="2440" w:type="dxa"/>
            <w:vAlign w:val="bottom"/>
          </w:tcPr>
          <w:p>
            <w:pPr>
              <w:ind w:left="140"/>
              <w:spacing w:after="0"/>
              <w:rPr>
                <w:sz w:val="20"/>
                <w:szCs w:val="20"/>
                <w:color w:val="auto"/>
              </w:rPr>
            </w:pPr>
            <w:r>
              <w:rPr>
                <w:rFonts w:ascii="Arial" w:cs="Arial" w:eastAsia="Arial" w:hAnsi="Arial"/>
                <w:sz w:val="12"/>
                <w:szCs w:val="12"/>
                <w:color w:val="auto"/>
              </w:rPr>
              <w:t>Other invested assets</w:t>
            </w:r>
          </w:p>
        </w:tc>
        <w:tc>
          <w:tcPr>
            <w:tcW w:w="260" w:type="dxa"/>
            <w:vAlign w:val="bottom"/>
          </w:tcPr>
          <w:p>
            <w:pPr>
              <w:spacing w:after="0"/>
              <w:rPr>
                <w:sz w:val="14"/>
                <w:szCs w:val="14"/>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163</w:t>
            </w:r>
          </w:p>
        </w:tc>
        <w:tc>
          <w:tcPr>
            <w:tcW w:w="22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7</w:t>
            </w:r>
          </w:p>
        </w:tc>
        <w:tc>
          <w:tcPr>
            <w:tcW w:w="30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(63)</w:t>
            </w:r>
          </w:p>
        </w:tc>
        <w:tc>
          <w:tcPr>
            <w:tcW w:w="22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21</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129</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1352DE"/>
            </w:tcBorders>
          </w:tcPr>
          <w:p>
            <w:pPr>
              <w:spacing w:after="0"/>
              <w:rPr>
                <w:sz w:val="15"/>
                <w:szCs w:val="15"/>
                <w:color w:val="auto"/>
              </w:rPr>
            </w:pPr>
          </w:p>
        </w:tc>
        <w:tc>
          <w:tcPr>
            <w:tcW w:w="520" w:type="dxa"/>
            <w:vAlign w:val="bottom"/>
            <w:tcBorders>
              <w:bottom w:val="single" w:sz="8" w:color="1352DE"/>
            </w:tcBorders>
          </w:tcPr>
          <w:p>
            <w:pPr>
              <w:ind w:left="28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w:t>
            </w:r>
          </w:p>
        </w:tc>
        <w:tc>
          <w:tcPr>
            <w:tcW w:w="2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3,481</w:t>
            </w: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1352DE"/>
            </w:tcBorders>
          </w:tcPr>
          <w:p>
            <w:pPr>
              <w:jc w:val="right"/>
              <w:ind w:right="60"/>
              <w:spacing w:after="0"/>
              <w:rPr>
                <w:sz w:val="20"/>
                <w:szCs w:val="20"/>
                <w:color w:val="auto"/>
              </w:rPr>
            </w:pPr>
            <w:r>
              <w:rPr>
                <w:rFonts w:ascii="Arial" w:cs="Arial" w:eastAsia="Arial" w:hAnsi="Arial"/>
                <w:sz w:val="13"/>
                <w:szCs w:val="13"/>
                <w:color w:val="auto"/>
              </w:rPr>
              <w:t>23</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72</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1,106</w:t>
            </w:r>
          </w:p>
        </w:tc>
        <w:tc>
          <w:tcPr>
            <w:tcW w:w="30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(132)</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(549)</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108</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(376)</w:t>
            </w: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3,733</w:t>
            </w:r>
          </w:p>
        </w:tc>
        <w:tc>
          <w:tcPr>
            <w:tcW w:w="0" w:type="dxa"/>
            <w:vAlign w:val="bottom"/>
          </w:tcPr>
          <w:p>
            <w:pPr>
              <w:spacing w:after="0"/>
              <w:rPr>
                <w:sz w:val="1"/>
                <w:szCs w:val="1"/>
                <w:color w:val="auto"/>
              </w:rPr>
            </w:pPr>
          </w:p>
        </w:tc>
      </w:tr>
      <w:tr>
        <w:trPr>
          <w:trHeight w:val="106"/>
        </w:trPr>
        <w:tc>
          <w:tcPr>
            <w:tcW w:w="2440" w:type="dxa"/>
            <w:vAlign w:val="bottom"/>
            <w:tcBorders>
              <w:bottom w:val="single" w:sz="8" w:color="1352DE"/>
            </w:tcBorders>
          </w:tcPr>
          <w:p>
            <w:pPr>
              <w:spacing w:after="0"/>
              <w:rPr>
                <w:sz w:val="9"/>
                <w:szCs w:val="9"/>
                <w:color w:val="auto"/>
              </w:rPr>
            </w:pPr>
          </w:p>
        </w:tc>
        <w:tc>
          <w:tcPr>
            <w:tcW w:w="260" w:type="dxa"/>
            <w:vAlign w:val="bottom"/>
            <w:tcBorders>
              <w:bottom w:val="single" w:sz="8" w:color="1352DE"/>
            </w:tcBorders>
          </w:tcPr>
          <w:p>
            <w:pPr>
              <w:spacing w:after="0"/>
              <w:rPr>
                <w:sz w:val="9"/>
                <w:szCs w:val="9"/>
                <w:color w:val="auto"/>
              </w:rPr>
            </w:pPr>
          </w:p>
        </w:tc>
        <w:tc>
          <w:tcPr>
            <w:tcW w:w="620" w:type="dxa"/>
            <w:vAlign w:val="bottom"/>
            <w:tcBorders>
              <w:bottom w:val="single" w:sz="8" w:color="1352DE"/>
            </w:tcBorders>
          </w:tcPr>
          <w:p>
            <w:pPr>
              <w:spacing w:after="0"/>
              <w:rPr>
                <w:sz w:val="9"/>
                <w:szCs w:val="9"/>
                <w:color w:val="auto"/>
              </w:rPr>
            </w:pPr>
          </w:p>
        </w:tc>
        <w:tc>
          <w:tcPr>
            <w:tcW w:w="220" w:type="dxa"/>
            <w:vAlign w:val="bottom"/>
            <w:tcBorders>
              <w:bottom w:val="single" w:sz="8" w:color="1352DE"/>
            </w:tcBorders>
          </w:tcPr>
          <w:p>
            <w:pPr>
              <w:spacing w:after="0"/>
              <w:rPr>
                <w:sz w:val="9"/>
                <w:szCs w:val="9"/>
                <w:color w:val="auto"/>
              </w:rPr>
            </w:pPr>
          </w:p>
        </w:tc>
        <w:tc>
          <w:tcPr>
            <w:tcW w:w="114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90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620" w:type="dxa"/>
            <w:vAlign w:val="bottom"/>
            <w:tcBorders>
              <w:bottom w:val="single" w:sz="8" w:color="1352DE"/>
            </w:tcBorders>
          </w:tcPr>
          <w:p>
            <w:pPr>
              <w:spacing w:after="0"/>
              <w:rPr>
                <w:sz w:val="9"/>
                <w:szCs w:val="9"/>
                <w:color w:val="auto"/>
              </w:rPr>
            </w:pPr>
          </w:p>
        </w:tc>
        <w:tc>
          <w:tcPr>
            <w:tcW w:w="300" w:type="dxa"/>
            <w:vAlign w:val="bottom"/>
            <w:tcBorders>
              <w:bottom w:val="single" w:sz="8" w:color="1352DE"/>
            </w:tcBorders>
          </w:tcPr>
          <w:p>
            <w:pPr>
              <w:spacing w:after="0"/>
              <w:rPr>
                <w:sz w:val="9"/>
                <w:szCs w:val="9"/>
                <w:color w:val="auto"/>
              </w:rPr>
            </w:pPr>
          </w:p>
        </w:tc>
        <w:tc>
          <w:tcPr>
            <w:tcW w:w="52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780" w:type="dxa"/>
            <w:vAlign w:val="bottom"/>
            <w:tcBorders>
              <w:bottom w:val="single" w:sz="8" w:color="1352DE"/>
            </w:tcBorders>
          </w:tcPr>
          <w:p>
            <w:pPr>
              <w:spacing w:after="0"/>
              <w:rPr>
                <w:sz w:val="9"/>
                <w:szCs w:val="9"/>
                <w:color w:val="auto"/>
              </w:rPr>
            </w:pPr>
          </w:p>
        </w:tc>
        <w:tc>
          <w:tcPr>
            <w:tcW w:w="180" w:type="dxa"/>
            <w:vAlign w:val="bottom"/>
            <w:tcBorders>
              <w:bottom w:val="single" w:sz="8" w:color="1352DE"/>
            </w:tcBorders>
          </w:tcPr>
          <w:p>
            <w:pPr>
              <w:spacing w:after="0"/>
              <w:rPr>
                <w:sz w:val="9"/>
                <w:szCs w:val="9"/>
                <w:color w:val="auto"/>
              </w:rPr>
            </w:pPr>
          </w:p>
        </w:tc>
        <w:tc>
          <w:tcPr>
            <w:tcW w:w="560" w:type="dxa"/>
            <w:vAlign w:val="bottom"/>
            <w:tcBorders>
              <w:bottom w:val="single" w:sz="8" w:color="1352DE"/>
            </w:tcBorders>
          </w:tcPr>
          <w:p>
            <w:pPr>
              <w:spacing w:after="0"/>
              <w:rPr>
                <w:sz w:val="9"/>
                <w:szCs w:val="9"/>
                <w:color w:val="auto"/>
              </w:rPr>
            </w:pPr>
          </w:p>
        </w:tc>
        <w:tc>
          <w:tcPr>
            <w:tcW w:w="200" w:type="dxa"/>
            <w:vAlign w:val="bottom"/>
            <w:tcBorders>
              <w:bottom w:val="single" w:sz="8" w:color="1352DE"/>
            </w:tcBorders>
          </w:tcPr>
          <w:p>
            <w:pPr>
              <w:spacing w:after="0"/>
              <w:rPr>
                <w:sz w:val="9"/>
                <w:szCs w:val="9"/>
                <w:color w:val="auto"/>
              </w:rPr>
            </w:pPr>
          </w:p>
        </w:tc>
        <w:tc>
          <w:tcPr>
            <w:tcW w:w="560" w:type="dxa"/>
            <w:vAlign w:val="bottom"/>
            <w:tcBorders>
              <w:bottom w:val="single" w:sz="8" w:color="1352DE"/>
            </w:tcBorders>
          </w:tcPr>
          <w:p>
            <w:pPr>
              <w:spacing w:after="0"/>
              <w:rPr>
                <w:sz w:val="9"/>
                <w:szCs w:val="9"/>
                <w:color w:val="auto"/>
              </w:rPr>
            </w:pPr>
          </w:p>
        </w:tc>
        <w:tc>
          <w:tcPr>
            <w:tcW w:w="220" w:type="dxa"/>
            <w:vAlign w:val="bottom"/>
            <w:tcBorders>
              <w:bottom w:val="single" w:sz="8" w:color="1352DE"/>
            </w:tcBorders>
          </w:tcPr>
          <w:p>
            <w:pPr>
              <w:spacing w:after="0"/>
              <w:rPr>
                <w:sz w:val="9"/>
                <w:szCs w:val="9"/>
                <w:color w:val="auto"/>
              </w:rPr>
            </w:pPr>
          </w:p>
        </w:tc>
        <w:tc>
          <w:tcPr>
            <w:tcW w:w="420" w:type="dxa"/>
            <w:vAlign w:val="bottom"/>
            <w:tcBorders>
              <w:bottom w:val="single" w:sz="8" w:color="1352DE"/>
            </w:tcBorders>
          </w:tcPr>
          <w:p>
            <w:pPr>
              <w:spacing w:after="0"/>
              <w:rPr>
                <w:sz w:val="9"/>
                <w:szCs w:val="9"/>
                <w:color w:val="auto"/>
              </w:rPr>
            </w:pPr>
          </w:p>
        </w:tc>
        <w:tc>
          <w:tcPr>
            <w:tcW w:w="240" w:type="dxa"/>
            <w:vAlign w:val="bottom"/>
            <w:tcBorders>
              <w:bottom w:val="single" w:sz="8" w:color="1352DE"/>
            </w:tcBorders>
          </w:tcPr>
          <w:p>
            <w:pPr>
              <w:spacing w:after="0"/>
              <w:rPr>
                <w:sz w:val="9"/>
                <w:szCs w:val="9"/>
                <w:color w:val="auto"/>
              </w:rPr>
            </w:pPr>
          </w:p>
        </w:tc>
        <w:tc>
          <w:tcPr>
            <w:tcW w:w="440" w:type="dxa"/>
            <w:vAlign w:val="bottom"/>
            <w:tcBorders>
              <w:bottom w:val="single" w:sz="8" w:color="1352DE"/>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1"/>
                <w:szCs w:val="11"/>
                <w:color w:val="1252DE"/>
                <w:w w:val="99"/>
              </w:rPr>
              <w:t>Fair Value</w:t>
            </w:r>
          </w:p>
        </w:tc>
        <w:tc>
          <w:tcPr>
            <w:tcW w:w="220" w:type="dxa"/>
            <w:vAlign w:val="bottom"/>
          </w:tcPr>
          <w:p>
            <w:pPr>
              <w:spacing w:after="0"/>
              <w:rPr>
                <w:sz w:val="8"/>
                <w:szCs w:val="8"/>
                <w:color w:val="auto"/>
              </w:rPr>
            </w:pPr>
          </w:p>
        </w:tc>
        <w:tc>
          <w:tcPr>
            <w:tcW w:w="1140" w:type="dxa"/>
            <w:vAlign w:val="bottom"/>
          </w:tcPr>
          <w:p>
            <w:pPr>
              <w:jc w:val="right"/>
              <w:ind w:right="40"/>
              <w:spacing w:after="0" w:line="102" w:lineRule="exact"/>
              <w:rPr>
                <w:sz w:val="20"/>
                <w:szCs w:val="20"/>
                <w:color w:val="auto"/>
              </w:rPr>
            </w:pPr>
            <w:r>
              <w:rPr>
                <w:rFonts w:ascii="Arial" w:cs="Arial" w:eastAsia="Arial" w:hAnsi="Arial"/>
                <w:sz w:val="11"/>
                <w:szCs w:val="11"/>
                <w:color w:val="1252DE"/>
              </w:rPr>
              <w:t>Net Realized</w:t>
            </w:r>
          </w:p>
        </w:tc>
        <w:tc>
          <w:tcPr>
            <w:tcW w:w="200" w:type="dxa"/>
            <w:vAlign w:val="bottom"/>
          </w:tcPr>
          <w:p>
            <w:pPr>
              <w:spacing w:after="0"/>
              <w:rPr>
                <w:sz w:val="8"/>
                <w:szCs w:val="8"/>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1"/>
                <w:szCs w:val="11"/>
                <w:color w:val="1252DE"/>
              </w:rPr>
              <w:t>Other</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1"/>
                <w:szCs w:val="11"/>
                <w:color w:val="1252DE"/>
              </w:rPr>
              <w:t>Issuances</w:t>
            </w:r>
          </w:p>
        </w:tc>
        <w:tc>
          <w:tcPr>
            <w:tcW w:w="180" w:type="dxa"/>
            <w:vAlign w:val="bottom"/>
          </w:tcPr>
          <w:p>
            <w:pPr>
              <w:spacing w:after="0"/>
              <w:rPr>
                <w:sz w:val="8"/>
                <w:szCs w:val="8"/>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00" w:type="dxa"/>
            <w:vAlign w:val="bottom"/>
          </w:tcPr>
          <w:p>
            <w:pPr>
              <w:spacing w:after="0"/>
              <w:rPr>
                <w:sz w:val="8"/>
                <w:szCs w:val="8"/>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1252DE"/>
              </w:rPr>
              <w:t>Gross</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11"/>
                <w:szCs w:val="11"/>
                <w:color w:val="1252DE"/>
              </w:rPr>
              <w:t>Fair</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and Unrealized</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1252DE"/>
              </w:rPr>
              <w:t>Value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jc w:val="right"/>
              <w:ind w:right="79"/>
              <w:spacing w:after="0" w:line="108" w:lineRule="exact"/>
              <w:rPr>
                <w:sz w:val="20"/>
                <w:szCs w:val="20"/>
                <w:color w:val="auto"/>
              </w:rPr>
            </w:pPr>
            <w:r>
              <w:rPr>
                <w:rFonts w:ascii="Arial" w:cs="Arial" w:eastAsia="Arial" w:hAnsi="Arial"/>
                <w:sz w:val="11"/>
                <w:szCs w:val="11"/>
                <w:color w:val="1252DE"/>
                <w:w w:val="93"/>
              </w:rPr>
              <w:t>Beginning</w:t>
            </w:r>
          </w:p>
        </w:tc>
        <w:tc>
          <w:tcPr>
            <w:tcW w:w="220" w:type="dxa"/>
            <w:vAlign w:val="bottom"/>
          </w:tcPr>
          <w:p>
            <w:pPr>
              <w:spacing w:after="0"/>
              <w:rPr>
                <w:sz w:val="9"/>
                <w:szCs w:val="9"/>
                <w:color w:val="auto"/>
              </w:rPr>
            </w:pPr>
          </w:p>
        </w:tc>
        <w:tc>
          <w:tcPr>
            <w:tcW w:w="1140" w:type="dxa"/>
            <w:vAlign w:val="bottom"/>
          </w:tcPr>
          <w:p>
            <w:pPr>
              <w:jc w:val="right"/>
              <w:ind w:right="40"/>
              <w:spacing w:after="0" w:line="108" w:lineRule="exact"/>
              <w:rPr>
                <w:sz w:val="20"/>
                <w:szCs w:val="20"/>
                <w:color w:val="auto"/>
              </w:rPr>
            </w:pPr>
            <w:r>
              <w:rPr>
                <w:rFonts w:ascii="Arial" w:cs="Arial" w:eastAsia="Arial" w:hAnsi="Arial"/>
                <w:sz w:val="11"/>
                <w:szCs w:val="11"/>
                <w:color w:val="1252DE"/>
              </w:rPr>
              <w:t>(Gains) Losses</w:t>
            </w:r>
          </w:p>
        </w:tc>
        <w:tc>
          <w:tcPr>
            <w:tcW w:w="200" w:type="dxa"/>
            <w:vAlign w:val="bottom"/>
          </w:tcPr>
          <w:p>
            <w:pPr>
              <w:spacing w:after="0"/>
              <w:rPr>
                <w:sz w:val="9"/>
                <w:szCs w:val="9"/>
                <w:color w:val="auto"/>
              </w:rPr>
            </w:pPr>
          </w:p>
        </w:tc>
        <w:tc>
          <w:tcPr>
            <w:tcW w:w="90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Comprehensive</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ind w:right="39"/>
              <w:spacing w:after="0" w:line="108" w:lineRule="exact"/>
              <w:rPr>
                <w:sz w:val="20"/>
                <w:szCs w:val="20"/>
                <w:color w:val="auto"/>
              </w:rPr>
            </w:pPr>
            <w:r>
              <w:rPr>
                <w:rFonts w:ascii="Arial" w:cs="Arial" w:eastAsia="Arial" w:hAnsi="Arial"/>
                <w:sz w:val="11"/>
                <w:szCs w:val="11"/>
                <w:color w:val="1252DE"/>
              </w:rPr>
              <w:t>and</w:t>
            </w:r>
          </w:p>
        </w:tc>
        <w:tc>
          <w:tcPr>
            <w:tcW w:w="18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00" w:type="dxa"/>
            <w:vAlign w:val="bottom"/>
          </w:tcPr>
          <w:p>
            <w:pPr>
              <w:spacing w:after="0"/>
              <w:rPr>
                <w:sz w:val="9"/>
                <w:szCs w:val="9"/>
                <w:color w:val="auto"/>
              </w:rPr>
            </w:pPr>
          </w:p>
        </w:tc>
        <w:tc>
          <w:tcPr>
            <w:tcW w:w="560" w:type="dxa"/>
            <w:vAlign w:val="bottom"/>
          </w:tcPr>
          <w:p>
            <w:pPr>
              <w:jc w:val="right"/>
              <w:ind w:right="19"/>
              <w:spacing w:after="0" w:line="108" w:lineRule="exact"/>
              <w:rPr>
                <w:sz w:val="20"/>
                <w:szCs w:val="20"/>
                <w:color w:val="auto"/>
              </w:rPr>
            </w:pPr>
            <w:r>
              <w:rPr>
                <w:rFonts w:ascii="Arial" w:cs="Arial" w:eastAsia="Arial" w:hAnsi="Arial"/>
                <w:sz w:val="11"/>
                <w:szCs w:val="11"/>
                <w:color w:val="1252DE"/>
                <w:w w:val="98"/>
              </w:rPr>
              <w:t>Transfers</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1252DE"/>
              </w:rPr>
              <w:t>End of</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1"/>
                <w:szCs w:val="11"/>
                <w:i w:val="1"/>
                <w:iCs w:val="1"/>
                <w:color w:val="1252DE"/>
              </w:rPr>
              <w:t>(in millions)</w:t>
            </w:r>
          </w:p>
        </w:tc>
        <w:tc>
          <w:tcPr>
            <w:tcW w:w="26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39"/>
              <w:spacing w:after="0"/>
              <w:rPr>
                <w:sz w:val="20"/>
                <w:szCs w:val="20"/>
                <w:color w:val="auto"/>
              </w:rPr>
            </w:pPr>
            <w:r>
              <w:rPr>
                <w:rFonts w:ascii="Arial" w:cs="Arial" w:eastAsia="Arial" w:hAnsi="Arial"/>
                <w:sz w:val="11"/>
                <w:szCs w:val="11"/>
                <w:color w:val="1252DE"/>
              </w:rPr>
              <w:t>of Year</w:t>
            </w:r>
          </w:p>
        </w:tc>
        <w:tc>
          <w:tcPr>
            <w:tcW w:w="22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ind w:right="40"/>
              <w:spacing w:after="0"/>
              <w:rPr>
                <w:sz w:val="20"/>
                <w:szCs w:val="20"/>
                <w:color w:val="auto"/>
              </w:rPr>
            </w:pPr>
            <w:r>
              <w:rPr>
                <w:rFonts w:ascii="Arial" w:cs="Arial" w:eastAsia="Arial" w:hAnsi="Arial"/>
                <w:sz w:val="11"/>
                <w:szCs w:val="11"/>
                <w:color w:val="1252DE"/>
                <w:w w:val="98"/>
              </w:rPr>
              <w:t>Included in Income</w:t>
            </w:r>
            <w:r>
              <w:rPr>
                <w:rFonts w:ascii="Arial" w:cs="Arial" w:eastAsia="Arial" w:hAnsi="Arial"/>
                <w:sz w:val="14"/>
                <w:szCs w:val="14"/>
                <w:color w:val="1252DE"/>
                <w:w w:val="98"/>
                <w:vertAlign w:val="superscript"/>
              </w:rPr>
              <w:t>(a)</w:t>
            </w:r>
          </w:p>
        </w:tc>
        <w:tc>
          <w:tcPr>
            <w:tcW w:w="200" w:type="dxa"/>
            <w:vAlign w:val="bottom"/>
            <w:tcBorders>
              <w:bottom w:val="single" w:sz="8" w:color="1352DE"/>
            </w:tcBorders>
          </w:tcPr>
          <w:p>
            <w:pPr>
              <w:spacing w:after="0"/>
              <w:rPr>
                <w:sz w:val="14"/>
                <w:szCs w:val="14"/>
                <w:color w:val="auto"/>
              </w:rPr>
            </w:pP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1"/>
                <w:szCs w:val="11"/>
                <w:color w:val="1252DE"/>
              </w:rPr>
              <w:t>(Income) Loss</w:t>
            </w:r>
          </w:p>
        </w:tc>
        <w:tc>
          <w:tcPr>
            <w:tcW w:w="200" w:type="dxa"/>
            <w:vAlign w:val="bottom"/>
            <w:tcBorders>
              <w:bottom w:val="single" w:sz="8" w:color="1352DE"/>
            </w:tcBorders>
          </w:tcPr>
          <w:p>
            <w:pPr>
              <w:spacing w:after="0"/>
              <w:rPr>
                <w:sz w:val="14"/>
                <w:szCs w:val="14"/>
                <w:color w:val="auto"/>
              </w:rPr>
            </w:pPr>
          </w:p>
        </w:tc>
        <w:tc>
          <w:tcPr>
            <w:tcW w:w="6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w w:val="99"/>
              </w:rPr>
              <w:t>Purchases</w:t>
            </w:r>
          </w:p>
        </w:tc>
        <w:tc>
          <w:tcPr>
            <w:tcW w:w="300" w:type="dxa"/>
            <w:vAlign w:val="bottom"/>
            <w:tcBorders>
              <w:bottom w:val="single" w:sz="8" w:color="1352DE"/>
            </w:tcBorders>
          </w:tcPr>
          <w:p>
            <w:pPr>
              <w:spacing w:after="0"/>
              <w:rPr>
                <w:sz w:val="14"/>
                <w:szCs w:val="14"/>
                <w:color w:val="auto"/>
              </w:rPr>
            </w:pPr>
          </w:p>
        </w:tc>
        <w:tc>
          <w:tcPr>
            <w:tcW w:w="520" w:type="dxa"/>
            <w:vAlign w:val="bottom"/>
            <w:tcBorders>
              <w:bottom w:val="single" w:sz="8" w:color="1352DE"/>
            </w:tcBorders>
          </w:tcPr>
          <w:p>
            <w:pPr>
              <w:ind w:left="160"/>
              <w:spacing w:after="0"/>
              <w:rPr>
                <w:sz w:val="20"/>
                <w:szCs w:val="20"/>
                <w:color w:val="auto"/>
              </w:rPr>
            </w:pPr>
            <w:r>
              <w:rPr>
                <w:rFonts w:ascii="Arial" w:cs="Arial" w:eastAsia="Arial" w:hAnsi="Arial"/>
                <w:sz w:val="11"/>
                <w:szCs w:val="11"/>
                <w:color w:val="1252DE"/>
              </w:rPr>
              <w:t>Sales</w:t>
            </w:r>
          </w:p>
        </w:tc>
        <w:tc>
          <w:tcPr>
            <w:tcW w:w="20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1"/>
                <w:szCs w:val="11"/>
                <w:color w:val="1252DE"/>
                <w:w w:val="94"/>
              </w:rPr>
              <w:t>Settlements</w:t>
            </w:r>
            <w:r>
              <w:rPr>
                <w:rFonts w:ascii="Arial" w:cs="Arial" w:eastAsia="Arial" w:hAnsi="Arial"/>
                <w:sz w:val="14"/>
                <w:szCs w:val="14"/>
                <w:color w:val="1252DE"/>
                <w:w w:val="94"/>
                <w:vertAlign w:val="superscript"/>
              </w:rPr>
              <w:t>(b)</w:t>
            </w:r>
          </w:p>
        </w:tc>
        <w:tc>
          <w:tcPr>
            <w:tcW w:w="1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19"/>
              <w:spacing w:after="0"/>
              <w:rPr>
                <w:sz w:val="20"/>
                <w:szCs w:val="20"/>
                <w:color w:val="auto"/>
              </w:rPr>
            </w:pPr>
            <w:r>
              <w:rPr>
                <w:rFonts w:ascii="Arial" w:cs="Arial" w:eastAsia="Arial" w:hAnsi="Arial"/>
                <w:sz w:val="11"/>
                <w:szCs w:val="11"/>
                <w:color w:val="1252DE"/>
              </w:rPr>
              <w:t>In</w:t>
            </w:r>
          </w:p>
        </w:tc>
        <w:tc>
          <w:tcPr>
            <w:tcW w:w="20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ind w:right="19"/>
              <w:spacing w:after="0"/>
              <w:rPr>
                <w:sz w:val="20"/>
                <w:szCs w:val="20"/>
                <w:color w:val="auto"/>
              </w:rPr>
            </w:pPr>
            <w:r>
              <w:rPr>
                <w:rFonts w:ascii="Arial" w:cs="Arial" w:eastAsia="Arial" w:hAnsi="Arial"/>
                <w:sz w:val="11"/>
                <w:szCs w:val="11"/>
                <w:color w:val="1252DE"/>
              </w:rPr>
              <w:t>Out</w:t>
            </w:r>
          </w:p>
        </w:tc>
        <w:tc>
          <w:tcPr>
            <w:tcW w:w="220" w:type="dxa"/>
            <w:vAlign w:val="bottom"/>
            <w:tcBorders>
              <w:bottom w:val="single" w:sz="8" w:color="1352DE"/>
            </w:tcBorders>
          </w:tcPr>
          <w:p>
            <w:pPr>
              <w:spacing w:after="0"/>
              <w:rPr>
                <w:sz w:val="14"/>
                <w:szCs w:val="14"/>
                <w:color w:val="auto"/>
              </w:rPr>
            </w:pPr>
          </w:p>
        </w:tc>
        <w:tc>
          <w:tcPr>
            <w:tcW w:w="420" w:type="dxa"/>
            <w:vAlign w:val="bottom"/>
            <w:tcBorders>
              <w:bottom w:val="single" w:sz="8" w:color="1352DE"/>
            </w:tcBorders>
          </w:tcPr>
          <w:p>
            <w:pPr>
              <w:jc w:val="right"/>
              <w:ind w:right="18"/>
              <w:spacing w:after="0"/>
              <w:rPr>
                <w:sz w:val="20"/>
                <w:szCs w:val="20"/>
                <w:color w:val="auto"/>
              </w:rPr>
            </w:pPr>
            <w:r>
              <w:rPr>
                <w:rFonts w:ascii="Arial" w:cs="Arial" w:eastAsia="Arial" w:hAnsi="Arial"/>
                <w:sz w:val="11"/>
                <w:szCs w:val="11"/>
                <w:color w:val="1252DE"/>
              </w:rPr>
              <w:t>Other</w:t>
            </w:r>
          </w:p>
        </w:tc>
        <w:tc>
          <w:tcPr>
            <w:tcW w:w="240" w:type="dxa"/>
            <w:vAlign w:val="bottom"/>
            <w:tcBorders>
              <w:bottom w:val="single" w:sz="8" w:color="1352DE"/>
            </w:tcBorders>
          </w:tcPr>
          <w:p>
            <w:pPr>
              <w:spacing w:after="0"/>
              <w:rPr>
                <w:sz w:val="14"/>
                <w:szCs w:val="14"/>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1"/>
                <w:szCs w:val="11"/>
                <w:color w:val="1252DE"/>
              </w:rPr>
              <w:t>Period</w:t>
            </w:r>
          </w:p>
        </w:tc>
        <w:tc>
          <w:tcPr>
            <w:tcW w:w="0" w:type="dxa"/>
            <w:vAlign w:val="bottom"/>
          </w:tcPr>
          <w:p>
            <w:pPr>
              <w:spacing w:after="0"/>
              <w:rPr>
                <w:sz w:val="1"/>
                <w:szCs w:val="1"/>
                <w:color w:val="auto"/>
              </w:rPr>
            </w:pPr>
          </w:p>
        </w:tc>
      </w:tr>
      <w:tr>
        <w:trPr>
          <w:trHeight w:val="157"/>
        </w:trPr>
        <w:tc>
          <w:tcPr>
            <w:tcW w:w="2440" w:type="dxa"/>
            <w:vAlign w:val="bottom"/>
          </w:tcPr>
          <w:p>
            <w:pPr>
              <w:ind w:left="20"/>
              <w:spacing w:after="0"/>
              <w:rPr>
                <w:sz w:val="20"/>
                <w:szCs w:val="20"/>
                <w:color w:val="auto"/>
              </w:rPr>
            </w:pPr>
            <w:r>
              <w:rPr>
                <w:rFonts w:ascii="Arial" w:cs="Arial" w:eastAsia="Arial" w:hAnsi="Arial"/>
                <w:sz w:val="12"/>
                <w:szCs w:val="12"/>
                <w:b w:val="1"/>
                <w:bCs w:val="1"/>
                <w:color w:val="1252DE"/>
              </w:rPr>
              <w:t>Liabilities:</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40" w:type="dxa"/>
            <w:vAlign w:val="bottom"/>
          </w:tcPr>
          <w:p>
            <w:pPr>
              <w:ind w:left="140"/>
              <w:spacing w:after="0"/>
              <w:rPr>
                <w:sz w:val="20"/>
                <w:szCs w:val="20"/>
                <w:color w:val="auto"/>
              </w:rPr>
            </w:pPr>
            <w:r>
              <w:rPr>
                <w:rFonts w:ascii="Arial" w:cs="Arial" w:eastAsia="Arial" w:hAnsi="Arial"/>
                <w:sz w:val="12"/>
                <w:szCs w:val="12"/>
                <w:color w:val="auto"/>
              </w:rPr>
              <w:t>Fortitude Re funds withheld payable</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(128)</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80"/>
              <w:spacing w:after="0"/>
              <w:rPr>
                <w:sz w:val="20"/>
                <w:szCs w:val="20"/>
                <w:color w:val="auto"/>
              </w:rPr>
            </w:pPr>
            <w:r>
              <w:rPr>
                <w:rFonts w:ascii="Arial" w:cs="Arial" w:eastAsia="Arial" w:hAnsi="Arial"/>
                <w:sz w:val="13"/>
                <w:szCs w:val="13"/>
                <w:color w:val="auto"/>
              </w:rPr>
              <w:t>109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(84)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Other liabilities</w:t>
            </w:r>
          </w:p>
        </w:tc>
        <w:tc>
          <w:tcPr>
            <w:tcW w:w="26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100</w:t>
            </w:r>
          </w:p>
        </w:tc>
        <w:tc>
          <w:tcPr>
            <w:tcW w:w="22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40"/>
              <w:spacing w:after="0"/>
              <w:rPr>
                <w:sz w:val="20"/>
                <w:szCs w:val="20"/>
                <w:color w:val="auto"/>
              </w:rPr>
            </w:pPr>
            <w:r>
              <w:rPr>
                <w:rFonts w:ascii="Arial" w:cs="Arial" w:eastAsia="Arial" w:hAnsi="Arial"/>
                <w:sz w:val="13"/>
                <w:szCs w:val="13"/>
                <w:color w:val="auto"/>
              </w:rPr>
              <w:t>(28)</w:t>
            </w:r>
          </w:p>
        </w:tc>
        <w:tc>
          <w:tcPr>
            <w:tcW w:w="200" w:type="dxa"/>
            <w:vAlign w:val="bottom"/>
            <w:tcBorders>
              <w:bottom w:val="single" w:sz="8" w:color="1352DE"/>
            </w:tcBorders>
          </w:tcPr>
          <w:p>
            <w:pPr>
              <w:spacing w:after="0"/>
              <w:rPr>
                <w:sz w:val="15"/>
                <w:szCs w:val="15"/>
                <w:color w:val="auto"/>
              </w:rPr>
            </w:pPr>
          </w:p>
        </w:tc>
        <w:tc>
          <w:tcPr>
            <w:tcW w:w="90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1352DE"/>
            </w:tcBorders>
          </w:tcPr>
          <w:p>
            <w:pPr>
              <w:spacing w:after="0"/>
              <w:rPr>
                <w:sz w:val="15"/>
                <w:szCs w:val="15"/>
                <w:color w:val="auto"/>
              </w:rPr>
            </w:pPr>
          </w:p>
        </w:tc>
        <w:tc>
          <w:tcPr>
            <w:tcW w:w="5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1352DE"/>
            </w:tcBorders>
          </w:tcPr>
          <w:p>
            <w:pPr>
              <w:spacing w:after="0"/>
              <w:rPr>
                <w:sz w:val="15"/>
                <w:szCs w:val="15"/>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09"/>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w:t>
            </w:r>
          </w:p>
        </w:tc>
        <w:tc>
          <w:tcPr>
            <w:tcW w:w="2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(28)</w:t>
            </w:r>
          </w:p>
        </w:tc>
        <w:tc>
          <w:tcPr>
            <w:tcW w:w="22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1352DE"/>
            </w:tcBorders>
          </w:tcPr>
          <w:p>
            <w:pPr>
              <w:jc w:val="right"/>
              <w:ind w:right="80"/>
              <w:spacing w:after="0"/>
              <w:rPr>
                <w:sz w:val="20"/>
                <w:szCs w:val="20"/>
                <w:color w:val="auto"/>
              </w:rPr>
            </w:pPr>
            <w:r>
              <w:rPr>
                <w:rFonts w:ascii="Arial" w:cs="Arial" w:eastAsia="Arial" w:hAnsi="Arial"/>
                <w:sz w:val="13"/>
                <w:szCs w:val="13"/>
                <w:color w:val="auto"/>
              </w:rPr>
              <w:t>81</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1352DE"/>
            </w:tcBorders>
          </w:tcPr>
          <w:p>
            <w:pPr>
              <w:jc w:val="right"/>
              <w:ind w:right="7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1352DE"/>
            </w:tcBorders>
          </w:tcPr>
          <w:p>
            <w:pPr>
              <w:jc w:val="right"/>
              <w:ind w:right="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1352DE"/>
            </w:tcBorders>
          </w:tcPr>
          <w:p>
            <w:pPr>
              <w:jc w:val="right"/>
              <w:ind w:right="39"/>
              <w:spacing w:after="0"/>
              <w:rPr>
                <w:sz w:val="20"/>
                <w:szCs w:val="20"/>
                <w:color w:val="auto"/>
              </w:rPr>
            </w:pPr>
            <w:r>
              <w:rPr>
                <w:rFonts w:ascii="Arial" w:cs="Arial" w:eastAsia="Arial" w:hAnsi="Arial"/>
                <w:sz w:val="13"/>
                <w:szCs w:val="13"/>
                <w:color w:val="auto"/>
              </w:rPr>
              <w:t>(84)</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1352DE"/>
            </w:tcBorders>
          </w:tcPr>
          <w:p>
            <w:pPr>
              <w:jc w:val="right"/>
              <w:ind w:right="59"/>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1352DE"/>
            </w:tcBorders>
          </w:tcPr>
          <w:p>
            <w:pPr>
              <w:jc w:val="right"/>
              <w:ind w:right="78"/>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1352DE"/>
            </w:tcBorders>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160" w:hanging="212"/>
        <w:spacing w:after="0" w:line="273" w:lineRule="auto"/>
        <w:tabs>
          <w:tab w:leader="none" w:pos="208"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Net realized gains (losses) related to assets of $(8) million and $(7) million for the three months ended September 30, 2026 and 2025, respectively, and $(7) million and $(6) million for the nine months ended September 30, 2026 and 2025, respectively, and the remainder is recorded in Net investment income. All Net realized and unrealized gains (losses) related to liabilities are recorded in Net realized gains (losses).</w:t>
      </w:r>
    </w:p>
    <w:p>
      <w:pPr>
        <w:spacing w:after="0" w:line="43" w:lineRule="exact"/>
        <w:rPr>
          <w:rFonts w:ascii="Arial" w:cs="Arial" w:eastAsia="Arial" w:hAnsi="Arial"/>
          <w:sz w:val="13"/>
          <w:szCs w:val="13"/>
          <w:color w:val="auto"/>
        </w:rPr>
      </w:pPr>
    </w:p>
    <w:p>
      <w:pPr>
        <w:ind w:left="220" w:hanging="212"/>
        <w:spacing w:after="0"/>
        <w:tabs>
          <w:tab w:leader="none" w:pos="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There were no issuances during the three and nine months ended September 30, 2026 and 2025.</w:t>
      </w:r>
    </w:p>
    <w:p>
      <w:pPr>
        <w:spacing w:after="0" w:line="232" w:lineRule="exact"/>
        <w:rPr>
          <w:sz w:val="20"/>
          <w:szCs w:val="20"/>
          <w:color w:val="auto"/>
        </w:rPr>
      </w:pPr>
    </w:p>
    <w:p>
      <w:pPr>
        <w:ind w:right="360"/>
        <w:spacing w:after="0" w:line="367" w:lineRule="auto"/>
        <w:rPr>
          <w:sz w:val="20"/>
          <w:szCs w:val="20"/>
          <w:color w:val="auto"/>
        </w:rPr>
      </w:pPr>
      <w:r>
        <w:rPr>
          <w:rFonts w:ascii="Arial" w:cs="Arial" w:eastAsia="Arial" w:hAnsi="Arial"/>
          <w:sz w:val="16"/>
          <w:szCs w:val="16"/>
          <w:b w:val="1"/>
          <w:bCs w:val="1"/>
          <w:color w:val="1352DE"/>
        </w:rPr>
        <w:t>The following table presents the changes in unrealized gains (losses) for financial instruments classified as Level 3 still held at the end of the period: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Borders>
              <w:top w:val="single" w:sz="8" w:color="1352DE"/>
            </w:tcBorders>
          </w:tcPr>
          <w:p>
            <w:pPr>
              <w:spacing w:after="0"/>
              <w:rPr>
                <w:sz w:val="16"/>
                <w:szCs w:val="16"/>
                <w:color w:val="auto"/>
              </w:rPr>
            </w:pPr>
          </w:p>
        </w:tc>
        <w:tc>
          <w:tcPr>
            <w:tcW w:w="140" w:type="dxa"/>
            <w:vAlign w:val="bottom"/>
            <w:tcBorders>
              <w:top w:val="single" w:sz="8" w:color="1352DE"/>
              <w:bottom w:val="single" w:sz="8" w:color="1352DE"/>
            </w:tcBorders>
          </w:tcPr>
          <w:p>
            <w:pPr>
              <w:spacing w:after="0"/>
              <w:rPr>
                <w:sz w:val="16"/>
                <w:szCs w:val="16"/>
                <w:color w:val="auto"/>
              </w:rPr>
            </w:pPr>
          </w:p>
        </w:tc>
        <w:tc>
          <w:tcPr>
            <w:tcW w:w="720" w:type="dxa"/>
            <w:vAlign w:val="bottom"/>
            <w:tcBorders>
              <w:top w:val="single" w:sz="8" w:color="1352DE"/>
              <w:bottom w:val="single" w:sz="8" w:color="1352DE"/>
            </w:tcBorders>
          </w:tcPr>
          <w:p>
            <w:pPr>
              <w:spacing w:after="0"/>
              <w:rPr>
                <w:sz w:val="16"/>
                <w:szCs w:val="16"/>
                <w:color w:val="auto"/>
              </w:rPr>
            </w:pPr>
          </w:p>
        </w:tc>
        <w:tc>
          <w:tcPr>
            <w:tcW w:w="2600" w:type="dxa"/>
            <w:vAlign w:val="bottom"/>
            <w:tcBorders>
              <w:top w:val="single" w:sz="8" w:color="1352DE"/>
              <w:bottom w:val="single" w:sz="8" w:color="1352DE"/>
            </w:tcBorders>
            <w:gridSpan w:val="6"/>
          </w:tcPr>
          <w:p>
            <w:pPr>
              <w:jc w:val="right"/>
              <w:ind w:right="197"/>
              <w:spacing w:after="0"/>
              <w:rPr>
                <w:sz w:val="20"/>
                <w:szCs w:val="20"/>
                <w:color w:val="auto"/>
              </w:rPr>
            </w:pPr>
            <w:r>
              <w:rPr>
                <w:rFonts w:ascii="Arial" w:cs="Arial" w:eastAsia="Arial" w:hAnsi="Arial"/>
                <w:sz w:val="13"/>
                <w:szCs w:val="13"/>
                <w:color w:val="1252DE"/>
              </w:rPr>
              <w:t>Three Months Ended September 30,</w:t>
            </w:r>
          </w:p>
        </w:tc>
        <w:tc>
          <w:tcPr>
            <w:tcW w:w="920" w:type="dxa"/>
            <w:vAlign w:val="bottom"/>
            <w:tcBorders>
              <w:top w:val="single" w:sz="8" w:color="1352DE"/>
              <w:bottom w:val="single" w:sz="8" w:color="1352DE"/>
            </w:tcBorders>
          </w:tcPr>
          <w:p>
            <w:pPr>
              <w:spacing w:after="0"/>
              <w:rPr>
                <w:sz w:val="16"/>
                <w:szCs w:val="16"/>
                <w:color w:val="auto"/>
              </w:rPr>
            </w:pPr>
          </w:p>
        </w:tc>
        <w:tc>
          <w:tcPr>
            <w:tcW w:w="140" w:type="dxa"/>
            <w:vAlign w:val="bottom"/>
            <w:tcBorders>
              <w:top w:val="single" w:sz="8" w:color="1352DE"/>
            </w:tcBorders>
          </w:tcPr>
          <w:p>
            <w:pPr>
              <w:spacing w:after="0"/>
              <w:rPr>
                <w:sz w:val="16"/>
                <w:szCs w:val="16"/>
                <w:color w:val="auto"/>
              </w:rPr>
            </w:pPr>
          </w:p>
        </w:tc>
        <w:tc>
          <w:tcPr>
            <w:tcW w:w="140" w:type="dxa"/>
            <w:vAlign w:val="bottom"/>
            <w:tcBorders>
              <w:top w:val="single" w:sz="8" w:color="1352DE"/>
              <w:bottom w:val="single" w:sz="8" w:color="1352DE"/>
            </w:tcBorders>
          </w:tcPr>
          <w:p>
            <w:pPr>
              <w:spacing w:after="0"/>
              <w:rPr>
                <w:sz w:val="16"/>
                <w:szCs w:val="16"/>
                <w:color w:val="auto"/>
              </w:rPr>
            </w:pPr>
          </w:p>
        </w:tc>
        <w:tc>
          <w:tcPr>
            <w:tcW w:w="700" w:type="dxa"/>
            <w:vAlign w:val="bottom"/>
            <w:tcBorders>
              <w:top w:val="single" w:sz="8" w:color="1352DE"/>
              <w:bottom w:val="single" w:sz="8" w:color="1352DE"/>
            </w:tcBorders>
          </w:tcPr>
          <w:p>
            <w:pPr>
              <w:spacing w:after="0"/>
              <w:rPr>
                <w:sz w:val="16"/>
                <w:szCs w:val="16"/>
                <w:color w:val="auto"/>
              </w:rPr>
            </w:pPr>
          </w:p>
        </w:tc>
        <w:tc>
          <w:tcPr>
            <w:tcW w:w="360" w:type="dxa"/>
            <w:vAlign w:val="bottom"/>
            <w:tcBorders>
              <w:top w:val="single" w:sz="8" w:color="1352DE"/>
              <w:bottom w:val="single" w:sz="8" w:color="1352DE"/>
            </w:tcBorders>
          </w:tcPr>
          <w:p>
            <w:pPr>
              <w:spacing w:after="0"/>
              <w:rPr>
                <w:sz w:val="16"/>
                <w:szCs w:val="16"/>
                <w:color w:val="auto"/>
              </w:rPr>
            </w:pPr>
          </w:p>
        </w:tc>
        <w:tc>
          <w:tcPr>
            <w:tcW w:w="1960" w:type="dxa"/>
            <w:vAlign w:val="bottom"/>
            <w:tcBorders>
              <w:top w:val="single" w:sz="8" w:color="1352DE"/>
              <w:bottom w:val="single" w:sz="8" w:color="1352DE"/>
            </w:tcBorders>
            <w:gridSpan w:val="4"/>
          </w:tcPr>
          <w:p>
            <w:pPr>
              <w:jc w:val="right"/>
              <w:spacing w:after="0"/>
              <w:rPr>
                <w:sz w:val="20"/>
                <w:szCs w:val="20"/>
                <w:color w:val="auto"/>
              </w:rPr>
            </w:pPr>
            <w:r>
              <w:rPr>
                <w:rFonts w:ascii="Arial" w:cs="Arial" w:eastAsia="Arial" w:hAnsi="Arial"/>
                <w:sz w:val="13"/>
                <w:szCs w:val="13"/>
                <w:color w:val="1252DE"/>
                <w:w w:val="95"/>
              </w:rPr>
              <w:t>Nine Months Ended September 30,</w:t>
            </w:r>
          </w:p>
        </w:tc>
        <w:tc>
          <w:tcPr>
            <w:tcW w:w="280" w:type="dxa"/>
            <w:vAlign w:val="bottom"/>
            <w:tcBorders>
              <w:top w:val="single" w:sz="8" w:color="1352DE"/>
              <w:bottom w:val="single" w:sz="8" w:color="1352DE"/>
            </w:tcBorders>
          </w:tcPr>
          <w:p>
            <w:pPr>
              <w:spacing w:after="0"/>
              <w:rPr>
                <w:sz w:val="16"/>
                <w:szCs w:val="16"/>
                <w:color w:val="auto"/>
              </w:rPr>
            </w:pPr>
          </w:p>
        </w:tc>
        <w:tc>
          <w:tcPr>
            <w:tcW w:w="920" w:type="dxa"/>
            <w:vAlign w:val="bottom"/>
            <w:tcBorders>
              <w:top w:val="single" w:sz="8" w:color="1352DE"/>
              <w:bottom w:val="single" w:sz="8" w:color="1352DE"/>
            </w:tcBorders>
          </w:tcPr>
          <w:p>
            <w:pPr>
              <w:spacing w:after="0"/>
              <w:rPr>
                <w:sz w:val="16"/>
                <w:szCs w:val="16"/>
                <w:color w:val="auto"/>
              </w:rPr>
            </w:pPr>
          </w:p>
        </w:tc>
      </w:tr>
      <w:tr>
        <w:trPr>
          <w:trHeight w:val="172"/>
        </w:trPr>
        <w:tc>
          <w:tcPr>
            <w:tcW w:w="2340" w:type="dxa"/>
            <w:vAlign w:val="bottom"/>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spacing w:after="0"/>
              <w:rPr>
                <w:sz w:val="14"/>
                <w:szCs w:val="14"/>
                <w:color w:val="auto"/>
              </w:rPr>
            </w:pPr>
          </w:p>
        </w:tc>
        <w:tc>
          <w:tcPr>
            <w:tcW w:w="3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2026</w:t>
            </w:r>
          </w:p>
        </w:tc>
        <w:tc>
          <w:tcPr>
            <w:tcW w:w="920" w:type="dxa"/>
            <w:vAlign w:val="bottom"/>
            <w:tcBorders>
              <w:bottom w:val="single" w:sz="8" w:color="1352DE"/>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spacing w:after="0"/>
              <w:rPr>
                <w:sz w:val="14"/>
                <w:szCs w:val="14"/>
                <w:color w:val="auto"/>
              </w:rPr>
            </w:pPr>
          </w:p>
        </w:tc>
        <w:tc>
          <w:tcPr>
            <w:tcW w:w="3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2025</w:t>
            </w:r>
          </w:p>
        </w:tc>
        <w:tc>
          <w:tcPr>
            <w:tcW w:w="920" w:type="dxa"/>
            <w:vAlign w:val="bottom"/>
            <w:tcBorders>
              <w:bottom w:val="single" w:sz="8" w:color="1352DE"/>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700" w:type="dxa"/>
            <w:vAlign w:val="bottom"/>
            <w:tcBorders>
              <w:bottom w:val="single" w:sz="8" w:color="1352DE"/>
            </w:tcBorders>
          </w:tcPr>
          <w:p>
            <w:pPr>
              <w:spacing w:after="0"/>
              <w:rPr>
                <w:sz w:val="14"/>
                <w:szCs w:val="14"/>
                <w:color w:val="auto"/>
              </w:rPr>
            </w:pPr>
          </w:p>
        </w:tc>
        <w:tc>
          <w:tcPr>
            <w:tcW w:w="3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2026</w:t>
            </w:r>
          </w:p>
        </w:tc>
        <w:tc>
          <w:tcPr>
            <w:tcW w:w="920" w:type="dxa"/>
            <w:vAlign w:val="bottom"/>
            <w:tcBorders>
              <w:bottom w:val="single" w:sz="8" w:color="1352DE"/>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1352DE"/>
            </w:tcBorders>
          </w:tcPr>
          <w:p>
            <w:pPr>
              <w:spacing w:after="0"/>
              <w:rPr>
                <w:sz w:val="14"/>
                <w:szCs w:val="14"/>
                <w:color w:val="auto"/>
              </w:rPr>
            </w:pPr>
          </w:p>
        </w:tc>
        <w:tc>
          <w:tcPr>
            <w:tcW w:w="760" w:type="dxa"/>
            <w:vAlign w:val="bottom"/>
            <w:tcBorders>
              <w:bottom w:val="single" w:sz="8" w:color="1352DE"/>
            </w:tcBorders>
          </w:tcPr>
          <w:p>
            <w:pPr>
              <w:spacing w:after="0"/>
              <w:rPr>
                <w:sz w:val="14"/>
                <w:szCs w:val="14"/>
                <w:color w:val="auto"/>
              </w:rPr>
            </w:pPr>
          </w:p>
        </w:tc>
        <w:tc>
          <w:tcPr>
            <w:tcW w:w="2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w w:val="89"/>
              </w:rPr>
              <w:t>2025</w:t>
            </w:r>
          </w:p>
        </w:tc>
        <w:tc>
          <w:tcPr>
            <w:tcW w:w="920" w:type="dxa"/>
            <w:vAlign w:val="bottom"/>
            <w:tcBorders>
              <w:bottom w:val="single" w:sz="8" w:color="1352DE"/>
            </w:tcBorders>
          </w:tcPr>
          <w:p>
            <w:pPr>
              <w:spacing w:after="0"/>
              <w:rPr>
                <w:sz w:val="14"/>
                <w:szCs w:val="14"/>
                <w:color w:val="auto"/>
              </w:rPr>
            </w:pPr>
          </w:p>
        </w:tc>
      </w:tr>
      <w:tr>
        <w:trPr>
          <w:trHeight w:val="122"/>
        </w:trPr>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1252DE"/>
              </w:rPr>
              <w:t>Changes in</w:t>
            </w:r>
          </w:p>
        </w:tc>
        <w:tc>
          <w:tcPr>
            <w:tcW w:w="340" w:type="dxa"/>
            <w:vAlign w:val="bottom"/>
          </w:tcPr>
          <w:p>
            <w:pPr>
              <w:spacing w:after="0"/>
              <w:rPr>
                <w:sz w:val="10"/>
                <w:szCs w:val="10"/>
                <w:color w:val="auto"/>
              </w:rPr>
            </w:pP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rPr>
              <w:t>Changes in</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1252DE"/>
              </w:rPr>
              <w:t>Changes in</w:t>
            </w:r>
          </w:p>
        </w:tc>
        <w:tc>
          <w:tcPr>
            <w:tcW w:w="340" w:type="dxa"/>
            <w:vAlign w:val="bottom"/>
          </w:tcPr>
          <w:p>
            <w:pPr>
              <w:spacing w:after="0"/>
              <w:rPr>
                <w:sz w:val="10"/>
                <w:szCs w:val="10"/>
                <w:color w:val="auto"/>
              </w:rPr>
            </w:pP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rPr>
              <w:t>Changes in</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2"/>
                <w:szCs w:val="12"/>
                <w:color w:val="1252DE"/>
              </w:rPr>
              <w:t>Changes in</w:t>
            </w:r>
          </w:p>
        </w:tc>
        <w:tc>
          <w:tcPr>
            <w:tcW w:w="3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color w:val="1252DE"/>
              </w:rPr>
              <w:t>Changes in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58"/>
              <w:spacing w:after="0" w:line="122" w:lineRule="exact"/>
              <w:rPr>
                <w:sz w:val="20"/>
                <w:szCs w:val="20"/>
                <w:color w:val="auto"/>
              </w:rPr>
            </w:pPr>
            <w:r>
              <w:rPr>
                <w:rFonts w:ascii="Arial" w:cs="Arial" w:eastAsia="Arial" w:hAnsi="Arial"/>
                <w:sz w:val="12"/>
                <w:szCs w:val="12"/>
                <w:color w:val="1252DE"/>
              </w:rPr>
              <w:t>Changes in</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color w:val="1252DE"/>
              </w:rPr>
              <w:t>Changes in</w:t>
            </w:r>
          </w:p>
        </w:tc>
      </w:tr>
      <w:tr>
        <w:trPr>
          <w:trHeight w:val="116"/>
        </w:trPr>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Arial" w:cs="Arial" w:eastAsia="Arial" w:hAnsi="Arial"/>
                <w:sz w:val="12"/>
                <w:szCs w:val="12"/>
                <w:color w:val="1252DE"/>
              </w:rPr>
              <w:t>Unrealized</w:t>
            </w:r>
          </w:p>
        </w:tc>
        <w:tc>
          <w:tcPr>
            <w:tcW w:w="340" w:type="dxa"/>
            <w:vAlign w:val="bottom"/>
          </w:tcPr>
          <w:p>
            <w:pPr>
              <w:spacing w:after="0"/>
              <w:rPr>
                <w:sz w:val="10"/>
                <w:szCs w:val="10"/>
                <w:color w:val="auto"/>
              </w:rPr>
            </w:pPr>
          </w:p>
        </w:tc>
        <w:tc>
          <w:tcPr>
            <w:tcW w:w="106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w w:val="95"/>
              </w:rPr>
              <w:t>Unrealized Gains</w:t>
            </w:r>
          </w:p>
        </w:tc>
        <w:tc>
          <w:tcPr>
            <w:tcW w:w="14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Arial" w:cs="Arial" w:eastAsia="Arial" w:hAnsi="Arial"/>
                <w:sz w:val="12"/>
                <w:szCs w:val="12"/>
                <w:color w:val="1252DE"/>
              </w:rPr>
              <w:t>Unrealized</w:t>
            </w:r>
          </w:p>
        </w:tc>
        <w:tc>
          <w:tcPr>
            <w:tcW w:w="340" w:type="dxa"/>
            <w:vAlign w:val="bottom"/>
          </w:tcPr>
          <w:p>
            <w:pPr>
              <w:spacing w:after="0"/>
              <w:rPr>
                <w:sz w:val="10"/>
                <w:szCs w:val="10"/>
                <w:color w:val="auto"/>
              </w:rPr>
            </w:pPr>
          </w:p>
        </w:tc>
        <w:tc>
          <w:tcPr>
            <w:tcW w:w="106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w w:val="95"/>
              </w:rPr>
              <w:t>Unrealized Gains</w:t>
            </w:r>
          </w:p>
        </w:tc>
        <w:tc>
          <w:tcPr>
            <w:tcW w:w="14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Arial" w:cs="Arial" w:eastAsia="Arial" w:hAnsi="Arial"/>
                <w:sz w:val="12"/>
                <w:szCs w:val="12"/>
                <w:color w:val="1252DE"/>
              </w:rPr>
              <w:t>Unrealized</w:t>
            </w:r>
          </w:p>
        </w:tc>
        <w:tc>
          <w:tcPr>
            <w:tcW w:w="360" w:type="dxa"/>
            <w:vAlign w:val="bottom"/>
          </w:tcPr>
          <w:p>
            <w:pPr>
              <w:spacing w:after="0"/>
              <w:rPr>
                <w:sz w:val="10"/>
                <w:szCs w:val="10"/>
                <w:color w:val="auto"/>
              </w:rPr>
            </w:pPr>
          </w:p>
        </w:tc>
        <w:tc>
          <w:tcPr>
            <w:tcW w:w="920" w:type="dxa"/>
            <w:vAlign w:val="bottom"/>
          </w:tcPr>
          <w:p>
            <w:pPr>
              <w:jc w:val="right"/>
              <w:spacing w:after="0" w:line="116" w:lineRule="exact"/>
              <w:rPr>
                <w:sz w:val="20"/>
                <w:szCs w:val="20"/>
                <w:color w:val="auto"/>
              </w:rPr>
            </w:pPr>
            <w:r>
              <w:rPr>
                <w:rFonts w:ascii="Arial" w:cs="Arial" w:eastAsia="Arial" w:hAnsi="Arial"/>
                <w:sz w:val="12"/>
                <w:szCs w:val="12"/>
                <w:color w:val="1252DE"/>
                <w:w w:val="95"/>
              </w:rPr>
              <w:t>Unrealized Gains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58"/>
              <w:spacing w:after="0" w:line="116" w:lineRule="exact"/>
              <w:rPr>
                <w:sz w:val="20"/>
                <w:szCs w:val="20"/>
                <w:color w:val="auto"/>
              </w:rPr>
            </w:pPr>
            <w:r>
              <w:rPr>
                <w:rFonts w:ascii="Arial" w:cs="Arial" w:eastAsia="Arial" w:hAnsi="Arial"/>
                <w:sz w:val="12"/>
                <w:szCs w:val="12"/>
                <w:color w:val="1252DE"/>
              </w:rPr>
              <w:t>Unrealized</w:t>
            </w:r>
          </w:p>
        </w:tc>
        <w:tc>
          <w:tcPr>
            <w:tcW w:w="280" w:type="dxa"/>
            <w:vAlign w:val="bottom"/>
          </w:tcPr>
          <w:p>
            <w:pPr>
              <w:spacing w:after="0"/>
              <w:rPr>
                <w:sz w:val="10"/>
                <w:szCs w:val="10"/>
                <w:color w:val="auto"/>
              </w:rPr>
            </w:pPr>
          </w:p>
        </w:tc>
        <w:tc>
          <w:tcPr>
            <w:tcW w:w="920" w:type="dxa"/>
            <w:vAlign w:val="bottom"/>
          </w:tcPr>
          <w:p>
            <w:pPr>
              <w:jc w:val="right"/>
              <w:spacing w:after="0" w:line="116" w:lineRule="exact"/>
              <w:rPr>
                <w:sz w:val="20"/>
                <w:szCs w:val="20"/>
                <w:color w:val="auto"/>
              </w:rPr>
            </w:pPr>
            <w:r>
              <w:rPr>
                <w:rFonts w:ascii="Arial" w:cs="Arial" w:eastAsia="Arial" w:hAnsi="Arial"/>
                <w:sz w:val="12"/>
                <w:szCs w:val="12"/>
                <w:color w:val="1252DE"/>
                <w:w w:val="95"/>
              </w:rPr>
              <w:t>Unrealized Gains</w:t>
            </w:r>
          </w:p>
        </w:tc>
      </w:tr>
      <w:tr>
        <w:trPr>
          <w:trHeight w:val="114"/>
        </w:trPr>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2"/>
                <w:szCs w:val="12"/>
                <w:color w:val="1252DE"/>
              </w:rPr>
              <w:t>Gains</w:t>
            </w:r>
          </w:p>
        </w:tc>
        <w:tc>
          <w:tcPr>
            <w:tcW w:w="340" w:type="dxa"/>
            <w:vAlign w:val="bottom"/>
          </w:tcPr>
          <w:p>
            <w:pPr>
              <w:spacing w:after="0"/>
              <w:rPr>
                <w:sz w:val="9"/>
                <w:szCs w:val="9"/>
                <w:color w:val="auto"/>
              </w:rPr>
            </w:pPr>
          </w:p>
        </w:tc>
        <w:tc>
          <w:tcPr>
            <w:tcW w:w="1060" w:type="dxa"/>
            <w:vAlign w:val="bottom"/>
            <w:gridSpan w:val="2"/>
          </w:tcPr>
          <w:p>
            <w:pPr>
              <w:jc w:val="right"/>
              <w:ind w:right="160"/>
              <w:spacing w:after="0" w:line="114" w:lineRule="exact"/>
              <w:rPr>
                <w:sz w:val="20"/>
                <w:szCs w:val="20"/>
                <w:color w:val="auto"/>
              </w:rPr>
            </w:pPr>
            <w:r>
              <w:rPr>
                <w:rFonts w:ascii="Arial" w:cs="Arial" w:eastAsia="Arial" w:hAnsi="Arial"/>
                <w:sz w:val="12"/>
                <w:szCs w:val="12"/>
                <w:color w:val="1252DE"/>
              </w:rPr>
              <w:t>(Losses)</w:t>
            </w:r>
          </w:p>
        </w:tc>
        <w:tc>
          <w:tcPr>
            <w:tcW w:w="14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2"/>
                <w:szCs w:val="12"/>
                <w:color w:val="1252DE"/>
              </w:rPr>
              <w:t>Gains</w:t>
            </w:r>
          </w:p>
        </w:tc>
        <w:tc>
          <w:tcPr>
            <w:tcW w:w="340" w:type="dxa"/>
            <w:vAlign w:val="bottom"/>
          </w:tcPr>
          <w:p>
            <w:pPr>
              <w:spacing w:after="0"/>
              <w:rPr>
                <w:sz w:val="9"/>
                <w:szCs w:val="9"/>
                <w:color w:val="auto"/>
              </w:rPr>
            </w:pPr>
          </w:p>
        </w:tc>
        <w:tc>
          <w:tcPr>
            <w:tcW w:w="1060" w:type="dxa"/>
            <w:vAlign w:val="bottom"/>
            <w:gridSpan w:val="2"/>
          </w:tcPr>
          <w:p>
            <w:pPr>
              <w:jc w:val="right"/>
              <w:ind w:right="160"/>
              <w:spacing w:after="0" w:line="114" w:lineRule="exact"/>
              <w:rPr>
                <w:sz w:val="20"/>
                <w:szCs w:val="20"/>
                <w:color w:val="auto"/>
              </w:rPr>
            </w:pPr>
            <w:r>
              <w:rPr>
                <w:rFonts w:ascii="Arial" w:cs="Arial" w:eastAsia="Arial" w:hAnsi="Arial"/>
                <w:sz w:val="12"/>
                <w:szCs w:val="12"/>
                <w:color w:val="1252DE"/>
              </w:rPr>
              <w:t>(Losses)</w:t>
            </w:r>
          </w:p>
        </w:tc>
        <w:tc>
          <w:tcPr>
            <w:tcW w:w="14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2"/>
                <w:szCs w:val="12"/>
                <w:color w:val="1252DE"/>
              </w:rPr>
              <w:t>Gains</w:t>
            </w:r>
          </w:p>
        </w:tc>
        <w:tc>
          <w:tcPr>
            <w:tcW w:w="360" w:type="dxa"/>
            <w:vAlign w:val="bottom"/>
          </w:tcPr>
          <w:p>
            <w:pPr>
              <w:spacing w:after="0"/>
              <w:rPr>
                <w:sz w:val="9"/>
                <w:szCs w:val="9"/>
                <w:color w:val="auto"/>
              </w:rPr>
            </w:pPr>
          </w:p>
        </w:tc>
        <w:tc>
          <w:tcPr>
            <w:tcW w:w="920" w:type="dxa"/>
            <w:vAlign w:val="bottom"/>
          </w:tcPr>
          <w:p>
            <w:pPr>
              <w:jc w:val="right"/>
              <w:spacing w:after="0" w:line="114" w:lineRule="exact"/>
              <w:rPr>
                <w:sz w:val="20"/>
                <w:szCs w:val="20"/>
                <w:color w:val="auto"/>
              </w:rPr>
            </w:pPr>
            <w:r>
              <w:rPr>
                <w:rFonts w:ascii="Arial" w:cs="Arial" w:eastAsia="Arial" w:hAnsi="Arial"/>
                <w:sz w:val="12"/>
                <w:szCs w:val="12"/>
                <w:color w:val="1252DE"/>
              </w:rPr>
              <w:t>(Losses)</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ind w:right="58"/>
              <w:spacing w:after="0" w:line="114" w:lineRule="exact"/>
              <w:rPr>
                <w:sz w:val="20"/>
                <w:szCs w:val="20"/>
                <w:color w:val="auto"/>
              </w:rPr>
            </w:pPr>
            <w:r>
              <w:rPr>
                <w:rFonts w:ascii="Arial" w:cs="Arial" w:eastAsia="Arial" w:hAnsi="Arial"/>
                <w:sz w:val="12"/>
                <w:szCs w:val="12"/>
                <w:color w:val="1252DE"/>
              </w:rPr>
              <w:t>Gains</w:t>
            </w:r>
          </w:p>
        </w:tc>
        <w:tc>
          <w:tcPr>
            <w:tcW w:w="280" w:type="dxa"/>
            <w:vAlign w:val="bottom"/>
          </w:tcPr>
          <w:p>
            <w:pPr>
              <w:spacing w:after="0"/>
              <w:rPr>
                <w:sz w:val="9"/>
                <w:szCs w:val="9"/>
                <w:color w:val="auto"/>
              </w:rPr>
            </w:pPr>
          </w:p>
        </w:tc>
        <w:tc>
          <w:tcPr>
            <w:tcW w:w="920" w:type="dxa"/>
            <w:vAlign w:val="bottom"/>
          </w:tcPr>
          <w:p>
            <w:pPr>
              <w:jc w:val="right"/>
              <w:spacing w:after="0" w:line="114" w:lineRule="exact"/>
              <w:rPr>
                <w:sz w:val="20"/>
                <w:szCs w:val="20"/>
                <w:color w:val="auto"/>
              </w:rPr>
            </w:pPr>
            <w:r>
              <w:rPr>
                <w:rFonts w:ascii="Arial" w:cs="Arial" w:eastAsia="Arial" w:hAnsi="Arial"/>
                <w:sz w:val="12"/>
                <w:szCs w:val="12"/>
                <w:color w:val="1252DE"/>
              </w:rPr>
              <w:t>(Losses)</w:t>
            </w:r>
          </w:p>
        </w:tc>
      </w:tr>
      <w:tr>
        <w:trPr>
          <w:trHeight w:val="122"/>
        </w:trPr>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1252DE"/>
              </w:rPr>
              <w:t>(Losses)</w:t>
            </w:r>
          </w:p>
        </w:tc>
        <w:tc>
          <w:tcPr>
            <w:tcW w:w="340" w:type="dxa"/>
            <w:vAlign w:val="bottom"/>
          </w:tcPr>
          <w:p>
            <w:pPr>
              <w:spacing w:after="0"/>
              <w:rPr>
                <w:sz w:val="10"/>
                <w:szCs w:val="10"/>
                <w:color w:val="auto"/>
              </w:rPr>
            </w:pP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w w:val="96"/>
              </w:rPr>
              <w:t>Included in Other</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1252DE"/>
              </w:rPr>
              <w:t>(Losses)</w:t>
            </w:r>
          </w:p>
        </w:tc>
        <w:tc>
          <w:tcPr>
            <w:tcW w:w="340" w:type="dxa"/>
            <w:vAlign w:val="bottom"/>
          </w:tcPr>
          <w:p>
            <w:pPr>
              <w:spacing w:after="0"/>
              <w:rPr>
                <w:sz w:val="10"/>
                <w:szCs w:val="10"/>
                <w:color w:val="auto"/>
              </w:rPr>
            </w:pP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w w:val="96"/>
              </w:rPr>
              <w:t>Included in Other</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2"/>
                <w:szCs w:val="12"/>
                <w:color w:val="1252DE"/>
              </w:rPr>
              <w:t>(Losses)</w:t>
            </w:r>
          </w:p>
        </w:tc>
        <w:tc>
          <w:tcPr>
            <w:tcW w:w="3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color w:val="1252DE"/>
                <w:w w:val="96"/>
              </w:rPr>
              <w:t>Included in Other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58"/>
              <w:spacing w:after="0" w:line="122" w:lineRule="exact"/>
              <w:rPr>
                <w:sz w:val="20"/>
                <w:szCs w:val="20"/>
                <w:color w:val="auto"/>
              </w:rPr>
            </w:pPr>
            <w:r>
              <w:rPr>
                <w:rFonts w:ascii="Arial" w:cs="Arial" w:eastAsia="Arial" w:hAnsi="Arial"/>
                <w:sz w:val="12"/>
                <w:szCs w:val="12"/>
                <w:color w:val="1252DE"/>
              </w:rPr>
              <w:t>(Losses)</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color w:val="1252DE"/>
                <w:w w:val="96"/>
              </w:rPr>
              <w:t>Included in Other</w:t>
            </w:r>
          </w:p>
        </w:tc>
      </w:tr>
      <w:tr>
        <w:trPr>
          <w:trHeight w:val="116"/>
        </w:trPr>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Arial" w:cs="Arial" w:eastAsia="Arial" w:hAnsi="Arial"/>
                <w:sz w:val="12"/>
                <w:szCs w:val="12"/>
                <w:color w:val="1252DE"/>
              </w:rPr>
              <w:t>Included in</w:t>
            </w:r>
          </w:p>
        </w:tc>
        <w:tc>
          <w:tcPr>
            <w:tcW w:w="340" w:type="dxa"/>
            <w:vAlign w:val="bottom"/>
          </w:tcPr>
          <w:p>
            <w:pPr>
              <w:spacing w:after="0"/>
              <w:rPr>
                <w:sz w:val="10"/>
                <w:szCs w:val="10"/>
                <w:color w:val="auto"/>
              </w:rPr>
            </w:pPr>
          </w:p>
        </w:tc>
        <w:tc>
          <w:tcPr>
            <w:tcW w:w="106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rPr>
              <w:t>Comprehensive</w:t>
            </w:r>
          </w:p>
        </w:tc>
        <w:tc>
          <w:tcPr>
            <w:tcW w:w="14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Arial" w:cs="Arial" w:eastAsia="Arial" w:hAnsi="Arial"/>
                <w:sz w:val="12"/>
                <w:szCs w:val="12"/>
                <w:color w:val="1252DE"/>
              </w:rPr>
              <w:t>Included in</w:t>
            </w:r>
          </w:p>
        </w:tc>
        <w:tc>
          <w:tcPr>
            <w:tcW w:w="340" w:type="dxa"/>
            <w:vAlign w:val="bottom"/>
          </w:tcPr>
          <w:p>
            <w:pPr>
              <w:spacing w:after="0"/>
              <w:rPr>
                <w:sz w:val="10"/>
                <w:szCs w:val="10"/>
                <w:color w:val="auto"/>
              </w:rPr>
            </w:pPr>
          </w:p>
        </w:tc>
        <w:tc>
          <w:tcPr>
            <w:tcW w:w="106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rPr>
              <w:t>Comprehensive</w:t>
            </w:r>
          </w:p>
        </w:tc>
        <w:tc>
          <w:tcPr>
            <w:tcW w:w="14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Arial" w:cs="Arial" w:eastAsia="Arial" w:hAnsi="Arial"/>
                <w:sz w:val="12"/>
                <w:szCs w:val="12"/>
                <w:color w:val="1252DE"/>
              </w:rPr>
              <w:t>Included in</w:t>
            </w:r>
          </w:p>
        </w:tc>
        <w:tc>
          <w:tcPr>
            <w:tcW w:w="360" w:type="dxa"/>
            <w:vAlign w:val="bottom"/>
          </w:tcPr>
          <w:p>
            <w:pPr>
              <w:spacing w:after="0"/>
              <w:rPr>
                <w:sz w:val="10"/>
                <w:szCs w:val="10"/>
                <w:color w:val="auto"/>
              </w:rPr>
            </w:pPr>
          </w:p>
        </w:tc>
        <w:tc>
          <w:tcPr>
            <w:tcW w:w="920" w:type="dxa"/>
            <w:vAlign w:val="bottom"/>
          </w:tcPr>
          <w:p>
            <w:pPr>
              <w:jc w:val="right"/>
              <w:spacing w:after="0" w:line="116" w:lineRule="exact"/>
              <w:rPr>
                <w:sz w:val="20"/>
                <w:szCs w:val="20"/>
                <w:color w:val="auto"/>
              </w:rPr>
            </w:pPr>
            <w:r>
              <w:rPr>
                <w:rFonts w:ascii="Arial" w:cs="Arial" w:eastAsia="Arial" w:hAnsi="Arial"/>
                <w:sz w:val="12"/>
                <w:szCs w:val="12"/>
                <w:color w:val="1252DE"/>
              </w:rPr>
              <w:t>Comprehensive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58"/>
              <w:spacing w:after="0" w:line="116" w:lineRule="exact"/>
              <w:rPr>
                <w:sz w:val="20"/>
                <w:szCs w:val="20"/>
                <w:color w:val="auto"/>
              </w:rPr>
            </w:pPr>
            <w:r>
              <w:rPr>
                <w:rFonts w:ascii="Arial" w:cs="Arial" w:eastAsia="Arial" w:hAnsi="Arial"/>
                <w:sz w:val="12"/>
                <w:szCs w:val="12"/>
                <w:color w:val="1252DE"/>
              </w:rPr>
              <w:t>Included in</w:t>
            </w:r>
          </w:p>
        </w:tc>
        <w:tc>
          <w:tcPr>
            <w:tcW w:w="280" w:type="dxa"/>
            <w:vAlign w:val="bottom"/>
          </w:tcPr>
          <w:p>
            <w:pPr>
              <w:spacing w:after="0"/>
              <w:rPr>
                <w:sz w:val="10"/>
                <w:szCs w:val="10"/>
                <w:color w:val="auto"/>
              </w:rPr>
            </w:pPr>
          </w:p>
        </w:tc>
        <w:tc>
          <w:tcPr>
            <w:tcW w:w="920" w:type="dxa"/>
            <w:vAlign w:val="bottom"/>
          </w:tcPr>
          <w:p>
            <w:pPr>
              <w:jc w:val="right"/>
              <w:spacing w:after="0" w:line="116" w:lineRule="exact"/>
              <w:rPr>
                <w:sz w:val="20"/>
                <w:szCs w:val="20"/>
                <w:color w:val="auto"/>
              </w:rPr>
            </w:pPr>
            <w:r>
              <w:rPr>
                <w:rFonts w:ascii="Arial" w:cs="Arial" w:eastAsia="Arial" w:hAnsi="Arial"/>
                <w:sz w:val="12"/>
                <w:szCs w:val="12"/>
                <w:color w:val="1252DE"/>
              </w:rPr>
              <w:t>Comprehensive</w:t>
            </w:r>
          </w:p>
        </w:tc>
      </w:tr>
      <w:tr>
        <w:trPr>
          <w:trHeight w:val="159"/>
        </w:trPr>
        <w:tc>
          <w:tcPr>
            <w:tcW w:w="2340" w:type="dxa"/>
            <w:vAlign w:val="bottom"/>
            <w:tcBorders>
              <w:bottom w:val="single" w:sz="8" w:color="1352DE"/>
            </w:tcBorders>
          </w:tcPr>
          <w:p>
            <w:pPr>
              <w:ind w:left="40"/>
              <w:spacing w:after="0"/>
              <w:rPr>
                <w:sz w:val="20"/>
                <w:szCs w:val="20"/>
                <w:color w:val="auto"/>
              </w:rPr>
            </w:pPr>
            <w:r>
              <w:rPr>
                <w:rFonts w:ascii="Arial" w:cs="Arial" w:eastAsia="Arial" w:hAnsi="Arial"/>
                <w:sz w:val="11"/>
                <w:szCs w:val="11"/>
                <w:i w:val="1"/>
                <w:iCs w:val="1"/>
                <w:color w:val="1252DE"/>
              </w:rPr>
              <w:t>(in millions)</w:t>
            </w:r>
          </w:p>
        </w:tc>
        <w:tc>
          <w:tcPr>
            <w:tcW w:w="140" w:type="dxa"/>
            <w:vAlign w:val="bottom"/>
            <w:tcBorders>
              <w:bottom w:val="single" w:sz="8" w:color="1352DE"/>
            </w:tcBorders>
          </w:tcPr>
          <w:p>
            <w:pPr>
              <w:spacing w:after="0"/>
              <w:rPr>
                <w:sz w:val="13"/>
                <w:szCs w:val="13"/>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Income</w:t>
            </w:r>
          </w:p>
        </w:tc>
        <w:tc>
          <w:tcPr>
            <w:tcW w:w="340" w:type="dxa"/>
            <w:vAlign w:val="bottom"/>
            <w:tcBorders>
              <w:bottom w:val="single" w:sz="8" w:color="1352DE"/>
            </w:tcBorders>
          </w:tcPr>
          <w:p>
            <w:pPr>
              <w:spacing w:after="0"/>
              <w:rPr>
                <w:sz w:val="13"/>
                <w:szCs w:val="13"/>
                <w:color w:val="auto"/>
              </w:rPr>
            </w:pPr>
          </w:p>
        </w:tc>
        <w:tc>
          <w:tcPr>
            <w:tcW w:w="106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2"/>
                <w:szCs w:val="12"/>
                <w:color w:val="1252DE"/>
              </w:rPr>
              <w:t>Income (Loss)</w:t>
            </w:r>
          </w:p>
        </w:tc>
        <w:tc>
          <w:tcPr>
            <w:tcW w:w="140" w:type="dxa"/>
            <w:vAlign w:val="bottom"/>
            <w:tcBorders>
              <w:bottom w:val="single" w:sz="8" w:color="1352DE"/>
            </w:tcBorders>
          </w:tcPr>
          <w:p>
            <w:pPr>
              <w:spacing w:after="0"/>
              <w:rPr>
                <w:sz w:val="13"/>
                <w:szCs w:val="13"/>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Income</w:t>
            </w:r>
          </w:p>
        </w:tc>
        <w:tc>
          <w:tcPr>
            <w:tcW w:w="340" w:type="dxa"/>
            <w:vAlign w:val="bottom"/>
            <w:tcBorders>
              <w:bottom w:val="single" w:sz="8" w:color="1352DE"/>
            </w:tcBorders>
          </w:tcPr>
          <w:p>
            <w:pPr>
              <w:spacing w:after="0"/>
              <w:rPr>
                <w:sz w:val="13"/>
                <w:szCs w:val="13"/>
                <w:color w:val="auto"/>
              </w:rPr>
            </w:pPr>
          </w:p>
        </w:tc>
        <w:tc>
          <w:tcPr>
            <w:tcW w:w="106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2"/>
                <w:szCs w:val="12"/>
                <w:color w:val="1252DE"/>
              </w:rPr>
              <w:t>Income (Loss)</w:t>
            </w:r>
          </w:p>
        </w:tc>
        <w:tc>
          <w:tcPr>
            <w:tcW w:w="140" w:type="dxa"/>
            <w:vAlign w:val="bottom"/>
            <w:tcBorders>
              <w:bottom w:val="single" w:sz="8" w:color="1352DE"/>
            </w:tcBorders>
          </w:tcPr>
          <w:p>
            <w:pPr>
              <w:spacing w:after="0"/>
              <w:rPr>
                <w:sz w:val="13"/>
                <w:szCs w:val="13"/>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Income</w:t>
            </w:r>
          </w:p>
        </w:tc>
        <w:tc>
          <w:tcPr>
            <w:tcW w:w="360" w:type="dxa"/>
            <w:vAlign w:val="bottom"/>
            <w:tcBorders>
              <w:bottom w:val="single" w:sz="8" w:color="1352DE"/>
            </w:tcBorders>
          </w:tcPr>
          <w:p>
            <w:pPr>
              <w:spacing w:after="0"/>
              <w:rPr>
                <w:sz w:val="13"/>
                <w:szCs w:val="13"/>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Income (Loss)</w:t>
            </w:r>
          </w:p>
        </w:tc>
        <w:tc>
          <w:tcPr>
            <w:tcW w:w="120" w:type="dxa"/>
            <w:vAlign w:val="bottom"/>
            <w:tcBorders>
              <w:bottom w:val="single" w:sz="8" w:color="1352DE"/>
            </w:tcBorders>
          </w:tcPr>
          <w:p>
            <w:pPr>
              <w:spacing w:after="0"/>
              <w:rPr>
                <w:sz w:val="13"/>
                <w:szCs w:val="13"/>
                <w:color w:val="auto"/>
              </w:rPr>
            </w:pPr>
          </w:p>
        </w:tc>
        <w:tc>
          <w:tcPr>
            <w:tcW w:w="160" w:type="dxa"/>
            <w:vAlign w:val="bottom"/>
            <w:tcBorders>
              <w:bottom w:val="single" w:sz="8" w:color="1352DE"/>
            </w:tcBorders>
          </w:tcPr>
          <w:p>
            <w:pPr>
              <w:spacing w:after="0"/>
              <w:rPr>
                <w:sz w:val="13"/>
                <w:szCs w:val="13"/>
                <w:color w:val="auto"/>
              </w:rPr>
            </w:pPr>
          </w:p>
        </w:tc>
        <w:tc>
          <w:tcPr>
            <w:tcW w:w="760" w:type="dxa"/>
            <w:vAlign w:val="bottom"/>
            <w:tcBorders>
              <w:bottom w:val="single" w:sz="8" w:color="1352DE"/>
            </w:tcBorders>
          </w:tcPr>
          <w:p>
            <w:pPr>
              <w:jc w:val="right"/>
              <w:ind w:right="58"/>
              <w:spacing w:after="0"/>
              <w:rPr>
                <w:sz w:val="20"/>
                <w:szCs w:val="20"/>
                <w:color w:val="auto"/>
              </w:rPr>
            </w:pPr>
            <w:r>
              <w:rPr>
                <w:rFonts w:ascii="Arial" w:cs="Arial" w:eastAsia="Arial" w:hAnsi="Arial"/>
                <w:sz w:val="12"/>
                <w:szCs w:val="12"/>
                <w:color w:val="1252DE"/>
              </w:rPr>
              <w:t>Income</w:t>
            </w:r>
          </w:p>
        </w:tc>
        <w:tc>
          <w:tcPr>
            <w:tcW w:w="280" w:type="dxa"/>
            <w:vAlign w:val="bottom"/>
            <w:tcBorders>
              <w:bottom w:val="single" w:sz="8" w:color="1352DE"/>
            </w:tcBorders>
          </w:tcPr>
          <w:p>
            <w:pPr>
              <w:spacing w:after="0"/>
              <w:rPr>
                <w:sz w:val="13"/>
                <w:szCs w:val="13"/>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Income (Loss)</w:t>
            </w:r>
          </w:p>
        </w:tc>
      </w:tr>
      <w:tr>
        <w:trPr>
          <w:trHeight w:val="160"/>
        </w:trPr>
        <w:tc>
          <w:tcPr>
            <w:tcW w:w="2340" w:type="dxa"/>
            <w:vAlign w:val="bottom"/>
          </w:tcPr>
          <w:p>
            <w:pPr>
              <w:ind w:left="20"/>
              <w:spacing w:after="0"/>
              <w:rPr>
                <w:sz w:val="20"/>
                <w:szCs w:val="20"/>
                <w:color w:val="auto"/>
              </w:rPr>
            </w:pPr>
            <w:r>
              <w:rPr>
                <w:rFonts w:ascii="Arial" w:cs="Arial" w:eastAsia="Arial" w:hAnsi="Arial"/>
                <w:sz w:val="12"/>
                <w:szCs w:val="12"/>
                <w:b w:val="1"/>
                <w:bCs w:val="1"/>
                <w:color w:val="1252DE"/>
              </w:rPr>
              <w:t>Assets: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5"/>
        </w:trPr>
        <w:tc>
          <w:tcPr>
            <w:tcW w:w="2340" w:type="dxa"/>
            <w:vAlign w:val="bottom"/>
          </w:tcPr>
          <w:p>
            <w:pPr>
              <w:ind w:left="140"/>
              <w:spacing w:after="0"/>
              <w:rPr>
                <w:sz w:val="20"/>
                <w:szCs w:val="20"/>
                <w:color w:val="auto"/>
              </w:rPr>
            </w:pPr>
            <w:r>
              <w:rPr>
                <w:rFonts w:ascii="Arial" w:cs="Arial" w:eastAsia="Arial" w:hAnsi="Arial"/>
                <w:sz w:val="12"/>
                <w:szCs w:val="12"/>
                <w:b w:val="1"/>
                <w:bCs w:val="1"/>
                <w:color w:val="1252DE"/>
              </w:rPr>
              <w:t>Bonds available for sale:</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340" w:type="dxa"/>
            <w:vAlign w:val="bottom"/>
          </w:tcPr>
          <w:p>
            <w:pPr>
              <w:ind w:left="240"/>
              <w:spacing w:after="0"/>
              <w:rPr>
                <w:sz w:val="20"/>
                <w:szCs w:val="20"/>
                <w:color w:val="auto"/>
              </w:rPr>
            </w:pPr>
            <w:r>
              <w:rPr>
                <w:rFonts w:ascii="Arial" w:cs="Arial" w:eastAsia="Arial" w:hAnsi="Arial"/>
                <w:sz w:val="12"/>
                <w:szCs w:val="12"/>
                <w:color w:val="auto"/>
              </w:rPr>
              <w:t>Corporate debt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720" w:type="dxa"/>
            <w:vAlign w:val="bottom"/>
          </w:tcPr>
          <w:p>
            <w:pPr>
              <w:jc w:val="right"/>
              <w:ind w:right="38"/>
              <w:spacing w:after="0"/>
              <w:rPr>
                <w:sz w:val="20"/>
                <w:szCs w:val="20"/>
                <w:color w:val="auto"/>
              </w:rPr>
            </w:pPr>
            <w:r>
              <w:rPr>
                <w:rFonts w:ascii="Arial" w:cs="Arial" w:eastAsia="Arial" w:hAnsi="Arial"/>
                <w:sz w:val="13"/>
                <w:szCs w:val="13"/>
                <w:b w:val="1"/>
                <w:bCs w:val="1"/>
                <w:color w:val="1352DE"/>
              </w:rPr>
              <w:t>—</w:t>
            </w:r>
          </w:p>
        </w:tc>
        <w:tc>
          <w:tcPr>
            <w:tcW w:w="340" w:type="dxa"/>
            <w:vAlign w:val="bottom"/>
          </w:tcPr>
          <w:p>
            <w:pPr>
              <w:jc w:val="right"/>
              <w:ind w:right="97"/>
              <w:spacing w:after="0"/>
              <w:rPr>
                <w:sz w:val="20"/>
                <w:szCs w:val="20"/>
                <w:color w:val="auto"/>
              </w:rPr>
            </w:pPr>
            <w:r>
              <w:rPr>
                <w:rFonts w:ascii="Arial" w:cs="Arial" w:eastAsia="Arial" w:hAnsi="Arial"/>
                <w:sz w:val="13"/>
                <w:szCs w:val="13"/>
                <w:b w:val="1"/>
                <w:bCs w:val="1"/>
                <w:color w:val="1352DE"/>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1352DE"/>
              </w:rPr>
              <w:t>8</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1352DE"/>
                <w:w w:val="82"/>
              </w:rPr>
              <w:t>$</w:t>
            </w:r>
          </w:p>
        </w:tc>
        <w:tc>
          <w:tcPr>
            <w:tcW w:w="700" w:type="dxa"/>
            <w:vAlign w:val="bottom"/>
          </w:tcPr>
          <w:p>
            <w:pPr>
              <w:jc w:val="right"/>
              <w:ind w:right="38"/>
              <w:spacing w:after="0"/>
              <w:rPr>
                <w:sz w:val="20"/>
                <w:szCs w:val="20"/>
                <w:color w:val="auto"/>
              </w:rPr>
            </w:pPr>
            <w:r>
              <w:rPr>
                <w:rFonts w:ascii="Arial" w:cs="Arial" w:eastAsia="Arial" w:hAnsi="Arial"/>
                <w:sz w:val="13"/>
                <w:szCs w:val="13"/>
                <w:b w:val="1"/>
                <w:bCs w:val="1"/>
                <w:color w:val="1352DE"/>
              </w:rPr>
              <w:t>—</w:t>
            </w:r>
          </w:p>
        </w:tc>
        <w:tc>
          <w:tcPr>
            <w:tcW w:w="360" w:type="dxa"/>
            <w:vAlign w:val="bottom"/>
          </w:tcPr>
          <w:p>
            <w:pPr>
              <w:jc w:val="right"/>
              <w:ind w:right="117"/>
              <w:spacing w:after="0"/>
              <w:rPr>
                <w:sz w:val="20"/>
                <w:szCs w:val="20"/>
                <w:color w:val="auto"/>
              </w:rPr>
            </w:pPr>
            <w:r>
              <w:rPr>
                <w:rFonts w:ascii="Arial" w:cs="Arial" w:eastAsia="Arial" w:hAnsi="Arial"/>
                <w:sz w:val="13"/>
                <w:szCs w:val="13"/>
                <w:b w:val="1"/>
                <w:bCs w:val="1"/>
                <w:color w:val="1352DE"/>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1352DE"/>
              </w:rPr>
              <w:t>2</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5"/>
        </w:trPr>
        <w:tc>
          <w:tcPr>
            <w:tcW w:w="2340" w:type="dxa"/>
            <w:vAlign w:val="bottom"/>
          </w:tcPr>
          <w:p>
            <w:pPr>
              <w:ind w:left="240"/>
              <w:spacing w:after="0"/>
              <w:rPr>
                <w:sz w:val="20"/>
                <w:szCs w:val="20"/>
                <w:color w:val="auto"/>
              </w:rPr>
            </w:pPr>
            <w:r>
              <w:rPr>
                <w:rFonts w:ascii="Arial" w:cs="Arial" w:eastAsia="Arial" w:hAnsi="Arial"/>
                <w:sz w:val="12"/>
                <w:szCs w:val="12"/>
                <w:color w:val="auto"/>
              </w:rPr>
              <w:t>RMBS</w:t>
            </w:r>
          </w:p>
        </w:tc>
        <w:tc>
          <w:tcPr>
            <w:tcW w:w="14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b w:val="1"/>
                <w:bCs w:val="1"/>
                <w:color w:val="1352DE"/>
              </w:rPr>
              <w:t>—</w:t>
            </w: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1352DE"/>
              </w:rPr>
              <w:t>(44)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b w:val="1"/>
                <w:bCs w:val="1"/>
                <w:color w:val="1352DE"/>
              </w:rPr>
              <w:t>—</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1352DE"/>
              </w:rPr>
              <w:t>(83)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5"/>
        </w:trPr>
        <w:tc>
          <w:tcPr>
            <w:tcW w:w="2340" w:type="dxa"/>
            <w:vAlign w:val="bottom"/>
          </w:tcPr>
          <w:p>
            <w:pPr>
              <w:ind w:left="240"/>
              <w:spacing w:after="0"/>
              <w:rPr>
                <w:sz w:val="20"/>
                <w:szCs w:val="20"/>
                <w:color w:val="auto"/>
              </w:rPr>
            </w:pPr>
            <w:r>
              <w:rPr>
                <w:rFonts w:ascii="Arial" w:cs="Arial" w:eastAsia="Arial" w:hAnsi="Arial"/>
                <w:sz w:val="12"/>
                <w:szCs w:val="12"/>
                <w:color w:val="auto"/>
              </w:rPr>
              <w:t>CMBS</w:t>
            </w:r>
          </w:p>
        </w:tc>
        <w:tc>
          <w:tcPr>
            <w:tcW w:w="14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b w:val="1"/>
                <w:bCs w:val="1"/>
                <w:color w:val="1352DE"/>
              </w:rPr>
              <w:t>—</w:t>
            </w:r>
          </w:p>
        </w:tc>
        <w:tc>
          <w:tcPr>
            <w:tcW w:w="3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1352DE"/>
              </w:rPr>
              <w:t>—</w:t>
            </w:r>
          </w:p>
        </w:tc>
        <w:tc>
          <w:tcPr>
            <w:tcW w:w="140" w:type="dxa"/>
            <w:vAlign w:val="bottom"/>
          </w:tcPr>
          <w:p>
            <w:pPr>
              <w:spacing w:after="0"/>
              <w:rPr>
                <w:sz w:val="15"/>
                <w:szCs w:val="15"/>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b w:val="1"/>
                <w:bCs w:val="1"/>
                <w:color w:val="1352DE"/>
              </w:rPr>
              <w:t>—</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1352DE"/>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80"/>
        </w:trPr>
        <w:tc>
          <w:tcPr>
            <w:tcW w:w="23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14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b w:val="1"/>
                <w:bCs w:val="1"/>
                <w:color w:val="1352DE"/>
              </w:rPr>
              <w:t>—</w:t>
            </w:r>
          </w:p>
        </w:tc>
        <w:tc>
          <w:tcPr>
            <w:tcW w:w="34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(33)</w:t>
            </w:r>
          </w:p>
        </w:tc>
        <w:tc>
          <w:tcPr>
            <w:tcW w:w="14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70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b w:val="1"/>
                <w:bCs w:val="1"/>
                <w:color w:val="1352DE"/>
              </w:rPr>
              <w:t>—</w:t>
            </w:r>
          </w:p>
        </w:tc>
        <w:tc>
          <w:tcPr>
            <w:tcW w:w="36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(50)</w:t>
            </w:r>
          </w:p>
        </w:tc>
        <w:tc>
          <w:tcPr>
            <w:tcW w:w="12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98"/>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234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252DE"/>
              </w:rPr>
              <w:t>Total bonds available for sale</w:t>
            </w:r>
          </w:p>
        </w:tc>
        <w:tc>
          <w:tcPr>
            <w:tcW w:w="14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b w:val="1"/>
                <w:bCs w:val="1"/>
                <w:color w:val="1352DE"/>
              </w:rPr>
              <w:t>—</w:t>
            </w:r>
          </w:p>
        </w:tc>
        <w:tc>
          <w:tcPr>
            <w:tcW w:w="340" w:type="dxa"/>
            <w:vAlign w:val="bottom"/>
            <w:tcBorders>
              <w:bottom w:val="single" w:sz="8" w:color="1352DE"/>
            </w:tcBorders>
          </w:tcPr>
          <w:p>
            <w:pPr>
              <w:spacing w:after="0"/>
              <w:rPr>
                <w:sz w:val="14"/>
                <w:szCs w:val="14"/>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(69)</w:t>
            </w:r>
          </w:p>
        </w:tc>
        <w:tc>
          <w:tcPr>
            <w:tcW w:w="140" w:type="dxa"/>
            <w:vAlign w:val="bottom"/>
            <w:tcBorders>
              <w:bottom w:val="single" w:sz="8" w:color="1352DE"/>
            </w:tcBorders>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1352DE"/>
            </w:tcBorders>
          </w:tcPr>
          <w:p>
            <w:pPr>
              <w:spacing w:after="0"/>
              <w:rPr>
                <w:sz w:val="14"/>
                <w:szCs w:val="14"/>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17</w:t>
            </w:r>
          </w:p>
        </w:tc>
        <w:tc>
          <w:tcPr>
            <w:tcW w:w="140" w:type="dxa"/>
            <w:vAlign w:val="bottom"/>
            <w:tcBorders>
              <w:bottom w:val="single" w:sz="8" w:color="1352DE"/>
            </w:tcBorders>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70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b w:val="1"/>
                <w:bCs w:val="1"/>
                <w:color w:val="1352DE"/>
              </w:rPr>
              <w:t>—</w:t>
            </w:r>
          </w:p>
        </w:tc>
        <w:tc>
          <w:tcPr>
            <w:tcW w:w="360" w:type="dxa"/>
            <w:vAlign w:val="bottom"/>
            <w:tcBorders>
              <w:bottom w:val="single" w:sz="8" w:color="1352DE"/>
            </w:tcBorders>
          </w:tcPr>
          <w:p>
            <w:pPr>
              <w:spacing w:after="0"/>
              <w:rPr>
                <w:sz w:val="14"/>
                <w:szCs w:val="14"/>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(130)</w:t>
            </w:r>
          </w:p>
        </w:tc>
        <w:tc>
          <w:tcPr>
            <w:tcW w:w="120" w:type="dxa"/>
            <w:vAlign w:val="bottom"/>
            <w:tcBorders>
              <w:bottom w:val="single" w:sz="8" w:color="1352DE"/>
            </w:tcBorders>
          </w:tcPr>
          <w:p>
            <w:pPr>
              <w:spacing w:after="0"/>
              <w:rPr>
                <w:sz w:val="14"/>
                <w:szCs w:val="14"/>
                <w:color w:val="auto"/>
              </w:rPr>
            </w:pPr>
          </w:p>
        </w:tc>
        <w:tc>
          <w:tcPr>
            <w:tcW w:w="160" w:type="dxa"/>
            <w:vAlign w:val="bottom"/>
            <w:tcBorders>
              <w:bottom w:val="single" w:sz="8" w:color="1352DE"/>
            </w:tcBorders>
          </w:tcPr>
          <w:p>
            <w:pPr>
              <w:spacing w:after="0"/>
              <w:rPr>
                <w:sz w:val="14"/>
                <w:szCs w:val="14"/>
                <w:color w:val="auto"/>
              </w:rPr>
            </w:pPr>
          </w:p>
        </w:tc>
        <w:tc>
          <w:tcPr>
            <w:tcW w:w="760" w:type="dxa"/>
            <w:vAlign w:val="bottom"/>
            <w:tcBorders>
              <w:bottom w:val="single" w:sz="8" w:color="1352DE"/>
            </w:tcBorders>
          </w:tcPr>
          <w:p>
            <w:pPr>
              <w:jc w:val="right"/>
              <w:ind w:right="98"/>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1352DE"/>
            </w:tcBorders>
          </w:tcPr>
          <w:p>
            <w:pPr>
              <w:spacing w:after="0"/>
              <w:rPr>
                <w:sz w:val="14"/>
                <w:szCs w:val="14"/>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51</w:t>
            </w:r>
          </w:p>
        </w:tc>
      </w:tr>
      <w:tr>
        <w:trPr>
          <w:trHeight w:val="159"/>
        </w:trPr>
        <w:tc>
          <w:tcPr>
            <w:tcW w:w="2340" w:type="dxa"/>
            <w:vAlign w:val="bottom"/>
          </w:tcPr>
          <w:p>
            <w:pPr>
              <w:ind w:left="140"/>
              <w:spacing w:after="0"/>
              <w:rPr>
                <w:sz w:val="20"/>
                <w:szCs w:val="20"/>
                <w:color w:val="auto"/>
              </w:rPr>
            </w:pPr>
            <w:r>
              <w:rPr>
                <w:rFonts w:ascii="Arial" w:cs="Arial" w:eastAsia="Arial" w:hAnsi="Arial"/>
                <w:sz w:val="12"/>
                <w:szCs w:val="12"/>
                <w:b w:val="1"/>
                <w:bCs w:val="1"/>
                <w:color w:val="1252DE"/>
              </w:rPr>
              <w:t>Other bond securities: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9"/>
        </w:trPr>
        <w:tc>
          <w:tcPr>
            <w:tcW w:w="2340" w:type="dxa"/>
            <w:vAlign w:val="bottom"/>
          </w:tcPr>
          <w:p>
            <w:pPr>
              <w:ind w:left="240"/>
              <w:spacing w:after="0"/>
              <w:rPr>
                <w:sz w:val="20"/>
                <w:szCs w:val="20"/>
                <w:color w:val="auto"/>
              </w:rPr>
            </w:pPr>
            <w:r>
              <w:rPr>
                <w:rFonts w:ascii="Arial" w:cs="Arial" w:eastAsia="Arial" w:hAnsi="Arial"/>
                <w:sz w:val="12"/>
                <w:szCs w:val="12"/>
                <w:color w:val="auto"/>
              </w:rPr>
              <w:t>RMBS</w:t>
            </w:r>
          </w:p>
        </w:tc>
        <w:tc>
          <w:tcPr>
            <w:tcW w:w="14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Arial" w:cs="Arial" w:eastAsia="Arial" w:hAnsi="Arial"/>
                <w:sz w:val="13"/>
                <w:szCs w:val="13"/>
                <w:b w:val="1"/>
                <w:bCs w:val="1"/>
                <w:color w:val="1352DE"/>
              </w:rPr>
              <w:t>(1)</w:t>
            </w:r>
          </w:p>
        </w:tc>
        <w:tc>
          <w:tcPr>
            <w:tcW w:w="3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1352DE"/>
              </w:rPr>
              <w:t>—</w:t>
            </w:r>
          </w:p>
        </w:tc>
        <w:tc>
          <w:tcPr>
            <w:tcW w:w="140" w:type="dxa"/>
            <w:vAlign w:val="bottom"/>
          </w:tcPr>
          <w:p>
            <w:pPr>
              <w:spacing w:after="0"/>
              <w:rPr>
                <w:sz w:val="15"/>
                <w:szCs w:val="15"/>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1352DE"/>
              </w:rPr>
              <w:t>(1)</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2340" w:type="dxa"/>
            <w:vAlign w:val="bottom"/>
            <w:tcBorders>
              <w:bottom w:val="single" w:sz="8" w:color="1352DE"/>
            </w:tcBorders>
          </w:tcPr>
          <w:p>
            <w:pPr>
              <w:ind w:left="240"/>
              <w:spacing w:after="0"/>
              <w:rPr>
                <w:sz w:val="20"/>
                <w:szCs w:val="20"/>
                <w:color w:val="auto"/>
              </w:rPr>
            </w:pPr>
            <w:r>
              <w:rPr>
                <w:rFonts w:ascii="Arial" w:cs="Arial" w:eastAsia="Arial" w:hAnsi="Arial"/>
                <w:sz w:val="12"/>
                <w:szCs w:val="12"/>
                <w:color w:val="auto"/>
              </w:rPr>
              <w:t>CLO/ABS</w:t>
            </w:r>
          </w:p>
        </w:tc>
        <w:tc>
          <w:tcPr>
            <w:tcW w:w="14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352DE"/>
              </w:rPr>
              <w:t>(1)</w:t>
            </w:r>
          </w:p>
        </w:tc>
        <w:tc>
          <w:tcPr>
            <w:tcW w:w="340" w:type="dxa"/>
            <w:vAlign w:val="bottom"/>
            <w:tcBorders>
              <w:bottom w:val="single" w:sz="8" w:color="1352DE"/>
            </w:tcBorders>
          </w:tcPr>
          <w:p>
            <w:pPr>
              <w:spacing w:after="0"/>
              <w:rPr>
                <w:sz w:val="15"/>
                <w:szCs w:val="15"/>
                <w:color w:val="auto"/>
              </w:rPr>
            </w:pP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b w:val="1"/>
                <w:bCs w:val="1"/>
                <w:color w:val="1352DE"/>
              </w:rPr>
              <w:t>—</w:t>
            </w:r>
          </w:p>
        </w:tc>
        <w:tc>
          <w:tcPr>
            <w:tcW w:w="14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4</w:t>
            </w:r>
          </w:p>
        </w:tc>
        <w:tc>
          <w:tcPr>
            <w:tcW w:w="340" w:type="dxa"/>
            <w:vAlign w:val="bottom"/>
            <w:tcBorders>
              <w:bottom w:val="single" w:sz="8" w:color="1352DE"/>
            </w:tcBorders>
          </w:tcPr>
          <w:p>
            <w:pPr>
              <w:spacing w:after="0"/>
              <w:rPr>
                <w:sz w:val="15"/>
                <w:szCs w:val="15"/>
                <w:color w:val="auto"/>
              </w:rPr>
            </w:pP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1352DE"/>
            </w:tcBorders>
          </w:tcPr>
          <w:p>
            <w:pPr>
              <w:spacing w:after="0"/>
              <w:rPr>
                <w:sz w:val="15"/>
                <w:szCs w:val="15"/>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(2)</w:t>
            </w:r>
          </w:p>
        </w:tc>
        <w:tc>
          <w:tcPr>
            <w:tcW w:w="36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12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98"/>
              <w:spacing w:after="0"/>
              <w:rPr>
                <w:sz w:val="20"/>
                <w:szCs w:val="20"/>
                <w:color w:val="auto"/>
              </w:rPr>
            </w:pPr>
            <w:r>
              <w:rPr>
                <w:rFonts w:ascii="Arial" w:cs="Arial" w:eastAsia="Arial" w:hAnsi="Arial"/>
                <w:sz w:val="13"/>
                <w:szCs w:val="13"/>
                <w:color w:val="auto"/>
              </w:rPr>
              <w:t>9</w:t>
            </w:r>
          </w:p>
        </w:tc>
        <w:tc>
          <w:tcPr>
            <w:tcW w:w="28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34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252DE"/>
              </w:rPr>
              <w:t>Total other bond securities</w:t>
            </w:r>
          </w:p>
        </w:tc>
        <w:tc>
          <w:tcPr>
            <w:tcW w:w="14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352DE"/>
              </w:rPr>
              <w:t>(2)</w:t>
            </w:r>
          </w:p>
        </w:tc>
        <w:tc>
          <w:tcPr>
            <w:tcW w:w="340" w:type="dxa"/>
            <w:vAlign w:val="bottom"/>
            <w:tcBorders>
              <w:bottom w:val="single" w:sz="8" w:color="1352DE"/>
            </w:tcBorders>
          </w:tcPr>
          <w:p>
            <w:pPr>
              <w:spacing w:after="0"/>
              <w:rPr>
                <w:sz w:val="14"/>
                <w:szCs w:val="14"/>
                <w:color w:val="auto"/>
              </w:rPr>
            </w:pP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b w:val="1"/>
                <w:bCs w:val="1"/>
                <w:color w:val="1352DE"/>
              </w:rPr>
              <w:t>—</w:t>
            </w:r>
          </w:p>
        </w:tc>
        <w:tc>
          <w:tcPr>
            <w:tcW w:w="14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4</w:t>
            </w:r>
          </w:p>
        </w:tc>
        <w:tc>
          <w:tcPr>
            <w:tcW w:w="340" w:type="dxa"/>
            <w:vAlign w:val="bottom"/>
            <w:tcBorders>
              <w:bottom w:val="single" w:sz="8" w:color="1352DE"/>
            </w:tcBorders>
          </w:tcPr>
          <w:p>
            <w:pPr>
              <w:spacing w:after="0"/>
              <w:rPr>
                <w:sz w:val="14"/>
                <w:szCs w:val="14"/>
                <w:color w:val="auto"/>
              </w:rPr>
            </w:pP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1352DE"/>
            </w:tcBorders>
          </w:tcPr>
          <w:p>
            <w:pPr>
              <w:spacing w:after="0"/>
              <w:rPr>
                <w:sz w:val="14"/>
                <w:szCs w:val="14"/>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(3)</w:t>
            </w:r>
          </w:p>
        </w:tc>
        <w:tc>
          <w:tcPr>
            <w:tcW w:w="360" w:type="dxa"/>
            <w:vAlign w:val="bottom"/>
            <w:tcBorders>
              <w:bottom w:val="single" w:sz="8" w:color="1352DE"/>
            </w:tcBorders>
          </w:tcPr>
          <w:p>
            <w:pPr>
              <w:spacing w:after="0"/>
              <w:rPr>
                <w:sz w:val="14"/>
                <w:szCs w:val="14"/>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120" w:type="dxa"/>
            <w:vAlign w:val="bottom"/>
            <w:tcBorders>
              <w:bottom w:val="single" w:sz="8" w:color="1352DE"/>
            </w:tcBorders>
          </w:tcPr>
          <w:p>
            <w:pPr>
              <w:spacing w:after="0"/>
              <w:rPr>
                <w:sz w:val="14"/>
                <w:szCs w:val="14"/>
                <w:color w:val="auto"/>
              </w:rPr>
            </w:pPr>
          </w:p>
        </w:tc>
        <w:tc>
          <w:tcPr>
            <w:tcW w:w="160" w:type="dxa"/>
            <w:vAlign w:val="bottom"/>
            <w:tcBorders>
              <w:bottom w:val="single" w:sz="8" w:color="1352DE"/>
            </w:tcBorders>
          </w:tcPr>
          <w:p>
            <w:pPr>
              <w:spacing w:after="0"/>
              <w:rPr>
                <w:sz w:val="14"/>
                <w:szCs w:val="14"/>
                <w:color w:val="auto"/>
              </w:rPr>
            </w:pPr>
          </w:p>
        </w:tc>
        <w:tc>
          <w:tcPr>
            <w:tcW w:w="760" w:type="dxa"/>
            <w:vAlign w:val="bottom"/>
            <w:tcBorders>
              <w:bottom w:val="single" w:sz="8" w:color="1352DE"/>
            </w:tcBorders>
          </w:tcPr>
          <w:p>
            <w:pPr>
              <w:jc w:val="right"/>
              <w:ind w:right="98"/>
              <w:spacing w:after="0"/>
              <w:rPr>
                <w:sz w:val="20"/>
                <w:szCs w:val="20"/>
                <w:color w:val="auto"/>
              </w:rPr>
            </w:pPr>
            <w:r>
              <w:rPr>
                <w:rFonts w:ascii="Arial" w:cs="Arial" w:eastAsia="Arial" w:hAnsi="Arial"/>
                <w:sz w:val="13"/>
                <w:szCs w:val="13"/>
                <w:color w:val="auto"/>
              </w:rPr>
              <w:t>10</w:t>
            </w:r>
          </w:p>
        </w:tc>
        <w:tc>
          <w:tcPr>
            <w:tcW w:w="280" w:type="dxa"/>
            <w:vAlign w:val="bottom"/>
            <w:tcBorders>
              <w:bottom w:val="single" w:sz="8" w:color="1352DE"/>
            </w:tcBorders>
          </w:tcPr>
          <w:p>
            <w:pPr>
              <w:spacing w:after="0"/>
              <w:rPr>
                <w:sz w:val="14"/>
                <w:szCs w:val="14"/>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2340" w:type="dxa"/>
            <w:vAlign w:val="bottom"/>
          </w:tcPr>
          <w:p>
            <w:pPr>
              <w:ind w:left="140"/>
              <w:spacing w:after="0"/>
              <w:rPr>
                <w:sz w:val="20"/>
                <w:szCs w:val="20"/>
                <w:color w:val="auto"/>
              </w:rPr>
            </w:pPr>
            <w:r>
              <w:rPr>
                <w:rFonts w:ascii="Arial" w:cs="Arial" w:eastAsia="Arial" w:hAnsi="Arial"/>
                <w:sz w:val="12"/>
                <w:szCs w:val="12"/>
                <w:color w:val="auto"/>
              </w:rPr>
              <w:t>Equity securities</w:t>
            </w:r>
          </w:p>
        </w:tc>
        <w:tc>
          <w:tcPr>
            <w:tcW w:w="14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b w:val="1"/>
                <w:bCs w:val="1"/>
                <w:color w:val="1352DE"/>
              </w:rPr>
              <w:t>1</w:t>
            </w:r>
          </w:p>
        </w:tc>
        <w:tc>
          <w:tcPr>
            <w:tcW w:w="34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1352DE"/>
              </w:rPr>
              <w:t>—</w:t>
            </w:r>
          </w:p>
        </w:tc>
        <w:tc>
          <w:tcPr>
            <w:tcW w:w="140" w:type="dxa"/>
            <w:vAlign w:val="bottom"/>
          </w:tcPr>
          <w:p>
            <w:pPr>
              <w:spacing w:after="0"/>
              <w:rPr>
                <w:sz w:val="14"/>
                <w:szCs w:val="14"/>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1352DE"/>
              </w:rPr>
              <w:t>(2)</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1352DE"/>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234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Other invested assets</w:t>
            </w:r>
          </w:p>
        </w:tc>
        <w:tc>
          <w:tcPr>
            <w:tcW w:w="14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352DE"/>
              </w:rPr>
              <w:t>(15)</w:t>
            </w:r>
          </w:p>
        </w:tc>
        <w:tc>
          <w:tcPr>
            <w:tcW w:w="340" w:type="dxa"/>
            <w:vAlign w:val="bottom"/>
            <w:tcBorders>
              <w:bottom w:val="single" w:sz="8" w:color="1352DE"/>
            </w:tcBorders>
          </w:tcPr>
          <w:p>
            <w:pPr>
              <w:spacing w:after="0"/>
              <w:rPr>
                <w:sz w:val="15"/>
                <w:szCs w:val="15"/>
                <w:color w:val="auto"/>
              </w:rPr>
            </w:pP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b w:val="1"/>
                <w:bCs w:val="1"/>
                <w:color w:val="1352DE"/>
              </w:rPr>
              <w:t>—</w:t>
            </w:r>
          </w:p>
        </w:tc>
        <w:tc>
          <w:tcPr>
            <w:tcW w:w="14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(1)</w:t>
            </w:r>
          </w:p>
        </w:tc>
        <w:tc>
          <w:tcPr>
            <w:tcW w:w="340" w:type="dxa"/>
            <w:vAlign w:val="bottom"/>
            <w:tcBorders>
              <w:bottom w:val="single" w:sz="8" w:color="1352DE"/>
            </w:tcBorders>
          </w:tcPr>
          <w:p>
            <w:pPr>
              <w:spacing w:after="0"/>
              <w:rPr>
                <w:sz w:val="15"/>
                <w:szCs w:val="15"/>
                <w:color w:val="auto"/>
              </w:rPr>
            </w:pP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1352DE"/>
            </w:tcBorders>
          </w:tcPr>
          <w:p>
            <w:pPr>
              <w:spacing w:after="0"/>
              <w:rPr>
                <w:sz w:val="15"/>
                <w:szCs w:val="15"/>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(13)</w:t>
            </w:r>
          </w:p>
        </w:tc>
        <w:tc>
          <w:tcPr>
            <w:tcW w:w="36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12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(2)</w:t>
            </w:r>
          </w:p>
        </w:tc>
        <w:tc>
          <w:tcPr>
            <w:tcW w:w="28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34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7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b w:val="1"/>
                <w:bCs w:val="1"/>
                <w:color w:val="1352DE"/>
              </w:rPr>
              <w:t>(16)</w:t>
            </w:r>
          </w:p>
        </w:tc>
        <w:tc>
          <w:tcPr>
            <w:tcW w:w="34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b w:val="1"/>
                <w:bCs w:val="1"/>
                <w:color w:val="1352DE"/>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(69)</w:t>
            </w:r>
          </w:p>
        </w:tc>
        <w:tc>
          <w:tcPr>
            <w:tcW w:w="140" w:type="dxa"/>
            <w:vAlign w:val="bottom"/>
            <w:tcBorders>
              <w:bottom w:val="single" w:sz="8" w:color="1352DE"/>
            </w:tcBorders>
          </w:tcPr>
          <w:p>
            <w:pPr>
              <w:spacing w:after="0"/>
              <w:rPr>
                <w:sz w:val="14"/>
                <w:szCs w:val="14"/>
                <w:color w:val="auto"/>
              </w:rPr>
            </w:pP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3</w:t>
            </w:r>
          </w:p>
        </w:tc>
        <w:tc>
          <w:tcPr>
            <w:tcW w:w="34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17</w:t>
            </w:r>
          </w:p>
        </w:tc>
        <w:tc>
          <w:tcPr>
            <w:tcW w:w="140" w:type="dxa"/>
            <w:vAlign w:val="bottom"/>
            <w:tcBorders>
              <w:bottom w:val="single" w:sz="8" w:color="1352DE"/>
            </w:tcBorders>
          </w:tcPr>
          <w:p>
            <w:pPr>
              <w:spacing w:after="0"/>
              <w:rPr>
                <w:sz w:val="14"/>
                <w:szCs w:val="14"/>
                <w:color w:val="auto"/>
              </w:rPr>
            </w:pP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w w:val="82"/>
              </w:rPr>
              <w:t>$</w:t>
            </w: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(18)</w:t>
            </w:r>
          </w:p>
        </w:tc>
        <w:tc>
          <w:tcPr>
            <w:tcW w:w="360" w:type="dxa"/>
            <w:vAlign w:val="bottom"/>
            <w:tcBorders>
              <w:bottom w:val="single" w:sz="8" w:color="1352DE"/>
            </w:tcBorders>
          </w:tcPr>
          <w:p>
            <w:pPr>
              <w:jc w:val="right"/>
              <w:ind w:right="117"/>
              <w:spacing w:after="0"/>
              <w:rPr>
                <w:sz w:val="20"/>
                <w:szCs w:val="20"/>
                <w:color w:val="auto"/>
              </w:rPr>
            </w:pPr>
            <w:r>
              <w:rPr>
                <w:rFonts w:ascii="Arial" w:cs="Arial" w:eastAsia="Arial" w:hAnsi="Arial"/>
                <w:sz w:val="13"/>
                <w:szCs w:val="13"/>
                <w:b w:val="1"/>
                <w:bCs w:val="1"/>
                <w:color w:val="1352DE"/>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(130)</w:t>
            </w:r>
          </w:p>
        </w:tc>
        <w:tc>
          <w:tcPr>
            <w:tcW w:w="280" w:type="dxa"/>
            <w:vAlign w:val="bottom"/>
            <w:tcBorders>
              <w:bottom w:val="single" w:sz="8" w:color="1352DE"/>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1352DE"/>
            </w:tcBorders>
          </w:tcPr>
          <w:p>
            <w:pPr>
              <w:jc w:val="right"/>
              <w:ind w:right="98"/>
              <w:spacing w:after="0"/>
              <w:rPr>
                <w:sz w:val="20"/>
                <w:szCs w:val="20"/>
                <w:color w:val="auto"/>
              </w:rPr>
            </w:pPr>
            <w:r>
              <w:rPr>
                <w:rFonts w:ascii="Arial" w:cs="Arial" w:eastAsia="Arial" w:hAnsi="Arial"/>
                <w:sz w:val="13"/>
                <w:szCs w:val="13"/>
                <w:color w:val="auto"/>
              </w:rPr>
              <w:t>10</w:t>
            </w:r>
          </w:p>
        </w:tc>
        <w:tc>
          <w:tcPr>
            <w:tcW w:w="28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51</w:t>
            </w:r>
          </w:p>
        </w:tc>
      </w:tr>
      <w:tr>
        <w:trPr>
          <w:trHeight w:val="240"/>
        </w:trPr>
        <w:tc>
          <w:tcPr>
            <w:tcW w:w="2340" w:type="dxa"/>
            <w:vAlign w:val="bottom"/>
          </w:tcPr>
          <w:p>
            <w:pPr>
              <w:ind w:left="20"/>
              <w:spacing w:after="0"/>
              <w:rPr>
                <w:sz w:val="20"/>
                <w:szCs w:val="20"/>
                <w:color w:val="auto"/>
              </w:rPr>
            </w:pPr>
            <w:r>
              <w:rPr>
                <w:rFonts w:ascii="Arial" w:cs="Arial" w:eastAsia="Arial" w:hAnsi="Arial"/>
                <w:sz w:val="12"/>
                <w:szCs w:val="12"/>
                <w:b w:val="1"/>
                <w:bCs w:val="1"/>
                <w:color w:val="1252DE"/>
              </w:rPr>
              <w:t>Liabilities: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3"/>
        </w:trPr>
        <w:tc>
          <w:tcPr>
            <w:tcW w:w="234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Fortitude Re funds withheld payable</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7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b w:val="1"/>
                <w:bCs w:val="1"/>
                <w:color w:val="1252DE"/>
              </w:rPr>
              <w:t>79</w:t>
            </w:r>
          </w:p>
        </w:tc>
        <w:tc>
          <w:tcPr>
            <w:tcW w:w="34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b w:val="1"/>
                <w:bCs w:val="1"/>
                <w:color w:val="1252DE"/>
              </w:rPr>
              <w:t>$</w:t>
            </w: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b w:val="1"/>
                <w:bCs w:val="1"/>
                <w:color w:val="1252DE"/>
              </w:rPr>
              <w:t>—</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(30)</w:t>
            </w:r>
          </w:p>
        </w:tc>
        <w:tc>
          <w:tcPr>
            <w:tcW w:w="34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w w:val="82"/>
              </w:rPr>
              <w:t>$</w:t>
            </w:r>
          </w:p>
        </w:tc>
        <w:tc>
          <w:tcPr>
            <w:tcW w:w="70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b w:val="1"/>
                <w:bCs w:val="1"/>
                <w:color w:val="1352DE"/>
              </w:rPr>
              <w:t>78</w:t>
            </w:r>
          </w:p>
        </w:tc>
        <w:tc>
          <w:tcPr>
            <w:tcW w:w="360" w:type="dxa"/>
            <w:vAlign w:val="bottom"/>
            <w:tcBorders>
              <w:bottom w:val="single" w:sz="8" w:color="1352DE"/>
            </w:tcBorders>
          </w:tcPr>
          <w:p>
            <w:pPr>
              <w:jc w:val="right"/>
              <w:ind w:right="117"/>
              <w:spacing w:after="0"/>
              <w:rPr>
                <w:sz w:val="20"/>
                <w:szCs w:val="20"/>
                <w:color w:val="auto"/>
              </w:rPr>
            </w:pPr>
            <w:r>
              <w:rPr>
                <w:rFonts w:ascii="Arial" w:cs="Arial" w:eastAsia="Arial" w:hAnsi="Arial"/>
                <w:sz w:val="13"/>
                <w:szCs w:val="13"/>
                <w:b w:val="1"/>
                <w:bCs w:val="1"/>
                <w:color w:val="1352DE"/>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352DE"/>
              </w:rPr>
              <w:t>—</w:t>
            </w:r>
          </w:p>
        </w:tc>
        <w:tc>
          <w:tcPr>
            <w:tcW w:w="280" w:type="dxa"/>
            <w:vAlign w:val="bottom"/>
            <w:tcBorders>
              <w:bottom w:val="single" w:sz="8" w:color="1352DE"/>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(64)</w:t>
            </w:r>
          </w:p>
        </w:tc>
        <w:tc>
          <w:tcPr>
            <w:tcW w:w="28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234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720" w:type="dxa"/>
            <w:vAlign w:val="bottom"/>
            <w:tcBorders>
              <w:bottom w:val="single" w:sz="8" w:color="1352DE"/>
            </w:tcBorders>
          </w:tcPr>
          <w:p>
            <w:pPr>
              <w:jc w:val="right"/>
              <w:ind w:right="38"/>
              <w:spacing w:after="0"/>
              <w:rPr>
                <w:sz w:val="20"/>
                <w:szCs w:val="20"/>
                <w:color w:val="auto"/>
              </w:rPr>
            </w:pPr>
            <w:r>
              <w:rPr>
                <w:rFonts w:ascii="Arial" w:cs="Arial" w:eastAsia="Arial" w:hAnsi="Arial"/>
                <w:sz w:val="13"/>
                <w:szCs w:val="13"/>
                <w:b w:val="1"/>
                <w:bCs w:val="1"/>
                <w:color w:val="1252DE"/>
              </w:rPr>
              <w:t>79</w:t>
            </w:r>
          </w:p>
        </w:tc>
        <w:tc>
          <w:tcPr>
            <w:tcW w:w="34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b w:val="1"/>
                <w:bCs w:val="1"/>
                <w:color w:val="1252DE"/>
              </w:rPr>
              <w:t>$</w:t>
            </w: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b w:val="1"/>
                <w:bCs w:val="1"/>
                <w:color w:val="1252DE"/>
              </w:rPr>
              <w:t>—</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1352DE"/>
            </w:tcBorders>
          </w:tcPr>
          <w:p>
            <w:pPr>
              <w:jc w:val="right"/>
              <w:ind w:right="18"/>
              <w:spacing w:after="0"/>
              <w:rPr>
                <w:sz w:val="20"/>
                <w:szCs w:val="20"/>
                <w:color w:val="auto"/>
              </w:rPr>
            </w:pPr>
            <w:r>
              <w:rPr>
                <w:rFonts w:ascii="Arial" w:cs="Arial" w:eastAsia="Arial" w:hAnsi="Arial"/>
                <w:sz w:val="13"/>
                <w:szCs w:val="13"/>
                <w:color w:val="auto"/>
              </w:rPr>
              <w:t>(30)</w:t>
            </w:r>
          </w:p>
        </w:tc>
        <w:tc>
          <w:tcPr>
            <w:tcW w:w="34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w w:val="82"/>
              </w:rPr>
              <w:t>$</w:t>
            </w:r>
          </w:p>
        </w:tc>
        <w:tc>
          <w:tcPr>
            <w:tcW w:w="700" w:type="dxa"/>
            <w:vAlign w:val="bottom"/>
            <w:tcBorders>
              <w:bottom w:val="single" w:sz="8" w:color="3051F2"/>
            </w:tcBorders>
          </w:tcPr>
          <w:p>
            <w:pPr>
              <w:jc w:val="right"/>
              <w:ind w:right="38"/>
              <w:spacing w:after="0"/>
              <w:rPr>
                <w:sz w:val="20"/>
                <w:szCs w:val="20"/>
                <w:color w:val="auto"/>
              </w:rPr>
            </w:pPr>
            <w:r>
              <w:rPr>
                <w:rFonts w:ascii="Arial" w:cs="Arial" w:eastAsia="Arial" w:hAnsi="Arial"/>
                <w:sz w:val="13"/>
                <w:szCs w:val="13"/>
                <w:b w:val="1"/>
                <w:bCs w:val="1"/>
                <w:color w:val="1352DE"/>
              </w:rPr>
              <w:t>78</w:t>
            </w:r>
          </w:p>
        </w:tc>
        <w:tc>
          <w:tcPr>
            <w:tcW w:w="360" w:type="dxa"/>
            <w:vAlign w:val="bottom"/>
            <w:tcBorders>
              <w:bottom w:val="single" w:sz="8" w:color="3051F2"/>
            </w:tcBorders>
          </w:tcPr>
          <w:p>
            <w:pPr>
              <w:jc w:val="right"/>
              <w:ind w:right="117"/>
              <w:spacing w:after="0"/>
              <w:rPr>
                <w:sz w:val="20"/>
                <w:szCs w:val="20"/>
                <w:color w:val="auto"/>
              </w:rPr>
            </w:pPr>
            <w:r>
              <w:rPr>
                <w:rFonts w:ascii="Arial" w:cs="Arial" w:eastAsia="Arial" w:hAnsi="Arial"/>
                <w:sz w:val="13"/>
                <w:szCs w:val="13"/>
                <w:b w:val="1"/>
                <w:bCs w:val="1"/>
                <w:color w:val="1352DE"/>
              </w:rPr>
              <w:t>$</w:t>
            </w:r>
          </w:p>
        </w:tc>
        <w:tc>
          <w:tcPr>
            <w:tcW w:w="920" w:type="dxa"/>
            <w:vAlign w:val="bottom"/>
            <w:tcBorders>
              <w:bottom w:val="single" w:sz="8" w:color="3051F2"/>
            </w:tcBorders>
          </w:tcPr>
          <w:p>
            <w:pPr>
              <w:jc w:val="right"/>
              <w:spacing w:after="0"/>
              <w:rPr>
                <w:sz w:val="20"/>
                <w:szCs w:val="20"/>
                <w:color w:val="auto"/>
              </w:rPr>
            </w:pPr>
            <w:r>
              <w:rPr>
                <w:rFonts w:ascii="Arial" w:cs="Arial" w:eastAsia="Arial" w:hAnsi="Arial"/>
                <w:sz w:val="13"/>
                <w:szCs w:val="13"/>
                <w:b w:val="1"/>
                <w:bCs w:val="1"/>
                <w:color w:val="1352DE"/>
              </w:rPr>
              <w:t>—</w:t>
            </w:r>
          </w:p>
        </w:tc>
        <w:tc>
          <w:tcPr>
            <w:tcW w:w="280" w:type="dxa"/>
            <w:vAlign w:val="bottom"/>
            <w:tcBorders>
              <w:bottom w:val="single" w:sz="8" w:color="1352DE"/>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1352DE"/>
            </w:tcBorders>
          </w:tcPr>
          <w:p>
            <w:pPr>
              <w:jc w:val="right"/>
              <w:ind w:right="58"/>
              <w:spacing w:after="0"/>
              <w:rPr>
                <w:sz w:val="20"/>
                <w:szCs w:val="20"/>
                <w:color w:val="auto"/>
              </w:rPr>
            </w:pPr>
            <w:r>
              <w:rPr>
                <w:rFonts w:ascii="Arial" w:cs="Arial" w:eastAsia="Arial" w:hAnsi="Arial"/>
                <w:sz w:val="13"/>
                <w:szCs w:val="13"/>
                <w:color w:val="auto"/>
              </w:rPr>
              <w:t>(64)</w:t>
            </w:r>
          </w:p>
        </w:tc>
        <w:tc>
          <w:tcPr>
            <w:tcW w:w="280" w:type="dxa"/>
            <w:vAlign w:val="bottom"/>
            <w:tcBorders>
              <w:bottom w:val="single" w:sz="8" w:color="1352DE"/>
            </w:tcBorders>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24771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760" w:hanging="734"/>
        <w:spacing w:after="0"/>
        <w:tabs>
          <w:tab w:leader="none" w:pos="760" w:val="left"/>
        </w:tabs>
        <w:numPr>
          <w:ilvl w:val="0"/>
          <w:numId w:val="17"/>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4. Fair Value Measurements</w:t>
      </w:r>
    </w:p>
    <w:p>
      <w:pPr>
        <w:spacing w:after="0" w:line="200" w:lineRule="exact"/>
        <w:rPr>
          <w:sz w:val="20"/>
          <w:szCs w:val="20"/>
          <w:color w:val="auto"/>
        </w:rPr>
      </w:pPr>
    </w:p>
    <w:p>
      <w:pPr>
        <w:spacing w:after="0" w:line="23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Both observable and unobservable inputs may be used to determine the fair values of positions classified in Level 3 in the tables above. As a result, the unrealized gains (losses) on instruments held at September 30, 2026 and 2025 may include changes in fair value that were attributable to both observable (e.g., changes in market interest rates) and unobservable inputs (e.g., changes in unobservable long-dated volatilities).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Transfers of Level 3 Assets and Liabilities</w:t>
      </w:r>
    </w:p>
    <w:p>
      <w:pPr>
        <w:spacing w:after="0" w:line="8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Gross Transfers in and out of Level 3 are primarily attributable to the availability of market observable information and the re-evaluation of the observability of pricing inputs. The transfers of investments into Level 3 assets were due to diminished market transparency and liquidity for individual security types. Transfers of certain investments out of Level 3 assets were primarily the result of using observable pricing information that reflects the fair value of those securities without the need for adjustment based on our own assumptions regarding the characteristics of a specific security or the current liquidity in the market.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transfers of derivative or other liabilities into or out of Level 3 for the three and nine months ended September 30, 2026 and 2025.</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INVESTMENTS IN CERTAIN ENTITIES CARRIED AT FAIR VALUE USING NET ASSET VALUE PER SHARE</w:t>
      </w:r>
    </w:p>
    <w:p>
      <w:pPr>
        <w:spacing w:after="0" w:line="225"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b w:val="1"/>
          <w:bCs w:val="1"/>
          <w:color w:val="1352DE"/>
        </w:rPr>
        <w:t>The following table includes information related to our investments in certain other invested assets, including private equity funds, hedge funds and other alternative investments that calculate net asset value per share (or its equivalent). For these investments, which are measured at fair value on a recurring basis, we use the net asset value per share to measure fair value.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20" w:type="dxa"/>
            <w:vAlign w:val="bottom"/>
            <w:tcBorders>
              <w:top w:val="single" w:sz="8" w:color="1352DE"/>
            </w:tcBorders>
          </w:tcPr>
          <w:p>
            <w:pPr>
              <w:spacing w:after="0"/>
              <w:rPr>
                <w:sz w:val="17"/>
                <w:szCs w:val="17"/>
                <w:color w:val="auto"/>
              </w:rPr>
            </w:pPr>
          </w:p>
        </w:tc>
        <w:tc>
          <w:tcPr>
            <w:tcW w:w="4340" w:type="dxa"/>
            <w:vAlign w:val="bottom"/>
            <w:tcBorders>
              <w:top w:val="single" w:sz="8" w:color="1352DE"/>
            </w:tcBorders>
          </w:tcPr>
          <w:p>
            <w:pPr>
              <w:spacing w:after="0"/>
              <w:rPr>
                <w:sz w:val="17"/>
                <w:szCs w:val="17"/>
                <w:color w:val="auto"/>
              </w:rPr>
            </w:pPr>
          </w:p>
        </w:tc>
        <w:tc>
          <w:tcPr>
            <w:tcW w:w="160" w:type="dxa"/>
            <w:vAlign w:val="bottom"/>
            <w:tcBorders>
              <w:top w:val="single" w:sz="8" w:color="1352DE"/>
            </w:tcBorders>
          </w:tcPr>
          <w:p>
            <w:pPr>
              <w:spacing w:after="0"/>
              <w:rPr>
                <w:sz w:val="17"/>
                <w:szCs w:val="17"/>
                <w:color w:val="auto"/>
              </w:rPr>
            </w:pPr>
          </w:p>
        </w:tc>
        <w:tc>
          <w:tcPr>
            <w:tcW w:w="2380" w:type="dxa"/>
            <w:vAlign w:val="bottom"/>
            <w:tcBorders>
              <w:top w:val="single" w:sz="8" w:color="1352DE"/>
            </w:tcBorders>
            <w:gridSpan w:val="4"/>
          </w:tcPr>
          <w:p>
            <w:pPr>
              <w:ind w:left="380"/>
              <w:spacing w:after="0"/>
              <w:rPr>
                <w:sz w:val="20"/>
                <w:szCs w:val="20"/>
                <w:color w:val="auto"/>
              </w:rPr>
            </w:pPr>
            <w:r>
              <w:rPr>
                <w:rFonts w:ascii="Arial" w:cs="Arial" w:eastAsia="Arial" w:hAnsi="Arial"/>
                <w:sz w:val="13"/>
                <w:szCs w:val="13"/>
                <w:b w:val="1"/>
                <w:bCs w:val="1"/>
                <w:color w:val="1252DE"/>
              </w:rPr>
              <w:t>September 30, 2026</w:t>
            </w:r>
          </w:p>
        </w:tc>
        <w:tc>
          <w:tcPr>
            <w:tcW w:w="160" w:type="dxa"/>
            <w:vAlign w:val="bottom"/>
            <w:tcBorders>
              <w:top w:val="single" w:sz="8" w:color="1352DE"/>
            </w:tcBorders>
          </w:tcPr>
          <w:p>
            <w:pPr>
              <w:spacing w:after="0"/>
              <w:rPr>
                <w:sz w:val="17"/>
                <w:szCs w:val="17"/>
                <w:color w:val="auto"/>
              </w:rPr>
            </w:pPr>
          </w:p>
        </w:tc>
        <w:tc>
          <w:tcPr>
            <w:tcW w:w="2160" w:type="dxa"/>
            <w:vAlign w:val="bottom"/>
            <w:tcBorders>
              <w:top w:val="single" w:sz="8" w:color="1352DE"/>
            </w:tcBorders>
            <w:gridSpan w:val="3"/>
          </w:tcPr>
          <w:p>
            <w:pPr>
              <w:jc w:val="right"/>
              <w:ind w:right="493"/>
              <w:spacing w:after="0"/>
              <w:rPr>
                <w:sz w:val="20"/>
                <w:szCs w:val="20"/>
                <w:color w:val="auto"/>
              </w:rPr>
            </w:pPr>
            <w:r>
              <w:rPr>
                <w:rFonts w:ascii="Arial" w:cs="Arial" w:eastAsia="Arial" w:hAnsi="Arial"/>
                <w:sz w:val="13"/>
                <w:szCs w:val="13"/>
                <w:color w:val="1252DE"/>
              </w:rPr>
              <w:t>December 31, 2025</w:t>
            </w:r>
          </w:p>
        </w:tc>
        <w:tc>
          <w:tcPr>
            <w:tcW w:w="0" w:type="dxa"/>
            <w:vAlign w:val="bottom"/>
          </w:tcPr>
          <w:p>
            <w:pPr>
              <w:spacing w:after="0"/>
              <w:rPr>
                <w:sz w:val="1"/>
                <w:szCs w:val="1"/>
                <w:color w:val="auto"/>
              </w:rPr>
            </w:pPr>
          </w:p>
        </w:tc>
      </w:tr>
      <w:tr>
        <w:trPr>
          <w:trHeight w:val="131"/>
        </w:trPr>
        <w:tc>
          <w:tcPr>
            <w:tcW w:w="20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Borders>
              <w:top w:val="single" w:sz="8" w:color="1352DE"/>
            </w:tcBorders>
          </w:tcPr>
          <w:p>
            <w:pPr>
              <w:spacing w:after="0"/>
              <w:rPr>
                <w:sz w:val="11"/>
                <w:szCs w:val="11"/>
                <w:color w:val="auto"/>
              </w:rPr>
            </w:pPr>
          </w:p>
        </w:tc>
        <w:tc>
          <w:tcPr>
            <w:tcW w:w="1000" w:type="dxa"/>
            <w:vAlign w:val="bottom"/>
            <w:tcBorders>
              <w:top w:val="single" w:sz="8" w:color="1352DE"/>
            </w:tcBorders>
          </w:tcPr>
          <w:p>
            <w:pPr>
              <w:jc w:val="right"/>
              <w:ind w:right="33"/>
              <w:spacing w:after="0" w:line="131" w:lineRule="exact"/>
              <w:rPr>
                <w:sz w:val="20"/>
                <w:szCs w:val="20"/>
                <w:color w:val="auto"/>
              </w:rPr>
            </w:pPr>
            <w:r>
              <w:rPr>
                <w:rFonts w:ascii="Arial" w:cs="Arial" w:eastAsia="Arial" w:hAnsi="Arial"/>
                <w:sz w:val="13"/>
                <w:szCs w:val="13"/>
                <w:color w:val="1251DE"/>
              </w:rPr>
              <w:t>Fair Value</w:t>
            </w:r>
          </w:p>
        </w:tc>
        <w:tc>
          <w:tcPr>
            <w:tcW w:w="240" w:type="dxa"/>
            <w:vAlign w:val="bottom"/>
            <w:tcBorders>
              <w:top w:val="single" w:sz="8" w:color="1352DE"/>
            </w:tcBorders>
          </w:tcPr>
          <w:p>
            <w:pPr>
              <w:spacing w:after="0"/>
              <w:rPr>
                <w:sz w:val="11"/>
                <w:szCs w:val="11"/>
                <w:color w:val="auto"/>
              </w:rPr>
            </w:pPr>
          </w:p>
        </w:tc>
        <w:tc>
          <w:tcPr>
            <w:tcW w:w="920" w:type="dxa"/>
            <w:vAlign w:val="bottom"/>
            <w:tcBorders>
              <w:top w:val="single" w:sz="8" w:color="1352DE"/>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1352DE"/>
            </w:tcBorders>
          </w:tcPr>
          <w:p>
            <w:pPr>
              <w:spacing w:after="0"/>
              <w:rPr>
                <w:sz w:val="11"/>
                <w:szCs w:val="11"/>
                <w:color w:val="auto"/>
              </w:rPr>
            </w:pPr>
          </w:p>
        </w:tc>
        <w:tc>
          <w:tcPr>
            <w:tcW w:w="1000" w:type="dxa"/>
            <w:vAlign w:val="bottom"/>
            <w:tcBorders>
              <w:top w:val="single" w:sz="8" w:color="1352DE"/>
            </w:tcBorders>
          </w:tcPr>
          <w:p>
            <w:pPr>
              <w:jc w:val="right"/>
              <w:ind w:right="33"/>
              <w:spacing w:after="0" w:line="131" w:lineRule="exact"/>
              <w:rPr>
                <w:sz w:val="20"/>
                <w:szCs w:val="20"/>
                <w:color w:val="auto"/>
              </w:rPr>
            </w:pPr>
            <w:r>
              <w:rPr>
                <w:rFonts w:ascii="Arial" w:cs="Arial" w:eastAsia="Arial" w:hAnsi="Arial"/>
                <w:sz w:val="13"/>
                <w:szCs w:val="13"/>
                <w:color w:val="1251DE"/>
              </w:rPr>
              <w:t>Fair Value</w:t>
            </w:r>
          </w:p>
        </w:tc>
        <w:tc>
          <w:tcPr>
            <w:tcW w:w="240" w:type="dxa"/>
            <w:vAlign w:val="bottom"/>
            <w:tcBorders>
              <w:top w:val="single" w:sz="8" w:color="1352DE"/>
            </w:tcBorders>
          </w:tcPr>
          <w:p>
            <w:pPr>
              <w:spacing w:after="0"/>
              <w:rPr>
                <w:sz w:val="11"/>
                <w:szCs w:val="11"/>
                <w:color w:val="auto"/>
              </w:rPr>
            </w:pPr>
          </w:p>
        </w:tc>
        <w:tc>
          <w:tcPr>
            <w:tcW w:w="920" w:type="dxa"/>
            <w:vAlign w:val="bottom"/>
            <w:tcBorders>
              <w:top w:val="single" w:sz="8" w:color="1352DE"/>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33"/>
              <w:spacing w:after="0" w:line="135" w:lineRule="exact"/>
              <w:rPr>
                <w:sz w:val="20"/>
                <w:szCs w:val="20"/>
                <w:color w:val="auto"/>
              </w:rPr>
            </w:pPr>
            <w:r>
              <w:rPr>
                <w:rFonts w:ascii="Arial" w:cs="Arial" w:eastAsia="Arial" w:hAnsi="Arial"/>
                <w:sz w:val="13"/>
                <w:szCs w:val="13"/>
                <w:color w:val="1251DE"/>
              </w:rPr>
              <w:t>Using NAV</w:t>
            </w:r>
          </w:p>
        </w:tc>
        <w:tc>
          <w:tcPr>
            <w:tcW w:w="240" w:type="dxa"/>
            <w:vAlign w:val="bottom"/>
          </w:tcPr>
          <w:p>
            <w:pPr>
              <w:spacing w:after="0"/>
              <w:rPr>
                <w:sz w:val="11"/>
                <w:szCs w:val="11"/>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1251DE"/>
              </w:rPr>
              <w:t>Unfunded</w:t>
            </w:r>
          </w:p>
        </w:tc>
        <w:tc>
          <w:tcPr>
            <w:tcW w:w="160" w:type="dxa"/>
            <w:vAlign w:val="bottom"/>
          </w:tcPr>
          <w:p>
            <w:pPr>
              <w:spacing w:after="0"/>
              <w:rPr>
                <w:sz w:val="11"/>
                <w:szCs w:val="11"/>
                <w:color w:val="auto"/>
              </w:rPr>
            </w:pPr>
          </w:p>
        </w:tc>
        <w:tc>
          <w:tcPr>
            <w:tcW w:w="1000" w:type="dxa"/>
            <w:vAlign w:val="bottom"/>
          </w:tcPr>
          <w:p>
            <w:pPr>
              <w:jc w:val="right"/>
              <w:ind w:right="33"/>
              <w:spacing w:after="0" w:line="135" w:lineRule="exact"/>
              <w:rPr>
                <w:sz w:val="20"/>
                <w:szCs w:val="20"/>
                <w:color w:val="auto"/>
              </w:rPr>
            </w:pPr>
            <w:r>
              <w:rPr>
                <w:rFonts w:ascii="Arial" w:cs="Arial" w:eastAsia="Arial" w:hAnsi="Arial"/>
                <w:sz w:val="13"/>
                <w:szCs w:val="13"/>
                <w:color w:val="1251DE"/>
              </w:rPr>
              <w:t>Using NAV</w:t>
            </w: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1251DE"/>
              </w:rPr>
              <w:t>Unfunded</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4340" w:type="dxa"/>
            <w:vAlign w:val="bottom"/>
            <w:vMerge w:val="restart"/>
          </w:tcPr>
          <w:p>
            <w:pPr>
              <w:ind w:left="200"/>
              <w:spacing w:after="0"/>
              <w:rPr>
                <w:sz w:val="20"/>
                <w:szCs w:val="20"/>
                <w:color w:val="auto"/>
              </w:rPr>
            </w:pPr>
            <w:r>
              <w:rPr>
                <w:rFonts w:ascii="Arial" w:cs="Arial" w:eastAsia="Arial" w:hAnsi="Arial"/>
                <w:sz w:val="13"/>
                <w:szCs w:val="13"/>
                <w:color w:val="1251DE"/>
              </w:rPr>
              <w:t>Investment Category Includes</w:t>
            </w:r>
          </w:p>
        </w:tc>
        <w:tc>
          <w:tcPr>
            <w:tcW w:w="160" w:type="dxa"/>
            <w:vAlign w:val="bottom"/>
          </w:tcPr>
          <w:p>
            <w:pPr>
              <w:spacing w:after="0"/>
              <w:rPr>
                <w:sz w:val="11"/>
                <w:szCs w:val="11"/>
                <w:color w:val="auto"/>
              </w:rPr>
            </w:pPr>
          </w:p>
        </w:tc>
        <w:tc>
          <w:tcPr>
            <w:tcW w:w="1000" w:type="dxa"/>
            <w:vAlign w:val="bottom"/>
          </w:tcPr>
          <w:p>
            <w:pPr>
              <w:jc w:val="right"/>
              <w:ind w:right="33"/>
              <w:spacing w:after="0" w:line="135" w:lineRule="exact"/>
              <w:rPr>
                <w:sz w:val="20"/>
                <w:szCs w:val="20"/>
                <w:color w:val="auto"/>
              </w:rPr>
            </w:pPr>
            <w:r>
              <w:rPr>
                <w:rFonts w:ascii="Arial" w:cs="Arial" w:eastAsia="Arial" w:hAnsi="Arial"/>
                <w:sz w:val="13"/>
                <w:szCs w:val="13"/>
                <w:color w:val="1251DE"/>
              </w:rPr>
              <w:t>Per Share (or</w:t>
            </w:r>
          </w:p>
        </w:tc>
        <w:tc>
          <w:tcPr>
            <w:tcW w:w="2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33"/>
              <w:spacing w:after="0" w:line="135" w:lineRule="exact"/>
              <w:rPr>
                <w:sz w:val="20"/>
                <w:szCs w:val="20"/>
                <w:color w:val="auto"/>
              </w:rPr>
            </w:pPr>
            <w:r>
              <w:rPr>
                <w:rFonts w:ascii="Arial" w:cs="Arial" w:eastAsia="Arial" w:hAnsi="Arial"/>
                <w:sz w:val="13"/>
                <w:szCs w:val="13"/>
                <w:color w:val="1251DE"/>
              </w:rPr>
              <w:t>Per Share (or</w:t>
            </w: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1DE"/>
              </w:rPr>
              <w:t>(in millions)</w:t>
            </w:r>
          </w:p>
        </w:tc>
        <w:tc>
          <w:tcPr>
            <w:tcW w:w="4340" w:type="dxa"/>
            <w:vAlign w:val="bottom"/>
            <w:tcBorders>
              <w:bottom w:val="single" w:sz="8" w:color="1352DE"/>
            </w:tcBorders>
            <w:vMerge w:val="continue"/>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1251DE"/>
              </w:rPr>
              <w:t>its equivalent)</w:t>
            </w:r>
          </w:p>
        </w:tc>
        <w:tc>
          <w:tcPr>
            <w:tcW w:w="24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gridSpan w:val="2"/>
          </w:tcPr>
          <w:p>
            <w:pPr>
              <w:jc w:val="right"/>
              <w:ind w:right="220"/>
              <w:spacing w:after="0"/>
              <w:rPr>
                <w:sz w:val="20"/>
                <w:szCs w:val="20"/>
                <w:color w:val="auto"/>
              </w:rPr>
            </w:pPr>
            <w:r>
              <w:rPr>
                <w:rFonts w:ascii="Arial" w:cs="Arial" w:eastAsia="Arial" w:hAnsi="Arial"/>
                <w:sz w:val="13"/>
                <w:szCs w:val="13"/>
                <w:color w:val="1251DE"/>
              </w:rPr>
              <w:t>Commitments</w:t>
            </w:r>
          </w:p>
        </w:tc>
        <w:tc>
          <w:tcPr>
            <w:tcW w:w="16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1251DE"/>
              </w:rPr>
              <w:t>its equivalent)</w:t>
            </w:r>
          </w:p>
        </w:tc>
        <w:tc>
          <w:tcPr>
            <w:tcW w:w="24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1DE"/>
              </w:rPr>
              <w:t>Commitments</w:t>
            </w:r>
          </w:p>
        </w:tc>
        <w:tc>
          <w:tcPr>
            <w:tcW w:w="0" w:type="dxa"/>
            <w:vAlign w:val="bottom"/>
          </w:tcPr>
          <w:p>
            <w:pPr>
              <w:spacing w:after="0"/>
              <w:rPr>
                <w:sz w:val="1"/>
                <w:szCs w:val="1"/>
                <w:color w:val="auto"/>
              </w:rPr>
            </w:pPr>
          </w:p>
        </w:tc>
      </w:tr>
      <w:tr>
        <w:trPr>
          <w:trHeight w:val="186"/>
        </w:trPr>
        <w:tc>
          <w:tcPr>
            <w:tcW w:w="2020" w:type="dxa"/>
            <w:vAlign w:val="bottom"/>
          </w:tcPr>
          <w:p>
            <w:pPr>
              <w:ind w:left="20"/>
              <w:spacing w:after="0"/>
              <w:rPr>
                <w:sz w:val="20"/>
                <w:szCs w:val="20"/>
                <w:color w:val="auto"/>
              </w:rPr>
            </w:pPr>
            <w:r>
              <w:rPr>
                <w:rFonts w:ascii="Arial" w:cs="Arial" w:eastAsia="Arial" w:hAnsi="Arial"/>
                <w:sz w:val="13"/>
                <w:szCs w:val="13"/>
                <w:b w:val="1"/>
                <w:bCs w:val="1"/>
                <w:color w:val="1252DE"/>
              </w:rPr>
              <w:t>Investment Category*</w:t>
            </w: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140"/>
              <w:spacing w:after="0"/>
              <w:rPr>
                <w:sz w:val="20"/>
                <w:szCs w:val="20"/>
                <w:color w:val="auto"/>
              </w:rPr>
            </w:pPr>
            <w:r>
              <w:rPr>
                <w:rFonts w:ascii="Arial" w:cs="Arial" w:eastAsia="Arial" w:hAnsi="Arial"/>
                <w:sz w:val="13"/>
                <w:szCs w:val="13"/>
                <w:b w:val="1"/>
                <w:bCs w:val="1"/>
                <w:i w:val="1"/>
                <w:iCs w:val="1"/>
                <w:color w:val="1251DE"/>
              </w:rPr>
              <w:t>Private equity funds:</w:t>
            </w: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20" w:type="dxa"/>
            <w:vAlign w:val="bottom"/>
          </w:tcPr>
          <w:p>
            <w:pPr>
              <w:ind w:left="240"/>
              <w:spacing w:after="0" w:line="140" w:lineRule="exact"/>
              <w:rPr>
                <w:sz w:val="20"/>
                <w:szCs w:val="20"/>
                <w:color w:val="auto"/>
              </w:rPr>
            </w:pPr>
            <w:r>
              <w:rPr>
                <w:rFonts w:ascii="Arial" w:cs="Arial" w:eastAsia="Arial" w:hAnsi="Arial"/>
                <w:sz w:val="13"/>
                <w:szCs w:val="13"/>
                <w:color w:val="auto"/>
              </w:rPr>
              <w:t>Leveraged buyout</w:t>
            </w:r>
          </w:p>
        </w:tc>
        <w:tc>
          <w:tcPr>
            <w:tcW w:w="4340" w:type="dxa"/>
            <w:vAlign w:val="bottom"/>
          </w:tcPr>
          <w:p>
            <w:pPr>
              <w:ind w:left="200"/>
              <w:spacing w:after="0" w:line="140" w:lineRule="exact"/>
              <w:rPr>
                <w:sz w:val="20"/>
                <w:szCs w:val="20"/>
                <w:color w:val="auto"/>
              </w:rPr>
            </w:pPr>
            <w:r>
              <w:rPr>
                <w:rFonts w:ascii="Arial" w:cs="Arial" w:eastAsia="Arial" w:hAnsi="Arial"/>
                <w:sz w:val="13"/>
                <w:szCs w:val="13"/>
                <w:color w:val="auto"/>
              </w:rPr>
              <w:t>Debt and/or equity investments made as part of a transaction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4340" w:type="dxa"/>
            <w:vAlign w:val="bottom"/>
          </w:tcPr>
          <w:p>
            <w:pPr>
              <w:ind w:left="200"/>
              <w:spacing w:after="0" w:line="135" w:lineRule="exact"/>
              <w:rPr>
                <w:sz w:val="20"/>
                <w:szCs w:val="20"/>
                <w:color w:val="auto"/>
              </w:rPr>
            </w:pPr>
            <w:r>
              <w:rPr>
                <w:rFonts w:ascii="Arial" w:cs="Arial" w:eastAsia="Arial" w:hAnsi="Arial"/>
                <w:sz w:val="13"/>
                <w:szCs w:val="13"/>
                <w:color w:val="auto"/>
              </w:rPr>
              <w:t>which assets of mature companies are acquired from the current</w:t>
            </w:r>
          </w:p>
        </w:tc>
        <w:tc>
          <w:tcPr>
            <w:tcW w:w="1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1252DE"/>
                <w:w w:val="82"/>
              </w:rPr>
              <w:t>$</w:t>
            </w: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878</w:t>
            </w:r>
          </w:p>
        </w:tc>
        <w:tc>
          <w:tcPr>
            <w:tcW w:w="2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1252DE"/>
              </w:rPr>
              <w:t>$</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388</w:t>
            </w:r>
          </w:p>
        </w:tc>
        <w:tc>
          <w:tcPr>
            <w:tcW w:w="220" w:type="dxa"/>
            <w:vAlign w:val="bottom"/>
          </w:tcPr>
          <w:p>
            <w:pPr>
              <w:spacing w:after="0"/>
              <w:rPr>
                <w:sz w:val="11"/>
                <w:szCs w:val="11"/>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1,184</w:t>
            </w:r>
          </w:p>
        </w:tc>
        <w:tc>
          <w:tcPr>
            <w:tcW w:w="2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4340" w:type="dxa"/>
            <w:vAlign w:val="bottom"/>
          </w:tcPr>
          <w:p>
            <w:pPr>
              <w:ind w:left="200"/>
              <w:spacing w:after="0"/>
              <w:rPr>
                <w:sz w:val="20"/>
                <w:szCs w:val="20"/>
                <w:color w:val="auto"/>
              </w:rPr>
            </w:pPr>
            <w:r>
              <w:rPr>
                <w:rFonts w:ascii="Arial" w:cs="Arial" w:eastAsia="Arial" w:hAnsi="Arial"/>
                <w:sz w:val="13"/>
                <w:szCs w:val="13"/>
                <w:color w:val="auto"/>
              </w:rPr>
              <w:t>shareholders, typically with the use of financial leverage</w:t>
            </w: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20" w:type="dxa"/>
            <w:vAlign w:val="bottom"/>
          </w:tcPr>
          <w:p>
            <w:pPr>
              <w:ind w:left="240"/>
              <w:spacing w:after="0" w:line="140" w:lineRule="exact"/>
              <w:rPr>
                <w:sz w:val="20"/>
                <w:szCs w:val="20"/>
                <w:color w:val="auto"/>
              </w:rPr>
            </w:pPr>
            <w:r>
              <w:rPr>
                <w:rFonts w:ascii="Arial" w:cs="Arial" w:eastAsia="Arial" w:hAnsi="Arial"/>
                <w:sz w:val="13"/>
                <w:szCs w:val="13"/>
                <w:color w:val="auto"/>
              </w:rPr>
              <w:t>Real assets</w:t>
            </w:r>
          </w:p>
        </w:tc>
        <w:tc>
          <w:tcPr>
            <w:tcW w:w="4340" w:type="dxa"/>
            <w:vAlign w:val="bottom"/>
          </w:tcPr>
          <w:p>
            <w:pPr>
              <w:ind w:left="200"/>
              <w:spacing w:after="0" w:line="140" w:lineRule="exact"/>
              <w:rPr>
                <w:sz w:val="20"/>
                <w:szCs w:val="20"/>
                <w:color w:val="auto"/>
              </w:rPr>
            </w:pPr>
            <w:r>
              <w:rPr>
                <w:rFonts w:ascii="Arial" w:cs="Arial" w:eastAsia="Arial" w:hAnsi="Arial"/>
                <w:sz w:val="13"/>
                <w:szCs w:val="13"/>
                <w:color w:val="auto"/>
              </w:rPr>
              <w:t>Investments in real estate properties, agricultural and infrastructure</w:t>
            </w:r>
          </w:p>
        </w:tc>
        <w:tc>
          <w:tcPr>
            <w:tcW w:w="16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375</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516</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4340" w:type="dxa"/>
            <w:vAlign w:val="bottom"/>
          </w:tcPr>
          <w:p>
            <w:pPr>
              <w:ind w:left="200"/>
              <w:spacing w:after="0"/>
              <w:rPr>
                <w:sz w:val="20"/>
                <w:szCs w:val="20"/>
                <w:color w:val="auto"/>
              </w:rPr>
            </w:pPr>
            <w:r>
              <w:rPr>
                <w:rFonts w:ascii="Arial" w:cs="Arial" w:eastAsia="Arial" w:hAnsi="Arial"/>
                <w:sz w:val="13"/>
                <w:szCs w:val="13"/>
                <w:color w:val="auto"/>
              </w:rPr>
              <w:t>assets, including power plants and other energy producing assets</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20" w:type="dxa"/>
            <w:vAlign w:val="bottom"/>
          </w:tcPr>
          <w:p>
            <w:pPr>
              <w:ind w:left="240"/>
              <w:spacing w:after="0" w:line="140" w:lineRule="exact"/>
              <w:rPr>
                <w:sz w:val="20"/>
                <w:szCs w:val="20"/>
                <w:color w:val="auto"/>
              </w:rPr>
            </w:pPr>
            <w:r>
              <w:rPr>
                <w:rFonts w:ascii="Arial" w:cs="Arial" w:eastAsia="Arial" w:hAnsi="Arial"/>
                <w:sz w:val="13"/>
                <w:szCs w:val="13"/>
                <w:color w:val="auto"/>
              </w:rPr>
              <w:t>Growth equity</w:t>
            </w:r>
          </w:p>
        </w:tc>
        <w:tc>
          <w:tcPr>
            <w:tcW w:w="4340" w:type="dxa"/>
            <w:vAlign w:val="bottom"/>
          </w:tcPr>
          <w:p>
            <w:pPr>
              <w:ind w:left="200"/>
              <w:spacing w:after="0" w:line="140" w:lineRule="exact"/>
              <w:rPr>
                <w:sz w:val="20"/>
                <w:szCs w:val="20"/>
                <w:color w:val="auto"/>
              </w:rPr>
            </w:pPr>
            <w:r>
              <w:rPr>
                <w:rFonts w:ascii="Arial" w:cs="Arial" w:eastAsia="Arial" w:hAnsi="Arial"/>
                <w:sz w:val="13"/>
                <w:szCs w:val="13"/>
                <w:color w:val="auto"/>
              </w:rPr>
              <w:t>Funds that make investments in established companies for the</w:t>
            </w:r>
          </w:p>
        </w:tc>
        <w:tc>
          <w:tcPr>
            <w:tcW w:w="16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26</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172</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4340" w:type="dxa"/>
            <w:vAlign w:val="bottom"/>
          </w:tcPr>
          <w:p>
            <w:pPr>
              <w:ind w:left="200"/>
              <w:spacing w:after="0"/>
              <w:rPr>
                <w:sz w:val="20"/>
                <w:szCs w:val="20"/>
                <w:color w:val="auto"/>
              </w:rPr>
            </w:pPr>
            <w:r>
              <w:rPr>
                <w:rFonts w:ascii="Arial" w:cs="Arial" w:eastAsia="Arial" w:hAnsi="Arial"/>
                <w:sz w:val="13"/>
                <w:szCs w:val="13"/>
                <w:color w:val="auto"/>
              </w:rPr>
              <w:t>purpose of growing their businesses</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20" w:type="dxa"/>
            <w:vAlign w:val="bottom"/>
          </w:tcPr>
          <w:p>
            <w:pPr>
              <w:ind w:left="240"/>
              <w:spacing w:after="0" w:line="140" w:lineRule="exact"/>
              <w:rPr>
                <w:sz w:val="20"/>
                <w:szCs w:val="20"/>
                <w:color w:val="auto"/>
              </w:rPr>
            </w:pPr>
            <w:r>
              <w:rPr>
                <w:rFonts w:ascii="Arial" w:cs="Arial" w:eastAsia="Arial" w:hAnsi="Arial"/>
                <w:sz w:val="13"/>
                <w:szCs w:val="13"/>
                <w:color w:val="auto"/>
              </w:rPr>
              <w:t>Private equity secondaries</w:t>
            </w:r>
          </w:p>
        </w:tc>
        <w:tc>
          <w:tcPr>
            <w:tcW w:w="4340" w:type="dxa"/>
            <w:vAlign w:val="bottom"/>
          </w:tcPr>
          <w:p>
            <w:pPr>
              <w:ind w:left="200"/>
              <w:spacing w:after="0" w:line="140" w:lineRule="exact"/>
              <w:rPr>
                <w:sz w:val="20"/>
                <w:szCs w:val="20"/>
                <w:color w:val="auto"/>
              </w:rPr>
            </w:pPr>
            <w:r>
              <w:rPr>
                <w:rFonts w:ascii="Arial" w:cs="Arial" w:eastAsia="Arial" w:hAnsi="Arial"/>
                <w:sz w:val="13"/>
                <w:szCs w:val="13"/>
                <w:color w:val="auto"/>
              </w:rPr>
              <w:t>Investments in a pool of diversified funds across sectors and vintage</w:t>
            </w:r>
          </w:p>
        </w:tc>
        <w:tc>
          <w:tcPr>
            <w:tcW w:w="16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560</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88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71</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4340" w:type="dxa"/>
            <w:vAlign w:val="bottom"/>
          </w:tcPr>
          <w:p>
            <w:pPr>
              <w:ind w:left="200"/>
              <w:spacing w:after="0"/>
              <w:rPr>
                <w:sz w:val="20"/>
                <w:szCs w:val="20"/>
                <w:color w:val="auto"/>
              </w:rPr>
            </w:pPr>
            <w:r>
              <w:rPr>
                <w:rFonts w:ascii="Arial" w:cs="Arial" w:eastAsia="Arial" w:hAnsi="Arial"/>
                <w:sz w:val="13"/>
                <w:szCs w:val="13"/>
                <w:color w:val="auto"/>
              </w:rPr>
              <w:t>years</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20" w:type="dxa"/>
            <w:vAlign w:val="bottom"/>
          </w:tcPr>
          <w:p>
            <w:pPr>
              <w:ind w:left="240"/>
              <w:spacing w:after="0" w:line="140" w:lineRule="exact"/>
              <w:rPr>
                <w:sz w:val="20"/>
                <w:szCs w:val="20"/>
                <w:color w:val="auto"/>
              </w:rPr>
            </w:pPr>
            <w:r>
              <w:rPr>
                <w:rFonts w:ascii="Arial" w:cs="Arial" w:eastAsia="Arial" w:hAnsi="Arial"/>
                <w:sz w:val="13"/>
                <w:szCs w:val="13"/>
                <w:color w:val="auto"/>
              </w:rPr>
              <w:t>Other</w:t>
            </w:r>
          </w:p>
        </w:tc>
        <w:tc>
          <w:tcPr>
            <w:tcW w:w="4340" w:type="dxa"/>
            <w:vAlign w:val="bottom"/>
          </w:tcPr>
          <w:p>
            <w:pPr>
              <w:ind w:left="200"/>
              <w:spacing w:after="0" w:line="140" w:lineRule="exact"/>
              <w:rPr>
                <w:sz w:val="20"/>
                <w:szCs w:val="20"/>
                <w:color w:val="auto"/>
              </w:rPr>
            </w:pPr>
            <w:r>
              <w:rPr>
                <w:rFonts w:ascii="Arial" w:cs="Arial" w:eastAsia="Arial" w:hAnsi="Arial"/>
                <w:sz w:val="13"/>
                <w:szCs w:val="13"/>
                <w:color w:val="auto"/>
              </w:rPr>
              <w:t>Includes multi-strategy funds, co-investments and credit funds in</w:t>
            </w:r>
          </w:p>
        </w:tc>
        <w:tc>
          <w:tcPr>
            <w:tcW w:w="16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961</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549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1,147</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86"/>
        </w:trPr>
        <w:tc>
          <w:tcPr>
            <w:tcW w:w="2020" w:type="dxa"/>
            <w:vAlign w:val="bottom"/>
            <w:tcBorders>
              <w:bottom w:val="single" w:sz="8" w:color="1352DE"/>
            </w:tcBorders>
          </w:tcPr>
          <w:p>
            <w:pPr>
              <w:spacing w:after="0"/>
              <w:rPr>
                <w:sz w:val="16"/>
                <w:szCs w:val="16"/>
                <w:color w:val="auto"/>
              </w:rPr>
            </w:pPr>
          </w:p>
        </w:tc>
        <w:tc>
          <w:tcPr>
            <w:tcW w:w="4340" w:type="dxa"/>
            <w:vAlign w:val="bottom"/>
            <w:tcBorders>
              <w:bottom w:val="single" w:sz="8" w:color="1352DE"/>
            </w:tcBorders>
          </w:tcPr>
          <w:p>
            <w:pPr>
              <w:ind w:left="200"/>
              <w:spacing w:after="0"/>
              <w:rPr>
                <w:sz w:val="20"/>
                <w:szCs w:val="20"/>
                <w:color w:val="auto"/>
              </w:rPr>
            </w:pPr>
            <w:r>
              <w:rPr>
                <w:rFonts w:ascii="Arial" w:cs="Arial" w:eastAsia="Arial" w:hAnsi="Arial"/>
                <w:sz w:val="13"/>
                <w:szCs w:val="13"/>
                <w:color w:val="auto"/>
              </w:rPr>
              <w:t>opportunistic and distressed strategies</w:t>
            </w:r>
          </w:p>
        </w:tc>
        <w:tc>
          <w:tcPr>
            <w:tcW w:w="16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vMerge w:val="continue"/>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16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20" w:type="dxa"/>
            <w:vAlign w:val="bottom"/>
          </w:tcPr>
          <w:p>
            <w:pPr>
              <w:ind w:left="140"/>
              <w:spacing w:after="0"/>
              <w:rPr>
                <w:sz w:val="20"/>
                <w:szCs w:val="20"/>
                <w:color w:val="auto"/>
              </w:rPr>
            </w:pPr>
            <w:r>
              <w:rPr>
                <w:rFonts w:ascii="Arial" w:cs="Arial" w:eastAsia="Arial" w:hAnsi="Arial"/>
                <w:sz w:val="13"/>
                <w:szCs w:val="13"/>
                <w:b w:val="1"/>
                <w:bCs w:val="1"/>
                <w:color w:val="1252DE"/>
              </w:rPr>
              <w:t>Total private equity funds</w:t>
            </w:r>
          </w:p>
        </w:tc>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1252DE"/>
              </w:rPr>
              <w:t>2,800</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1252DE"/>
              </w:rPr>
              <w:t>1,056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3,090</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1,266</w:t>
            </w:r>
          </w:p>
        </w:tc>
        <w:tc>
          <w:tcPr>
            <w:tcW w:w="0" w:type="dxa"/>
            <w:vAlign w:val="bottom"/>
          </w:tcPr>
          <w:p>
            <w:pPr>
              <w:spacing w:after="0"/>
              <w:rPr>
                <w:sz w:val="1"/>
                <w:szCs w:val="1"/>
                <w:color w:val="auto"/>
              </w:rPr>
            </w:pPr>
          </w:p>
        </w:tc>
      </w:tr>
      <w:tr>
        <w:trPr>
          <w:trHeight w:val="139"/>
        </w:trPr>
        <w:tc>
          <w:tcPr>
            <w:tcW w:w="2020" w:type="dxa"/>
            <w:vAlign w:val="bottom"/>
          </w:tcPr>
          <w:p>
            <w:pPr>
              <w:ind w:left="140"/>
              <w:spacing w:after="0" w:line="139" w:lineRule="exact"/>
              <w:rPr>
                <w:sz w:val="20"/>
                <w:szCs w:val="20"/>
                <w:color w:val="auto"/>
              </w:rPr>
            </w:pPr>
            <w:r>
              <w:rPr>
                <w:rFonts w:ascii="Arial" w:cs="Arial" w:eastAsia="Arial" w:hAnsi="Arial"/>
                <w:sz w:val="13"/>
                <w:szCs w:val="13"/>
                <w:b w:val="1"/>
                <w:bCs w:val="1"/>
                <w:color w:val="1252DE"/>
              </w:rPr>
              <w:t>Hedge funds</w:t>
            </w:r>
          </w:p>
        </w:tc>
        <w:tc>
          <w:tcPr>
            <w:tcW w:w="4340" w:type="dxa"/>
            <w:vAlign w:val="bottom"/>
          </w:tcPr>
          <w:p>
            <w:pPr>
              <w:ind w:left="200"/>
              <w:spacing w:after="0" w:line="139" w:lineRule="exact"/>
              <w:rPr>
                <w:sz w:val="20"/>
                <w:szCs w:val="20"/>
                <w:color w:val="auto"/>
              </w:rPr>
            </w:pPr>
            <w:r>
              <w:rPr>
                <w:rFonts w:ascii="Arial" w:cs="Arial" w:eastAsia="Arial" w:hAnsi="Arial"/>
                <w:sz w:val="13"/>
                <w:szCs w:val="13"/>
                <w:color w:val="auto"/>
              </w:rPr>
              <w:t>Funds that pool money from accredited investors and seek returns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4340" w:type="dxa"/>
            <w:vAlign w:val="bottom"/>
          </w:tcPr>
          <w:p>
            <w:pPr>
              <w:ind w:left="200"/>
              <w:spacing w:after="0" w:line="135" w:lineRule="exact"/>
              <w:rPr>
                <w:sz w:val="20"/>
                <w:szCs w:val="20"/>
                <w:color w:val="auto"/>
              </w:rPr>
            </w:pPr>
            <w:r>
              <w:rPr>
                <w:rFonts w:ascii="Arial" w:cs="Arial" w:eastAsia="Arial" w:hAnsi="Arial"/>
                <w:sz w:val="13"/>
                <w:szCs w:val="13"/>
                <w:color w:val="auto"/>
              </w:rPr>
              <w:t>by investing in a wide variety of strategies aimed at generating</w:t>
            </w:r>
          </w:p>
        </w:tc>
        <w:tc>
          <w:tcPr>
            <w:tcW w:w="160" w:type="dxa"/>
            <w:vAlign w:val="bottom"/>
          </w:tcPr>
          <w:p>
            <w:pPr>
              <w:spacing w:after="0"/>
              <w:rPr>
                <w:sz w:val="11"/>
                <w:szCs w:val="11"/>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129</w:t>
            </w:r>
          </w:p>
        </w:tc>
        <w:tc>
          <w:tcPr>
            <w:tcW w:w="240" w:type="dxa"/>
            <w:vAlign w:val="bottom"/>
          </w:tcPr>
          <w:p>
            <w:pPr>
              <w:spacing w:after="0"/>
              <w:rPr>
                <w:sz w:val="11"/>
                <w:szCs w:val="11"/>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1252DE"/>
              </w:rPr>
              <w:t>—</w:t>
            </w:r>
          </w:p>
        </w:tc>
        <w:tc>
          <w:tcPr>
            <w:tcW w:w="160" w:type="dxa"/>
            <w:vAlign w:val="bottom"/>
          </w:tcPr>
          <w:p>
            <w:pPr>
              <w:spacing w:after="0"/>
              <w:rPr>
                <w:sz w:val="11"/>
                <w:szCs w:val="11"/>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174</w:t>
            </w: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020" w:type="dxa"/>
            <w:vAlign w:val="bottom"/>
            <w:tcBorders>
              <w:bottom w:val="single" w:sz="8" w:color="1352DE"/>
            </w:tcBorders>
          </w:tcPr>
          <w:p>
            <w:pPr>
              <w:spacing w:after="0"/>
              <w:rPr>
                <w:sz w:val="16"/>
                <w:szCs w:val="16"/>
                <w:color w:val="auto"/>
              </w:rPr>
            </w:pPr>
          </w:p>
        </w:tc>
        <w:tc>
          <w:tcPr>
            <w:tcW w:w="4340" w:type="dxa"/>
            <w:vAlign w:val="bottom"/>
            <w:tcBorders>
              <w:bottom w:val="single" w:sz="8" w:color="1352DE"/>
            </w:tcBorders>
          </w:tcPr>
          <w:p>
            <w:pPr>
              <w:ind w:left="200"/>
              <w:spacing w:after="0"/>
              <w:rPr>
                <w:sz w:val="20"/>
                <w:szCs w:val="20"/>
                <w:color w:val="auto"/>
              </w:rPr>
            </w:pPr>
            <w:r>
              <w:rPr>
                <w:rFonts w:ascii="Arial" w:cs="Arial" w:eastAsia="Arial" w:hAnsi="Arial"/>
                <w:sz w:val="13"/>
                <w:szCs w:val="13"/>
                <w:color w:val="auto"/>
              </w:rPr>
              <w:t>returns independent of overall market direction</w:t>
            </w:r>
          </w:p>
        </w:tc>
        <w:tc>
          <w:tcPr>
            <w:tcW w:w="16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1140" w:type="dxa"/>
            <w:vAlign w:val="bottom"/>
            <w:tcBorders>
              <w:bottom w:val="single" w:sz="8" w:color="1352DE"/>
            </w:tcBorders>
            <w:gridSpan w:val="2"/>
            <w:vMerge w:val="continue"/>
          </w:tcPr>
          <w:p>
            <w:pPr>
              <w:spacing w:after="0"/>
              <w:rPr>
                <w:sz w:val="16"/>
                <w:szCs w:val="16"/>
                <w:color w:val="auto"/>
              </w:rPr>
            </w:pPr>
          </w:p>
        </w:tc>
        <w:tc>
          <w:tcPr>
            <w:tcW w:w="16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Total</w:t>
            </w:r>
          </w:p>
        </w:tc>
        <w:tc>
          <w:tcPr>
            <w:tcW w:w="434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jc w:val="right"/>
              <w:ind w:right="13"/>
              <w:spacing w:after="0"/>
              <w:rPr>
                <w:sz w:val="20"/>
                <w:szCs w:val="20"/>
                <w:color w:val="auto"/>
              </w:rPr>
            </w:pPr>
            <w:r>
              <w:rPr>
                <w:rFonts w:ascii="Arial" w:cs="Arial" w:eastAsia="Arial" w:hAnsi="Arial"/>
                <w:sz w:val="13"/>
                <w:szCs w:val="13"/>
                <w:b w:val="1"/>
                <w:bCs w:val="1"/>
                <w:color w:val="1252DE"/>
                <w:w w:val="82"/>
              </w:rPr>
              <w:t>$</w:t>
            </w:r>
          </w:p>
        </w:tc>
        <w:tc>
          <w:tcPr>
            <w:tcW w:w="100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1252DE"/>
              </w:rPr>
              <w:t>2,929</w:t>
            </w:r>
          </w:p>
        </w:tc>
        <w:tc>
          <w:tcPr>
            <w:tcW w:w="240" w:type="dxa"/>
            <w:vAlign w:val="bottom"/>
            <w:tcBorders>
              <w:bottom w:val="single" w:sz="8" w:color="1352DE"/>
            </w:tcBorders>
          </w:tcPr>
          <w:p>
            <w:pPr>
              <w:jc w:val="right"/>
              <w:ind w:right="13"/>
              <w:spacing w:after="0"/>
              <w:rPr>
                <w:sz w:val="20"/>
                <w:szCs w:val="20"/>
                <w:color w:val="auto"/>
              </w:rPr>
            </w:pPr>
            <w:r>
              <w:rPr>
                <w:rFonts w:ascii="Arial" w:cs="Arial" w:eastAsia="Arial" w:hAnsi="Arial"/>
                <w:sz w:val="13"/>
                <w:szCs w:val="13"/>
                <w:b w:val="1"/>
                <w:bCs w:val="1"/>
                <w:color w:val="1252DE"/>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1,056</w:t>
            </w:r>
          </w:p>
        </w:tc>
        <w:tc>
          <w:tcPr>
            <w:tcW w:w="22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color w:val="auto"/>
              </w:rPr>
              <w:t>3,264</w:t>
            </w:r>
          </w:p>
        </w:tc>
        <w:tc>
          <w:tcPr>
            <w:tcW w:w="240" w:type="dxa"/>
            <w:vAlign w:val="bottom"/>
            <w:tcBorders>
              <w:bottom w:val="single" w:sz="8" w:color="1352DE"/>
            </w:tcBorders>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1,266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the second quarter of 2026, AIG revised the list of investment categories. Historical results have been recast to reflect these changes.</w:t>
      </w:r>
    </w:p>
    <w:p>
      <w:pPr>
        <w:spacing w:after="0" w:line="11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Private equity fund investments included above are not redeemable, because distributions from the funds will be received when underlying investments of the funds are liquidated. Private equity funds are generally expected to have 10-year lives at their inception, but these lives may be extended at the fund manager’s discretion, typically in one-year or two-year increments. Hedge fund investments included above are generally redeemable with a quarter's notice, subject to underlying fund restrictions.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17</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4. Fair Value Measurements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FAIR VALUE OPTION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gains or losses recorded related to the eligible instruments for which we elected the fair value option: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80" w:type="dxa"/>
            <w:vAlign w:val="bottom"/>
            <w:tcBorders>
              <w:top w:val="single" w:sz="8" w:color="1352DE"/>
            </w:tcBorders>
          </w:tcPr>
          <w:p>
            <w:pPr>
              <w:spacing w:after="0"/>
              <w:rPr>
                <w:sz w:val="14"/>
                <w:szCs w:val="14"/>
                <w:color w:val="auto"/>
              </w:rPr>
            </w:pPr>
          </w:p>
        </w:tc>
        <w:tc>
          <w:tcPr>
            <w:tcW w:w="380" w:type="dxa"/>
            <w:vAlign w:val="bottom"/>
            <w:tcBorders>
              <w:top w:val="single" w:sz="8" w:color="1352DE"/>
            </w:tcBorders>
          </w:tcPr>
          <w:p>
            <w:pPr>
              <w:spacing w:after="0"/>
              <w:rPr>
                <w:sz w:val="14"/>
                <w:szCs w:val="14"/>
                <w:color w:val="auto"/>
              </w:rPr>
            </w:pPr>
          </w:p>
        </w:tc>
        <w:tc>
          <w:tcPr>
            <w:tcW w:w="1940" w:type="dxa"/>
            <w:vAlign w:val="bottom"/>
            <w:tcBorders>
              <w:top w:val="single" w:sz="8" w:color="1352DE"/>
            </w:tcBorders>
            <w:gridSpan w:val="2"/>
          </w:tcPr>
          <w:p>
            <w:pPr>
              <w:jc w:val="right"/>
              <w:ind w:right="28"/>
              <w:spacing w:after="0"/>
              <w:rPr>
                <w:sz w:val="20"/>
                <w:szCs w:val="20"/>
                <w:color w:val="auto"/>
              </w:rPr>
            </w:pPr>
            <w:r>
              <w:rPr>
                <w:rFonts w:ascii="Arial" w:cs="Arial" w:eastAsia="Arial" w:hAnsi="Arial"/>
                <w:sz w:val="14"/>
                <w:szCs w:val="14"/>
                <w:color w:val="1352DE"/>
              </w:rPr>
              <w:t>Gain (Loss) Three Months</w:t>
            </w:r>
          </w:p>
        </w:tc>
        <w:tc>
          <w:tcPr>
            <w:tcW w:w="460" w:type="dxa"/>
            <w:vAlign w:val="bottom"/>
            <w:tcBorders>
              <w:top w:val="single" w:sz="8" w:color="1352DE"/>
            </w:tcBorders>
          </w:tcPr>
          <w:p>
            <w:pPr>
              <w:spacing w:after="0"/>
              <w:rPr>
                <w:sz w:val="14"/>
                <w:szCs w:val="14"/>
                <w:color w:val="auto"/>
              </w:rPr>
            </w:pPr>
          </w:p>
        </w:tc>
        <w:tc>
          <w:tcPr>
            <w:tcW w:w="220" w:type="dxa"/>
            <w:vAlign w:val="bottom"/>
            <w:tcBorders>
              <w:top w:val="single" w:sz="8" w:color="1352DE"/>
            </w:tcBorders>
          </w:tcPr>
          <w:p>
            <w:pPr>
              <w:spacing w:after="0"/>
              <w:rPr>
                <w:sz w:val="14"/>
                <w:szCs w:val="14"/>
                <w:color w:val="auto"/>
              </w:rPr>
            </w:pPr>
          </w:p>
        </w:tc>
        <w:tc>
          <w:tcPr>
            <w:tcW w:w="380" w:type="dxa"/>
            <w:vAlign w:val="bottom"/>
            <w:tcBorders>
              <w:top w:val="single" w:sz="8" w:color="1352DE"/>
            </w:tcBorders>
          </w:tcPr>
          <w:p>
            <w:pPr>
              <w:spacing w:after="0"/>
              <w:rPr>
                <w:sz w:val="14"/>
                <w:szCs w:val="14"/>
                <w:color w:val="auto"/>
              </w:rPr>
            </w:pPr>
          </w:p>
        </w:tc>
        <w:tc>
          <w:tcPr>
            <w:tcW w:w="1900" w:type="dxa"/>
            <w:vAlign w:val="bottom"/>
            <w:tcBorders>
              <w:top w:val="single" w:sz="8" w:color="1352DE"/>
            </w:tcBorders>
            <w:gridSpan w:val="2"/>
          </w:tcPr>
          <w:p>
            <w:pPr>
              <w:jc w:val="right"/>
              <w:ind w:right="48"/>
              <w:spacing w:after="0"/>
              <w:rPr>
                <w:sz w:val="20"/>
                <w:szCs w:val="20"/>
                <w:color w:val="auto"/>
              </w:rPr>
            </w:pPr>
            <w:r>
              <w:rPr>
                <w:rFonts w:ascii="Arial" w:cs="Arial" w:eastAsia="Arial" w:hAnsi="Arial"/>
                <w:sz w:val="14"/>
                <w:szCs w:val="14"/>
                <w:color w:val="1352DE"/>
              </w:rPr>
              <w:t>Gain (Loss) Nine Months</w:t>
            </w:r>
          </w:p>
        </w:tc>
        <w:tc>
          <w:tcPr>
            <w:tcW w:w="460" w:type="dxa"/>
            <w:vAlign w:val="bottom"/>
            <w:tcBorders>
              <w:top w:val="single" w:sz="8" w:color="1352DE"/>
            </w:tcBorders>
          </w:tcPr>
          <w:p>
            <w:pPr>
              <w:spacing w:after="0"/>
              <w:rPr>
                <w:sz w:val="14"/>
                <w:szCs w:val="14"/>
                <w:color w:val="auto"/>
              </w:rPr>
            </w:pPr>
          </w:p>
        </w:tc>
      </w:tr>
      <w:tr>
        <w:trPr>
          <w:trHeight w:val="185"/>
        </w:trPr>
        <w:tc>
          <w:tcPr>
            <w:tcW w:w="5480" w:type="dxa"/>
            <w:vAlign w:val="bottom"/>
          </w:tcPr>
          <w:p>
            <w:pPr>
              <w:spacing w:after="0"/>
              <w:rPr>
                <w:sz w:val="16"/>
                <w:szCs w:val="16"/>
                <w:color w:val="auto"/>
              </w:rPr>
            </w:pPr>
          </w:p>
        </w:tc>
        <w:tc>
          <w:tcPr>
            <w:tcW w:w="380" w:type="dxa"/>
            <w:vAlign w:val="bottom"/>
            <w:tcBorders>
              <w:bottom w:val="single" w:sz="8" w:color="1352DE"/>
            </w:tcBorders>
          </w:tcPr>
          <w:p>
            <w:pPr>
              <w:spacing w:after="0"/>
              <w:rPr>
                <w:sz w:val="16"/>
                <w:szCs w:val="16"/>
                <w:color w:val="auto"/>
              </w:rPr>
            </w:pPr>
          </w:p>
        </w:tc>
        <w:tc>
          <w:tcPr>
            <w:tcW w:w="1940" w:type="dxa"/>
            <w:vAlign w:val="bottom"/>
            <w:tcBorders>
              <w:bottom w:val="single" w:sz="8" w:color="1352DE"/>
            </w:tcBorders>
            <w:gridSpan w:val="2"/>
          </w:tcPr>
          <w:p>
            <w:pPr>
              <w:jc w:val="right"/>
              <w:ind w:right="148"/>
              <w:spacing w:after="0"/>
              <w:rPr>
                <w:sz w:val="20"/>
                <w:szCs w:val="20"/>
                <w:color w:val="auto"/>
              </w:rPr>
            </w:pPr>
            <w:r>
              <w:rPr>
                <w:rFonts w:ascii="Arial" w:cs="Arial" w:eastAsia="Arial" w:hAnsi="Arial"/>
                <w:sz w:val="14"/>
                <w:szCs w:val="14"/>
                <w:color w:val="1352DE"/>
              </w:rPr>
              <w:t>Ended September 30,</w:t>
            </w:r>
          </w:p>
        </w:tc>
        <w:tc>
          <w:tcPr>
            <w:tcW w:w="460" w:type="dxa"/>
            <w:vAlign w:val="bottom"/>
            <w:tcBorders>
              <w:bottom w:val="single" w:sz="8" w:color="1352DE"/>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1352DE"/>
            </w:tcBorders>
          </w:tcPr>
          <w:p>
            <w:pPr>
              <w:spacing w:after="0"/>
              <w:rPr>
                <w:sz w:val="16"/>
                <w:szCs w:val="16"/>
                <w:color w:val="auto"/>
              </w:rPr>
            </w:pPr>
          </w:p>
        </w:tc>
        <w:tc>
          <w:tcPr>
            <w:tcW w:w="1900" w:type="dxa"/>
            <w:vAlign w:val="bottom"/>
            <w:tcBorders>
              <w:bottom w:val="single" w:sz="8" w:color="1352DE"/>
            </w:tcBorders>
            <w:gridSpan w:val="2"/>
          </w:tcPr>
          <w:p>
            <w:pPr>
              <w:jc w:val="right"/>
              <w:ind w:right="148"/>
              <w:spacing w:after="0"/>
              <w:rPr>
                <w:sz w:val="20"/>
                <w:szCs w:val="20"/>
                <w:color w:val="auto"/>
              </w:rPr>
            </w:pPr>
            <w:r>
              <w:rPr>
                <w:rFonts w:ascii="Arial" w:cs="Arial" w:eastAsia="Arial" w:hAnsi="Arial"/>
                <w:sz w:val="14"/>
                <w:szCs w:val="14"/>
                <w:color w:val="1352DE"/>
              </w:rPr>
              <w:t>Ended September 30,</w:t>
            </w:r>
          </w:p>
        </w:tc>
        <w:tc>
          <w:tcPr>
            <w:tcW w:w="460" w:type="dxa"/>
            <w:vAlign w:val="bottom"/>
            <w:tcBorders>
              <w:bottom w:val="single" w:sz="8" w:color="1352DE"/>
            </w:tcBorders>
          </w:tcPr>
          <w:p>
            <w:pPr>
              <w:spacing w:after="0"/>
              <w:rPr>
                <w:sz w:val="16"/>
                <w:szCs w:val="16"/>
                <w:color w:val="auto"/>
              </w:rPr>
            </w:pPr>
          </w:p>
        </w:tc>
      </w:tr>
      <w:tr>
        <w:trPr>
          <w:trHeight w:val="195"/>
        </w:trPr>
        <w:tc>
          <w:tcPr>
            <w:tcW w:w="54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352DE"/>
              </w:rPr>
              <w:t>(in millions)</w:t>
            </w:r>
          </w:p>
        </w:tc>
        <w:tc>
          <w:tcPr>
            <w:tcW w:w="380" w:type="dxa"/>
            <w:vAlign w:val="bottom"/>
            <w:tcBorders>
              <w:bottom w:val="single" w:sz="8" w:color="1352DE"/>
            </w:tcBorders>
          </w:tcPr>
          <w:p>
            <w:pPr>
              <w:spacing w:after="0"/>
              <w:rPr>
                <w:sz w:val="16"/>
                <w:szCs w:val="16"/>
                <w:color w:val="auto"/>
              </w:rPr>
            </w:pPr>
          </w:p>
        </w:tc>
        <w:tc>
          <w:tcPr>
            <w:tcW w:w="11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352DE"/>
              </w:rPr>
              <w:t>2026</w:t>
            </w:r>
          </w:p>
        </w:tc>
        <w:tc>
          <w:tcPr>
            <w:tcW w:w="820" w:type="dxa"/>
            <w:vAlign w:val="bottom"/>
            <w:tcBorders>
              <w:bottom w:val="single" w:sz="8" w:color="1352DE"/>
            </w:tcBorders>
          </w:tcPr>
          <w:p>
            <w:pPr>
              <w:spacing w:after="0"/>
              <w:rPr>
                <w:sz w:val="16"/>
                <w:szCs w:val="16"/>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352DE"/>
              </w:rPr>
              <w:t>2025</w:t>
            </w:r>
          </w:p>
        </w:tc>
        <w:tc>
          <w:tcPr>
            <w:tcW w:w="220" w:type="dxa"/>
            <w:vAlign w:val="bottom"/>
            <w:tcBorders>
              <w:bottom w:val="single" w:sz="8" w:color="1352DE"/>
            </w:tcBorders>
          </w:tcPr>
          <w:p>
            <w:pPr>
              <w:spacing w:after="0"/>
              <w:rPr>
                <w:sz w:val="16"/>
                <w:szCs w:val="16"/>
                <w:color w:val="auto"/>
              </w:rPr>
            </w:pPr>
          </w:p>
        </w:tc>
        <w:tc>
          <w:tcPr>
            <w:tcW w:w="380" w:type="dxa"/>
            <w:vAlign w:val="bottom"/>
            <w:tcBorders>
              <w:bottom w:val="single" w:sz="8" w:color="1352DE"/>
            </w:tcBorders>
          </w:tcPr>
          <w:p>
            <w:pPr>
              <w:spacing w:after="0"/>
              <w:rPr>
                <w:sz w:val="16"/>
                <w:szCs w:val="16"/>
                <w:color w:val="auto"/>
              </w:rPr>
            </w:pPr>
          </w:p>
        </w:tc>
        <w:tc>
          <w:tcPr>
            <w:tcW w:w="10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352DE"/>
              </w:rPr>
              <w:t>2026</w:t>
            </w:r>
          </w:p>
        </w:tc>
        <w:tc>
          <w:tcPr>
            <w:tcW w:w="820" w:type="dxa"/>
            <w:vAlign w:val="bottom"/>
            <w:tcBorders>
              <w:bottom w:val="single" w:sz="8" w:color="1352DE"/>
            </w:tcBorders>
          </w:tcPr>
          <w:p>
            <w:pPr>
              <w:spacing w:after="0"/>
              <w:rPr>
                <w:sz w:val="16"/>
                <w:szCs w:val="16"/>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352DE"/>
              </w:rPr>
              <w:t>2025</w:t>
            </w:r>
          </w:p>
        </w:tc>
      </w:tr>
      <w:tr>
        <w:trPr>
          <w:trHeight w:val="199"/>
        </w:trPr>
        <w:tc>
          <w:tcPr>
            <w:tcW w:w="5480" w:type="dxa"/>
            <w:vAlign w:val="bottom"/>
          </w:tcPr>
          <w:p>
            <w:pPr>
              <w:ind w:left="20"/>
              <w:spacing w:after="0" w:line="199" w:lineRule="exact"/>
              <w:rPr>
                <w:sz w:val="20"/>
                <w:szCs w:val="20"/>
                <w:color w:val="auto"/>
              </w:rPr>
            </w:pPr>
            <w:r>
              <w:rPr>
                <w:rFonts w:ascii="Arial" w:cs="Arial" w:eastAsia="Arial" w:hAnsi="Arial"/>
                <w:sz w:val="14"/>
                <w:szCs w:val="14"/>
                <w:color w:val="auto"/>
              </w:rPr>
              <w:t>Other bond securities</w:t>
            </w:r>
            <w:r>
              <w:rPr>
                <w:rFonts w:ascii="Arial" w:cs="Arial" w:eastAsia="Arial" w:hAnsi="Arial"/>
                <w:sz w:val="18"/>
                <w:szCs w:val="18"/>
                <w:color w:val="auto"/>
                <w:vertAlign w:val="superscript"/>
              </w:rPr>
              <w:t>(a)</w:t>
            </w:r>
          </w:p>
        </w:tc>
        <w:tc>
          <w:tcPr>
            <w:tcW w:w="380" w:type="dxa"/>
            <w:vAlign w:val="bottom"/>
          </w:tcPr>
          <w:p>
            <w:pPr>
              <w:jc w:val="right"/>
              <w:ind w:right="108"/>
              <w:spacing w:after="0"/>
              <w:rPr>
                <w:sz w:val="20"/>
                <w:szCs w:val="20"/>
                <w:color w:val="auto"/>
              </w:rPr>
            </w:pPr>
            <w:r>
              <w:rPr>
                <w:rFonts w:ascii="Arial" w:cs="Arial" w:eastAsia="Arial" w:hAnsi="Arial"/>
                <w:sz w:val="14"/>
                <w:szCs w:val="14"/>
                <w:b w:val="1"/>
                <w:bCs w:val="1"/>
                <w:color w:val="1352DE"/>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1352DE"/>
              </w:rPr>
              <w:t>(8)</w:t>
            </w:r>
          </w:p>
        </w:tc>
        <w:tc>
          <w:tcPr>
            <w:tcW w:w="8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7"/>
                <w:szCs w:val="17"/>
                <w:color w:val="auto"/>
              </w:rPr>
            </w:pPr>
          </w:p>
        </w:tc>
        <w:tc>
          <w:tcPr>
            <w:tcW w:w="380" w:type="dxa"/>
            <w:vAlign w:val="bottom"/>
          </w:tcPr>
          <w:p>
            <w:pPr>
              <w:jc w:val="right"/>
              <w:ind w:right="108"/>
              <w:spacing w:after="0"/>
              <w:rPr>
                <w:sz w:val="20"/>
                <w:szCs w:val="20"/>
                <w:color w:val="auto"/>
              </w:rPr>
            </w:pPr>
            <w:r>
              <w:rPr>
                <w:rFonts w:ascii="Arial" w:cs="Arial" w:eastAsia="Arial" w:hAnsi="Arial"/>
                <w:sz w:val="14"/>
                <w:szCs w:val="14"/>
                <w:b w:val="1"/>
                <w:bCs w:val="1"/>
                <w:color w:val="1352DE"/>
              </w:rPr>
              <w:t>$</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1352DE"/>
              </w:rPr>
              <w:t>2</w:t>
            </w:r>
          </w:p>
        </w:tc>
        <w:tc>
          <w:tcPr>
            <w:tcW w:w="8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4"/>
                <w:szCs w:val="14"/>
                <w:color w:val="auto"/>
              </w:rPr>
              <w:t>Alternative investments</w:t>
            </w:r>
            <w:r>
              <w:rPr>
                <w:rFonts w:ascii="Arial" w:cs="Arial" w:eastAsia="Arial" w:hAnsi="Arial"/>
                <w:sz w:val="18"/>
                <w:szCs w:val="18"/>
                <w:color w:val="auto"/>
                <w:vertAlign w:val="superscript"/>
              </w:rPr>
              <w:t>(b)</w:t>
            </w:r>
          </w:p>
        </w:tc>
        <w:tc>
          <w:tcPr>
            <w:tcW w:w="38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1352DE"/>
              </w:rPr>
              <w:t>(8)</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1352DE"/>
              </w:rPr>
              <w:t>(96)</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201"/>
        </w:trPr>
        <w:tc>
          <w:tcPr>
            <w:tcW w:w="5480" w:type="dxa"/>
            <w:vAlign w:val="bottom"/>
            <w:tcBorders>
              <w:bottom w:val="single" w:sz="8" w:color="1352DE"/>
            </w:tcBorders>
          </w:tcPr>
          <w:p>
            <w:pPr>
              <w:ind w:left="20"/>
              <w:spacing w:after="0" w:line="201" w:lineRule="exact"/>
              <w:rPr>
                <w:sz w:val="20"/>
                <w:szCs w:val="20"/>
                <w:color w:val="auto"/>
              </w:rPr>
            </w:pPr>
            <w:r>
              <w:rPr>
                <w:rFonts w:ascii="Arial" w:cs="Arial" w:eastAsia="Arial" w:hAnsi="Arial"/>
                <w:sz w:val="14"/>
                <w:szCs w:val="14"/>
                <w:color w:val="auto"/>
              </w:rPr>
              <w:t>Retained investment in Corebridge</w:t>
            </w:r>
            <w:r>
              <w:rPr>
                <w:rFonts w:ascii="Arial" w:cs="Arial" w:eastAsia="Arial" w:hAnsi="Arial"/>
                <w:sz w:val="18"/>
                <w:szCs w:val="18"/>
                <w:color w:val="auto"/>
                <w:vertAlign w:val="superscript"/>
              </w:rPr>
              <w:t>(c)</w:t>
            </w:r>
          </w:p>
        </w:tc>
        <w:tc>
          <w:tcPr>
            <w:tcW w:w="380" w:type="dxa"/>
            <w:vAlign w:val="bottom"/>
            <w:tcBorders>
              <w:bottom w:val="single" w:sz="8" w:color="1352DE"/>
            </w:tcBorders>
          </w:tcPr>
          <w:p>
            <w:pPr>
              <w:spacing w:after="0"/>
              <w:rPr>
                <w:sz w:val="17"/>
                <w:szCs w:val="17"/>
                <w:color w:val="auto"/>
              </w:rPr>
            </w:pPr>
          </w:p>
        </w:tc>
        <w:tc>
          <w:tcPr>
            <w:tcW w:w="11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352DE"/>
              </w:rPr>
              <w:t>—</w:t>
            </w:r>
          </w:p>
        </w:tc>
        <w:tc>
          <w:tcPr>
            <w:tcW w:w="8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(348)</w:t>
            </w:r>
          </w:p>
        </w:tc>
        <w:tc>
          <w:tcPr>
            <w:tcW w:w="22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tcPr>
          <w:p>
            <w:pPr>
              <w:spacing w:after="0"/>
              <w:rPr>
                <w:sz w:val="17"/>
                <w:szCs w:val="17"/>
                <w:color w:val="auto"/>
              </w:rPr>
            </w:pPr>
          </w:p>
        </w:tc>
        <w:tc>
          <w:tcPr>
            <w:tcW w:w="108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352DE"/>
              </w:rPr>
              <w:t>(154)</w:t>
            </w:r>
          </w:p>
        </w:tc>
        <w:tc>
          <w:tcPr>
            <w:tcW w:w="8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316</w:t>
            </w:r>
          </w:p>
        </w:tc>
      </w:tr>
      <w:tr>
        <w:trPr>
          <w:trHeight w:val="195"/>
        </w:trPr>
        <w:tc>
          <w:tcPr>
            <w:tcW w:w="548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Total gain (loss)</w:t>
            </w:r>
          </w:p>
        </w:tc>
        <w:tc>
          <w:tcPr>
            <w:tcW w:w="3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352DE"/>
              </w:rPr>
              <w:t>$</w:t>
            </w:r>
          </w:p>
        </w:tc>
        <w:tc>
          <w:tcPr>
            <w:tcW w:w="11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352DE"/>
              </w:rPr>
              <w:t>(16)</w:t>
            </w:r>
          </w:p>
        </w:tc>
        <w:tc>
          <w:tcPr>
            <w:tcW w:w="820" w:type="dxa"/>
            <w:vAlign w:val="bottom"/>
            <w:tcBorders>
              <w:bottom w:val="single" w:sz="8" w:color="1352DE"/>
            </w:tcBorders>
          </w:tcPr>
          <w:p>
            <w:pPr>
              <w:jc w:val="right"/>
              <w:ind w:right="5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(240)</w:t>
            </w:r>
          </w:p>
        </w:tc>
        <w:tc>
          <w:tcPr>
            <w:tcW w:w="220" w:type="dxa"/>
            <w:vAlign w:val="bottom"/>
            <w:tcBorders>
              <w:bottom w:val="single" w:sz="8" w:color="1352DE"/>
            </w:tcBorders>
          </w:tcPr>
          <w:p>
            <w:pPr>
              <w:spacing w:after="0"/>
              <w:rPr>
                <w:sz w:val="16"/>
                <w:szCs w:val="16"/>
                <w:color w:val="auto"/>
              </w:rPr>
            </w:pPr>
          </w:p>
        </w:tc>
        <w:tc>
          <w:tcPr>
            <w:tcW w:w="3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352DE"/>
              </w:rPr>
              <w:t>$</w:t>
            </w:r>
          </w:p>
        </w:tc>
        <w:tc>
          <w:tcPr>
            <w:tcW w:w="108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352DE"/>
              </w:rPr>
              <w:t>(248)</w:t>
            </w:r>
          </w:p>
        </w:tc>
        <w:tc>
          <w:tcPr>
            <w:tcW w:w="820" w:type="dxa"/>
            <w:vAlign w:val="bottom"/>
            <w:tcBorders>
              <w:bottom w:val="single" w:sz="8" w:color="1352DE"/>
            </w:tcBorders>
          </w:tcPr>
          <w:p>
            <w:pPr>
              <w:jc w:val="right"/>
              <w:ind w:right="5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538</w:t>
            </w:r>
          </w:p>
        </w:tc>
      </w:tr>
    </w:tbl>
    <w:p>
      <w:pPr>
        <w:spacing w:after="0" w:line="144" w:lineRule="exact"/>
        <w:rPr>
          <w:sz w:val="20"/>
          <w:szCs w:val="20"/>
          <w:color w:val="auto"/>
        </w:rPr>
      </w:pPr>
    </w:p>
    <w:p>
      <w:pPr>
        <w:ind w:left="220" w:right="520" w:hanging="212"/>
        <w:spacing w:after="0" w:line="264" w:lineRule="auto"/>
        <w:tabs>
          <w:tab w:leader="none" w:pos="208"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Includes certain securities supporting the funds withheld arrangements with Fortitude Re. </w:t>
      </w:r>
      <w:r>
        <w:rPr>
          <w:rFonts w:ascii="Arial" w:cs="Arial" w:eastAsia="Arial" w:hAnsi="Arial"/>
          <w:sz w:val="13"/>
          <w:szCs w:val="13"/>
          <w:i w:val="1"/>
          <w:iCs w:val="1"/>
          <w:color w:val="auto"/>
        </w:rPr>
        <w:t>For additional information regarding the gains and losses for Other bond securities, see Note 5. For</w:t>
      </w:r>
      <w:r>
        <w:rPr>
          <w:rFonts w:ascii="Arial" w:cs="Arial" w:eastAsia="Arial" w:hAnsi="Arial"/>
          <w:sz w:val="13"/>
          <w:szCs w:val="13"/>
          <w:color w:val="auto"/>
        </w:rPr>
        <w:t xml:space="preserve"> </w:t>
      </w:r>
      <w:r>
        <w:rPr>
          <w:rFonts w:ascii="Arial" w:cs="Arial" w:eastAsia="Arial" w:hAnsi="Arial"/>
          <w:sz w:val="13"/>
          <w:szCs w:val="13"/>
          <w:i w:val="1"/>
          <w:iCs w:val="1"/>
          <w:color w:val="auto"/>
        </w:rPr>
        <w:t>additional information regarding the funds withheld arrangements with Fortitude Re, see Note 7.</w:t>
      </w:r>
    </w:p>
    <w:p>
      <w:pPr>
        <w:spacing w:after="0" w:line="49" w:lineRule="exact"/>
        <w:rPr>
          <w:rFonts w:ascii="Arial" w:cs="Arial" w:eastAsia="Arial" w:hAnsi="Arial"/>
          <w:sz w:val="13"/>
          <w:szCs w:val="13"/>
          <w:color w:val="auto"/>
        </w:rPr>
      </w:pPr>
    </w:p>
    <w:p>
      <w:pPr>
        <w:ind w:left="220" w:hanging="212"/>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certain hedge funds, private equity funds and real estate investments.</w:t>
      </w:r>
    </w:p>
    <w:p>
      <w:pPr>
        <w:spacing w:after="0" w:line="80" w:lineRule="exact"/>
        <w:rPr>
          <w:rFonts w:ascii="Arial" w:cs="Arial" w:eastAsia="Arial" w:hAnsi="Arial"/>
          <w:sz w:val="13"/>
          <w:szCs w:val="13"/>
          <w:color w:val="auto"/>
        </w:rPr>
      </w:pPr>
    </w:p>
    <w:p>
      <w:pPr>
        <w:ind w:left="220" w:right="20" w:hanging="212"/>
        <w:spacing w:after="0" w:line="286" w:lineRule="auto"/>
        <w:tabs>
          <w:tab w:leader="none" w:pos="214"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Represents the impact of changes in Corebridge stock price on the value of AIG's ownership interest in Corebridge through March 31, 2026. At March 31, 2026, AIG's interest in Corebridge changed from being recognized as an equity method investment in Other invested assets to an equity security, at fair value. </w:t>
      </w:r>
      <w:r>
        <w:rPr>
          <w:rFonts w:ascii="Arial" w:cs="Arial" w:eastAsia="Arial" w:hAnsi="Arial"/>
          <w:sz w:val="13"/>
          <w:szCs w:val="13"/>
          <w:i w:val="1"/>
          <w:iCs w:val="1"/>
          <w:color w:val="auto"/>
        </w:rPr>
        <w:t>For additional information, see Note 1.</w:t>
      </w:r>
    </w:p>
    <w:p>
      <w:pPr>
        <w:spacing w:after="0" w:line="80"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Interest income and dividend income on assets measured under the fair value option are recognized and included in Net investment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FAIR VALUE INFORMATION ABOUT FINANCIAL INSTRUMENTS NOT MEASURED AT FAIR VALUE</w:t>
      </w:r>
    </w:p>
    <w:p>
      <w:pPr>
        <w:spacing w:after="0" w:line="239" w:lineRule="exact"/>
        <w:rPr>
          <w:sz w:val="20"/>
          <w:szCs w:val="20"/>
          <w:color w:val="auto"/>
        </w:rPr>
      </w:pPr>
    </w:p>
    <w:p>
      <w:pPr>
        <w:ind w:right="60"/>
        <w:spacing w:after="0" w:line="349" w:lineRule="auto"/>
        <w:rPr>
          <w:sz w:val="20"/>
          <w:szCs w:val="20"/>
          <w:color w:val="auto"/>
        </w:rPr>
      </w:pPr>
      <w:r>
        <w:rPr>
          <w:rFonts w:ascii="Arial" w:cs="Arial" w:eastAsia="Arial" w:hAnsi="Arial"/>
          <w:sz w:val="16"/>
          <w:szCs w:val="16"/>
          <w:b w:val="1"/>
          <w:bCs w:val="1"/>
          <w:color w:val="1352DE"/>
        </w:rPr>
        <w:t>The following table presents the carrying amounts and estimated fair values of our financial instruments not measured at fair value and indicates the level in the fair value hierarchy of the estimated fair value measurement based on the observability of the inputs used: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Borders>
              <w:top w:val="single" w:sz="8" w:color="1352DE"/>
            </w:tcBorders>
          </w:tcPr>
          <w:p>
            <w:pPr>
              <w:spacing w:after="0"/>
              <w:rPr>
                <w:sz w:val="19"/>
                <w:szCs w:val="19"/>
                <w:color w:val="auto"/>
              </w:rPr>
            </w:pPr>
          </w:p>
        </w:tc>
        <w:tc>
          <w:tcPr>
            <w:tcW w:w="1220" w:type="dxa"/>
            <w:vAlign w:val="bottom"/>
            <w:tcBorders>
              <w:top w:val="single" w:sz="8" w:color="1352DE"/>
            </w:tcBorders>
          </w:tcPr>
          <w:p>
            <w:pPr>
              <w:spacing w:after="0"/>
              <w:rPr>
                <w:sz w:val="19"/>
                <w:szCs w:val="19"/>
                <w:color w:val="auto"/>
              </w:rPr>
            </w:pPr>
          </w:p>
        </w:tc>
        <w:tc>
          <w:tcPr>
            <w:tcW w:w="1080" w:type="dxa"/>
            <w:vAlign w:val="bottom"/>
            <w:tcBorders>
              <w:top w:val="single" w:sz="8" w:color="1352DE"/>
              <w:bottom w:val="single" w:sz="8" w:color="1352DE"/>
            </w:tcBorders>
          </w:tcPr>
          <w:p>
            <w:pPr>
              <w:spacing w:after="0"/>
              <w:rPr>
                <w:sz w:val="19"/>
                <w:szCs w:val="19"/>
                <w:color w:val="auto"/>
              </w:rPr>
            </w:pPr>
          </w:p>
        </w:tc>
        <w:tc>
          <w:tcPr>
            <w:tcW w:w="360" w:type="dxa"/>
            <w:vAlign w:val="bottom"/>
            <w:tcBorders>
              <w:top w:val="single" w:sz="8" w:color="1352DE"/>
              <w:bottom w:val="single" w:sz="8" w:color="1352DE"/>
            </w:tcBorders>
          </w:tcPr>
          <w:p>
            <w:pPr>
              <w:spacing w:after="0"/>
              <w:rPr>
                <w:sz w:val="19"/>
                <w:szCs w:val="19"/>
                <w:color w:val="auto"/>
              </w:rPr>
            </w:pPr>
          </w:p>
        </w:tc>
        <w:tc>
          <w:tcPr>
            <w:tcW w:w="2160" w:type="dxa"/>
            <w:vAlign w:val="bottom"/>
            <w:tcBorders>
              <w:top w:val="single" w:sz="8" w:color="1352DE"/>
              <w:bottom w:val="single" w:sz="8" w:color="1352DE"/>
            </w:tcBorders>
            <w:gridSpan w:val="3"/>
          </w:tcPr>
          <w:p>
            <w:pPr>
              <w:jc w:val="right"/>
              <w:ind w:right="359"/>
              <w:spacing w:after="0"/>
              <w:rPr>
                <w:sz w:val="20"/>
                <w:szCs w:val="20"/>
                <w:color w:val="auto"/>
              </w:rPr>
            </w:pPr>
            <w:r>
              <w:rPr>
                <w:rFonts w:ascii="Arial" w:cs="Arial" w:eastAsia="Arial" w:hAnsi="Arial"/>
                <w:sz w:val="16"/>
                <w:szCs w:val="16"/>
                <w:color w:val="1252DE"/>
              </w:rPr>
              <w:t>Estimated Fair Value</w:t>
            </w:r>
          </w:p>
        </w:tc>
        <w:tc>
          <w:tcPr>
            <w:tcW w:w="440" w:type="dxa"/>
            <w:vAlign w:val="bottom"/>
            <w:tcBorders>
              <w:top w:val="single" w:sz="8" w:color="1352DE"/>
              <w:bottom w:val="single" w:sz="8" w:color="1352DE"/>
            </w:tcBorders>
          </w:tcPr>
          <w:p>
            <w:pPr>
              <w:spacing w:after="0"/>
              <w:rPr>
                <w:sz w:val="19"/>
                <w:szCs w:val="19"/>
                <w:color w:val="auto"/>
              </w:rPr>
            </w:pPr>
          </w:p>
        </w:tc>
        <w:tc>
          <w:tcPr>
            <w:tcW w:w="780" w:type="dxa"/>
            <w:vAlign w:val="bottom"/>
            <w:tcBorders>
              <w:top w:val="single" w:sz="8" w:color="1352DE"/>
              <w:bottom w:val="single" w:sz="8" w:color="1352DE"/>
            </w:tcBorders>
          </w:tcPr>
          <w:p>
            <w:pPr>
              <w:spacing w:after="0"/>
              <w:rPr>
                <w:sz w:val="19"/>
                <w:szCs w:val="19"/>
                <w:color w:val="auto"/>
              </w:rPr>
            </w:pPr>
          </w:p>
        </w:tc>
        <w:tc>
          <w:tcPr>
            <w:tcW w:w="400" w:type="dxa"/>
            <w:vAlign w:val="bottom"/>
            <w:tcBorders>
              <w:top w:val="single" w:sz="8" w:color="1352DE"/>
            </w:tcBorders>
          </w:tcPr>
          <w:p>
            <w:pPr>
              <w:spacing w:after="0"/>
              <w:rPr>
                <w:sz w:val="19"/>
                <w:szCs w:val="19"/>
                <w:color w:val="auto"/>
              </w:rPr>
            </w:pPr>
          </w:p>
        </w:tc>
        <w:tc>
          <w:tcPr>
            <w:tcW w:w="86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6"/>
                <w:szCs w:val="16"/>
                <w:color w:val="1252DE"/>
              </w:rPr>
              <w:t>Carrying</w:t>
            </w:r>
          </w:p>
        </w:tc>
      </w:tr>
      <w:tr>
        <w:trPr>
          <w:trHeight w:val="224"/>
        </w:trPr>
        <w:tc>
          <w:tcPr>
            <w:tcW w:w="3880" w:type="dxa"/>
            <w:vAlign w:val="bottom"/>
            <w:tcBorders>
              <w:bottom w:val="single" w:sz="8" w:color="1352DE"/>
            </w:tcBorders>
          </w:tcPr>
          <w:p>
            <w:pPr>
              <w:ind w:left="20"/>
              <w:spacing w:after="0"/>
              <w:rPr>
                <w:sz w:val="20"/>
                <w:szCs w:val="20"/>
                <w:color w:val="auto"/>
              </w:rPr>
            </w:pPr>
            <w:r>
              <w:rPr>
                <w:rFonts w:ascii="Arial" w:cs="Arial" w:eastAsia="Arial" w:hAnsi="Arial"/>
                <w:sz w:val="14"/>
                <w:szCs w:val="14"/>
                <w:i w:val="1"/>
                <w:iCs w:val="1"/>
                <w:color w:val="1252DE"/>
              </w:rPr>
              <w:t>(in millions)</w:t>
            </w:r>
          </w:p>
        </w:tc>
        <w:tc>
          <w:tcPr>
            <w:tcW w:w="1220" w:type="dxa"/>
            <w:vAlign w:val="bottom"/>
            <w:tcBorders>
              <w:bottom w:val="single" w:sz="8" w:color="1352DE"/>
            </w:tcBorders>
          </w:tcPr>
          <w:p>
            <w:pPr>
              <w:spacing w:after="0"/>
              <w:rPr>
                <w:sz w:val="19"/>
                <w:szCs w:val="19"/>
                <w:color w:val="auto"/>
              </w:rPr>
            </w:pPr>
          </w:p>
        </w:tc>
        <w:tc>
          <w:tcPr>
            <w:tcW w:w="108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Level 1</w:t>
            </w:r>
          </w:p>
        </w:tc>
        <w:tc>
          <w:tcPr>
            <w:tcW w:w="360" w:type="dxa"/>
            <w:vAlign w:val="bottom"/>
            <w:tcBorders>
              <w:bottom w:val="single" w:sz="8" w:color="1352DE"/>
            </w:tcBorders>
          </w:tcPr>
          <w:p>
            <w:pPr>
              <w:spacing w:after="0"/>
              <w:rPr>
                <w:sz w:val="19"/>
                <w:szCs w:val="19"/>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Level 2</w:t>
            </w:r>
          </w:p>
        </w:tc>
        <w:tc>
          <w:tcPr>
            <w:tcW w:w="420" w:type="dxa"/>
            <w:vAlign w:val="bottom"/>
            <w:tcBorders>
              <w:bottom w:val="single" w:sz="8" w:color="1352DE"/>
            </w:tcBorders>
          </w:tcPr>
          <w:p>
            <w:pPr>
              <w:spacing w:after="0"/>
              <w:rPr>
                <w:sz w:val="19"/>
                <w:szCs w:val="19"/>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Level 3</w:t>
            </w:r>
          </w:p>
        </w:tc>
        <w:tc>
          <w:tcPr>
            <w:tcW w:w="440" w:type="dxa"/>
            <w:vAlign w:val="bottom"/>
            <w:tcBorders>
              <w:bottom w:val="single" w:sz="8" w:color="1352DE"/>
            </w:tcBorders>
          </w:tcPr>
          <w:p>
            <w:pPr>
              <w:spacing w:after="0"/>
              <w:rPr>
                <w:sz w:val="19"/>
                <w:szCs w:val="19"/>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Total</w:t>
            </w:r>
          </w:p>
        </w:tc>
        <w:tc>
          <w:tcPr>
            <w:tcW w:w="400" w:type="dxa"/>
            <w:vAlign w:val="bottom"/>
            <w:tcBorders>
              <w:bottom w:val="single" w:sz="8" w:color="1352DE"/>
            </w:tcBorders>
          </w:tcPr>
          <w:p>
            <w:pPr>
              <w:spacing w:after="0"/>
              <w:rPr>
                <w:sz w:val="19"/>
                <w:szCs w:val="19"/>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Value</w:t>
            </w: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b w:val="1"/>
                <w:bCs w:val="1"/>
                <w:color w:val="1252DE"/>
              </w:rPr>
              <w:t>September 30, 2026</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b w:val="1"/>
                <w:bCs w:val="1"/>
                <w:color w:val="1252DE"/>
              </w:rPr>
              <w:t>Assets:</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6"/>
                <w:szCs w:val="16"/>
                <w:color w:val="auto"/>
              </w:rPr>
              <w:t>Mortgage and other loans receivable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1252DE"/>
              </w:rPr>
              <w:t>$</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360" w:type="dxa"/>
            <w:vAlign w:val="bottom"/>
          </w:tcPr>
          <w:p>
            <w:pPr>
              <w:jc w:val="right"/>
              <w:ind w:right="119"/>
              <w:spacing w:after="0"/>
              <w:rPr>
                <w:sz w:val="20"/>
                <w:szCs w:val="20"/>
                <w:color w:val="auto"/>
              </w:rPr>
            </w:pPr>
            <w:r>
              <w:rPr>
                <w:rFonts w:ascii="Arial" w:cs="Arial" w:eastAsia="Arial" w:hAnsi="Arial"/>
                <w:sz w:val="16"/>
                <w:szCs w:val="16"/>
                <w:b w:val="1"/>
                <w:bCs w:val="1"/>
                <w:color w:val="1252DE"/>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1252DE"/>
              </w:rPr>
              <w:t>199</w:t>
            </w:r>
          </w:p>
        </w:tc>
        <w:tc>
          <w:tcPr>
            <w:tcW w:w="420" w:type="dxa"/>
            <w:vAlign w:val="bottom"/>
          </w:tcPr>
          <w:p>
            <w:pPr>
              <w:jc w:val="right"/>
              <w:ind w:right="179"/>
              <w:spacing w:after="0"/>
              <w:rPr>
                <w:sz w:val="20"/>
                <w:szCs w:val="20"/>
                <w:color w:val="auto"/>
              </w:rPr>
            </w:pPr>
            <w:r>
              <w:rPr>
                <w:rFonts w:ascii="Arial" w:cs="Arial" w:eastAsia="Arial" w:hAnsi="Arial"/>
                <w:sz w:val="16"/>
                <w:szCs w:val="16"/>
                <w:b w:val="1"/>
                <w:bCs w:val="1"/>
                <w:color w:val="1252DE"/>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1252DE"/>
              </w:rPr>
              <w:t>2,052</w:t>
            </w:r>
          </w:p>
        </w:tc>
        <w:tc>
          <w:tcPr>
            <w:tcW w:w="440" w:type="dxa"/>
            <w:vAlign w:val="bottom"/>
          </w:tcPr>
          <w:p>
            <w:pPr>
              <w:jc w:val="right"/>
              <w:ind w:right="219"/>
              <w:spacing w:after="0"/>
              <w:rPr>
                <w:sz w:val="20"/>
                <w:szCs w:val="20"/>
                <w:color w:val="auto"/>
              </w:rPr>
            </w:pPr>
            <w:r>
              <w:rPr>
                <w:rFonts w:ascii="Arial" w:cs="Arial" w:eastAsia="Arial" w:hAnsi="Arial"/>
                <w:sz w:val="16"/>
                <w:szCs w:val="16"/>
                <w:b w:val="1"/>
                <w:bCs w:val="1"/>
                <w:color w:val="1252DE"/>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2,251</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1252DE"/>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1252DE"/>
              </w:rPr>
              <w:t>2,298</w:t>
            </w:r>
          </w:p>
        </w:tc>
      </w:tr>
      <w:tr>
        <w:trPr>
          <w:trHeight w:val="216"/>
        </w:trPr>
        <w:tc>
          <w:tcPr>
            <w:tcW w:w="3880" w:type="dxa"/>
            <w:vAlign w:val="bottom"/>
          </w:tcPr>
          <w:p>
            <w:pPr>
              <w:ind w:left="140"/>
              <w:spacing w:after="0"/>
              <w:rPr>
                <w:sz w:val="20"/>
                <w:szCs w:val="20"/>
                <w:color w:val="auto"/>
              </w:rPr>
            </w:pPr>
            <w:r>
              <w:rPr>
                <w:rFonts w:ascii="Arial" w:cs="Arial" w:eastAsia="Arial" w:hAnsi="Arial"/>
                <w:sz w:val="16"/>
                <w:szCs w:val="16"/>
                <w:color w:val="auto"/>
              </w:rPr>
              <w:t>Other invested assets</w:t>
            </w:r>
          </w:p>
        </w:tc>
        <w:tc>
          <w:tcPr>
            <w:tcW w:w="12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3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1252DE"/>
              </w:rPr>
              <w:t>523</w:t>
            </w:r>
          </w:p>
        </w:tc>
        <w:tc>
          <w:tcPr>
            <w:tcW w:w="4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1252DE"/>
              </w:rPr>
              <w:t>10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533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1252DE"/>
              </w:rPr>
              <w:t>533</w:t>
            </w:r>
          </w:p>
        </w:tc>
      </w:tr>
      <w:tr>
        <w:trPr>
          <w:trHeight w:val="216"/>
        </w:trPr>
        <w:tc>
          <w:tcPr>
            <w:tcW w:w="38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2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7</w:t>
            </w:r>
          </w:p>
        </w:tc>
        <w:tc>
          <w:tcPr>
            <w:tcW w:w="3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4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1252DE"/>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1252DE"/>
              </w:rPr>
              <w:t>7</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b w:val="1"/>
                <w:bCs w:val="1"/>
                <w:color w:val="1252DE"/>
              </w:rPr>
              <w:t>Liabilities:</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3880" w:type="dxa"/>
            <w:vAlign w:val="bottom"/>
            <w:tcBorders>
              <w:bottom w:val="single" w:sz="8" w:color="1352DE"/>
            </w:tcBorders>
          </w:tcPr>
          <w:p>
            <w:pPr>
              <w:ind w:left="140"/>
              <w:spacing w:after="0"/>
              <w:rPr>
                <w:sz w:val="20"/>
                <w:szCs w:val="20"/>
                <w:color w:val="auto"/>
              </w:rPr>
            </w:pPr>
            <w:r>
              <w:rPr>
                <w:rFonts w:ascii="Arial" w:cs="Arial" w:eastAsia="Arial" w:hAnsi="Arial"/>
                <w:sz w:val="16"/>
                <w:szCs w:val="16"/>
                <w:color w:val="auto"/>
              </w:rPr>
              <w:t>Long-term debt</w:t>
            </w:r>
          </w:p>
        </w:tc>
        <w:tc>
          <w:tcPr>
            <w:tcW w:w="1220" w:type="dxa"/>
            <w:vAlign w:val="bottom"/>
            <w:tcBorders>
              <w:bottom w:val="single" w:sz="8" w:color="1352DE"/>
            </w:tcBorders>
          </w:tcPr>
          <w:p>
            <w:pPr>
              <w:spacing w:after="0"/>
              <w:rPr>
                <w:sz w:val="18"/>
                <w:szCs w:val="18"/>
                <w:color w:val="auto"/>
              </w:rPr>
            </w:pPr>
          </w:p>
        </w:tc>
        <w:tc>
          <w:tcPr>
            <w:tcW w:w="108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w:t>
            </w:r>
          </w:p>
        </w:tc>
        <w:tc>
          <w:tcPr>
            <w:tcW w:w="360" w:type="dxa"/>
            <w:vAlign w:val="bottom"/>
            <w:tcBorders>
              <w:bottom w:val="single" w:sz="8" w:color="1352DE"/>
            </w:tcBorders>
          </w:tcPr>
          <w:p>
            <w:pPr>
              <w:spacing w:after="0"/>
              <w:rPr>
                <w:sz w:val="18"/>
                <w:szCs w:val="18"/>
                <w:color w:val="auto"/>
              </w:rPr>
            </w:pPr>
          </w:p>
        </w:tc>
        <w:tc>
          <w:tcPr>
            <w:tcW w:w="90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9,371</w:t>
            </w:r>
          </w:p>
        </w:tc>
        <w:tc>
          <w:tcPr>
            <w:tcW w:w="420" w:type="dxa"/>
            <w:vAlign w:val="bottom"/>
            <w:tcBorders>
              <w:bottom w:val="single" w:sz="8" w:color="1352DE"/>
            </w:tcBorders>
          </w:tcPr>
          <w:p>
            <w:pPr>
              <w:spacing w:after="0"/>
              <w:rPr>
                <w:sz w:val="18"/>
                <w:szCs w:val="18"/>
                <w:color w:val="auto"/>
              </w:rPr>
            </w:pPr>
          </w:p>
        </w:tc>
        <w:tc>
          <w:tcPr>
            <w:tcW w:w="84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w:t>
            </w:r>
          </w:p>
        </w:tc>
        <w:tc>
          <w:tcPr>
            <w:tcW w:w="44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9,371</w:t>
            </w:r>
          </w:p>
        </w:tc>
        <w:tc>
          <w:tcPr>
            <w:tcW w:w="400" w:type="dxa"/>
            <w:vAlign w:val="bottom"/>
            <w:tcBorders>
              <w:bottom w:val="single" w:sz="8" w:color="1352DE"/>
            </w:tcBorders>
          </w:tcPr>
          <w:p>
            <w:pPr>
              <w:spacing w:after="0"/>
              <w:rPr>
                <w:sz w:val="18"/>
                <w:szCs w:val="18"/>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10,256</w:t>
            </w:r>
          </w:p>
        </w:tc>
      </w:tr>
      <w:tr>
        <w:trPr>
          <w:trHeight w:val="329"/>
        </w:trPr>
        <w:tc>
          <w:tcPr>
            <w:tcW w:w="3880" w:type="dxa"/>
            <w:vAlign w:val="bottom"/>
          </w:tcPr>
          <w:p>
            <w:pPr>
              <w:ind w:left="20"/>
              <w:spacing w:after="0"/>
              <w:rPr>
                <w:sz w:val="20"/>
                <w:szCs w:val="20"/>
                <w:color w:val="auto"/>
              </w:rPr>
            </w:pPr>
            <w:r>
              <w:rPr>
                <w:rFonts w:ascii="Arial" w:cs="Arial" w:eastAsia="Arial" w:hAnsi="Arial"/>
                <w:sz w:val="16"/>
                <w:szCs w:val="16"/>
                <w:color w:val="1252DE"/>
              </w:rPr>
              <w:t>December 31, 2025</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b w:val="1"/>
                <w:bCs w:val="1"/>
                <w:color w:val="1252DE"/>
              </w:rPr>
              <w:t>Assets:</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3880" w:type="dxa"/>
            <w:vAlign w:val="bottom"/>
          </w:tcPr>
          <w:p>
            <w:pPr>
              <w:ind w:left="140"/>
              <w:spacing w:after="0"/>
              <w:rPr>
                <w:sz w:val="20"/>
                <w:szCs w:val="20"/>
                <w:color w:val="auto"/>
              </w:rPr>
            </w:pPr>
            <w:r>
              <w:rPr>
                <w:rFonts w:ascii="Arial" w:cs="Arial" w:eastAsia="Arial" w:hAnsi="Arial"/>
                <w:sz w:val="16"/>
                <w:szCs w:val="16"/>
                <w:color w:val="auto"/>
              </w:rPr>
              <w:t>Mortgage and other loans receivable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2,887</w:t>
            </w:r>
          </w:p>
        </w:tc>
      </w:tr>
      <w:tr>
        <w:trPr>
          <w:trHeight w:val="216"/>
        </w:trPr>
        <w:tc>
          <w:tcPr>
            <w:tcW w:w="3880" w:type="dxa"/>
            <w:vAlign w:val="bottom"/>
          </w:tcPr>
          <w:p>
            <w:pPr>
              <w:ind w:left="140"/>
              <w:spacing w:after="0"/>
              <w:rPr>
                <w:sz w:val="20"/>
                <w:szCs w:val="20"/>
                <w:color w:val="auto"/>
              </w:rPr>
            </w:pPr>
            <w:r>
              <w:rPr>
                <w:rFonts w:ascii="Arial" w:cs="Arial" w:eastAsia="Arial" w:hAnsi="Arial"/>
                <w:sz w:val="16"/>
                <w:szCs w:val="16"/>
                <w:color w:val="auto"/>
              </w:rPr>
              <w:t>Other invested assets</w:t>
            </w:r>
          </w:p>
        </w:tc>
        <w:tc>
          <w:tcPr>
            <w:tcW w:w="12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4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16"/>
        </w:trPr>
        <w:tc>
          <w:tcPr>
            <w:tcW w:w="38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2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b w:val="1"/>
                <w:bCs w:val="1"/>
                <w:color w:val="1252DE"/>
              </w:rPr>
              <w:t>Liabilities:</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80" w:type="dxa"/>
            <w:vAlign w:val="bottom"/>
            <w:tcBorders>
              <w:bottom w:val="single" w:sz="8" w:color="1352DE"/>
            </w:tcBorders>
          </w:tcPr>
          <w:p>
            <w:pPr>
              <w:ind w:left="140"/>
              <w:spacing w:after="0"/>
              <w:rPr>
                <w:sz w:val="20"/>
                <w:szCs w:val="20"/>
                <w:color w:val="auto"/>
              </w:rPr>
            </w:pPr>
            <w:r>
              <w:rPr>
                <w:rFonts w:ascii="Arial" w:cs="Arial" w:eastAsia="Arial" w:hAnsi="Arial"/>
                <w:sz w:val="16"/>
                <w:szCs w:val="16"/>
                <w:color w:val="auto"/>
              </w:rPr>
              <w:t>Long-term debt</w:t>
            </w:r>
          </w:p>
        </w:tc>
        <w:tc>
          <w:tcPr>
            <w:tcW w:w="1220" w:type="dxa"/>
            <w:vAlign w:val="bottom"/>
            <w:tcBorders>
              <w:bottom w:val="single" w:sz="8" w:color="1352DE"/>
            </w:tcBorders>
          </w:tcPr>
          <w:p>
            <w:pPr>
              <w:spacing w:after="0"/>
              <w:rPr>
                <w:sz w:val="18"/>
                <w:szCs w:val="18"/>
                <w:color w:val="auto"/>
              </w:rPr>
            </w:pPr>
          </w:p>
        </w:tc>
        <w:tc>
          <w:tcPr>
            <w:tcW w:w="108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1352DE"/>
            </w:tcBorders>
          </w:tcPr>
          <w:p>
            <w:pPr>
              <w:spacing w:after="0"/>
              <w:rPr>
                <w:sz w:val="18"/>
                <w:szCs w:val="18"/>
                <w:color w:val="auto"/>
              </w:rPr>
            </w:pPr>
          </w:p>
        </w:tc>
        <w:tc>
          <w:tcPr>
            <w:tcW w:w="90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color w:val="auto"/>
              </w:rPr>
              <w:t>8,702</w:t>
            </w:r>
          </w:p>
        </w:tc>
        <w:tc>
          <w:tcPr>
            <w:tcW w:w="420" w:type="dxa"/>
            <w:vAlign w:val="bottom"/>
            <w:tcBorders>
              <w:bottom w:val="single" w:sz="8" w:color="1352DE"/>
            </w:tcBorders>
          </w:tcPr>
          <w:p>
            <w:pPr>
              <w:spacing w:after="0"/>
              <w:rPr>
                <w:sz w:val="18"/>
                <w:szCs w:val="18"/>
                <w:color w:val="auto"/>
              </w:rPr>
            </w:pPr>
          </w:p>
        </w:tc>
        <w:tc>
          <w:tcPr>
            <w:tcW w:w="84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8,702</w:t>
            </w:r>
          </w:p>
        </w:tc>
        <w:tc>
          <w:tcPr>
            <w:tcW w:w="400" w:type="dxa"/>
            <w:vAlign w:val="bottom"/>
            <w:tcBorders>
              <w:bottom w:val="single" w:sz="8" w:color="1352DE"/>
            </w:tcBorders>
          </w:tcPr>
          <w:p>
            <w:pPr>
              <w:spacing w:after="0"/>
              <w:rPr>
                <w:sz w:val="18"/>
                <w:szCs w:val="18"/>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9,035</w:t>
            </w:r>
          </w:p>
        </w:tc>
      </w:tr>
    </w:tbl>
    <w:p>
      <w:pPr>
        <w:spacing w:after="0" w:line="188"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carrying value of Short-term investments, Cash, Fortitude Re funds withheld payable, and Debt of consolidated investment entities not included above approximated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4771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760" w:hanging="734"/>
        <w:spacing w:after="0"/>
        <w:tabs>
          <w:tab w:leader="none" w:pos="760" w:val="left"/>
        </w:tabs>
        <w:numPr>
          <w:ilvl w:val="0"/>
          <w:numId w:val="20"/>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 |</w:t>
      </w:r>
      <w:r>
        <w:rPr>
          <w:rFonts w:ascii="Arial" w:cs="Arial" w:eastAsia="Arial" w:hAnsi="Arial"/>
          <w:sz w:val="13"/>
          <w:szCs w:val="13"/>
          <w:color w:val="auto"/>
        </w:rPr>
        <w:t xml:space="preserve"> </w:t>
      </w:r>
      <w:r>
        <w:rPr>
          <w:rFonts w:ascii="Arial" w:cs="Arial" w:eastAsia="Arial" w:hAnsi="Arial"/>
          <w:sz w:val="13"/>
          <w:szCs w:val="13"/>
          <w:b w:val="1"/>
          <w:bCs w:val="1"/>
          <w:color w:val="001770"/>
        </w:rPr>
        <w:t>5.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5.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SECURITIES AVAILABLE FOR SALE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amortized cost and fair value of our available for sale securities: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1352DE"/>
            </w:tcBorders>
          </w:tcPr>
          <w:p>
            <w:pPr>
              <w:spacing w:after="0"/>
              <w:rPr>
                <w:sz w:val="14"/>
                <w:szCs w:val="14"/>
                <w:color w:val="auto"/>
              </w:rPr>
            </w:pPr>
          </w:p>
        </w:tc>
        <w:tc>
          <w:tcPr>
            <w:tcW w:w="820" w:type="dxa"/>
            <w:vAlign w:val="bottom"/>
            <w:tcBorders>
              <w:top w:val="single" w:sz="8" w:color="1352DE"/>
            </w:tcBorders>
          </w:tcPr>
          <w:p>
            <w:pPr>
              <w:spacing w:after="0"/>
              <w:rPr>
                <w:sz w:val="14"/>
                <w:szCs w:val="14"/>
                <w:color w:val="auto"/>
              </w:rPr>
            </w:pPr>
          </w:p>
        </w:tc>
        <w:tc>
          <w:tcPr>
            <w:tcW w:w="900" w:type="dxa"/>
            <w:vAlign w:val="bottom"/>
            <w:tcBorders>
              <w:top w:val="single" w:sz="8" w:color="1352DE"/>
            </w:tcBorders>
            <w:vMerge w:val="restart"/>
          </w:tcPr>
          <w:p>
            <w:pPr>
              <w:jc w:val="right"/>
              <w:spacing w:after="0"/>
              <w:rPr>
                <w:sz w:val="20"/>
                <w:szCs w:val="20"/>
                <w:color w:val="auto"/>
              </w:rPr>
            </w:pPr>
            <w:r>
              <w:rPr>
                <w:rFonts w:ascii="Arial" w:cs="Arial" w:eastAsia="Arial" w:hAnsi="Arial"/>
                <w:sz w:val="14"/>
                <w:szCs w:val="14"/>
                <w:color w:val="1252DE"/>
              </w:rPr>
              <w:t>Amortized</w:t>
            </w:r>
          </w:p>
        </w:tc>
        <w:tc>
          <w:tcPr>
            <w:tcW w:w="340" w:type="dxa"/>
            <w:vAlign w:val="bottom"/>
            <w:tcBorders>
              <w:top w:val="single" w:sz="8" w:color="1352DE"/>
            </w:tcBorders>
          </w:tcPr>
          <w:p>
            <w:pPr>
              <w:spacing w:after="0"/>
              <w:rPr>
                <w:sz w:val="14"/>
                <w:szCs w:val="14"/>
                <w:color w:val="auto"/>
              </w:rPr>
            </w:pPr>
          </w:p>
        </w:tc>
        <w:tc>
          <w:tcPr>
            <w:tcW w:w="92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1252DE"/>
              </w:rPr>
              <w:t>Allowance</w:t>
            </w:r>
          </w:p>
        </w:tc>
        <w:tc>
          <w:tcPr>
            <w:tcW w:w="320" w:type="dxa"/>
            <w:vAlign w:val="bottom"/>
            <w:tcBorders>
              <w:top w:val="single" w:sz="8" w:color="1352DE"/>
            </w:tcBorders>
          </w:tcPr>
          <w:p>
            <w:pPr>
              <w:spacing w:after="0"/>
              <w:rPr>
                <w:sz w:val="14"/>
                <w:szCs w:val="14"/>
                <w:color w:val="auto"/>
              </w:rPr>
            </w:pPr>
          </w:p>
        </w:tc>
        <w:tc>
          <w:tcPr>
            <w:tcW w:w="92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1252DE"/>
              </w:rPr>
              <w:t>Gross</w:t>
            </w:r>
          </w:p>
        </w:tc>
        <w:tc>
          <w:tcPr>
            <w:tcW w:w="320" w:type="dxa"/>
            <w:vAlign w:val="bottom"/>
            <w:tcBorders>
              <w:top w:val="single" w:sz="8" w:color="1352DE"/>
            </w:tcBorders>
          </w:tcPr>
          <w:p>
            <w:pPr>
              <w:spacing w:after="0"/>
              <w:rPr>
                <w:sz w:val="14"/>
                <w:szCs w:val="14"/>
                <w:color w:val="auto"/>
              </w:rPr>
            </w:pPr>
          </w:p>
        </w:tc>
        <w:tc>
          <w:tcPr>
            <w:tcW w:w="94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1252DE"/>
              </w:rPr>
              <w:t>Gross</w:t>
            </w:r>
          </w:p>
        </w:tc>
        <w:tc>
          <w:tcPr>
            <w:tcW w:w="420" w:type="dxa"/>
            <w:vAlign w:val="bottom"/>
            <w:tcBorders>
              <w:top w:val="single" w:sz="8" w:color="1352DE"/>
            </w:tcBorders>
          </w:tcPr>
          <w:p>
            <w:pPr>
              <w:spacing w:after="0"/>
              <w:rPr>
                <w:sz w:val="14"/>
                <w:szCs w:val="14"/>
                <w:color w:val="auto"/>
              </w:rPr>
            </w:pPr>
          </w:p>
        </w:tc>
        <w:tc>
          <w:tcPr>
            <w:tcW w:w="780" w:type="dxa"/>
            <w:vAlign w:val="bottom"/>
            <w:tcBorders>
              <w:top w:val="single" w:sz="8" w:color="1352DE"/>
            </w:tcBorders>
            <w:vMerge w:val="restart"/>
          </w:tcPr>
          <w:p>
            <w:pPr>
              <w:jc w:val="right"/>
              <w:spacing w:after="0"/>
              <w:rPr>
                <w:sz w:val="20"/>
                <w:szCs w:val="20"/>
                <w:color w:val="auto"/>
              </w:rPr>
            </w:pPr>
            <w:r>
              <w:rPr>
                <w:rFonts w:ascii="Arial" w:cs="Arial" w:eastAsia="Arial" w:hAnsi="Arial"/>
                <w:sz w:val="14"/>
                <w:szCs w:val="14"/>
                <w:color w:val="1252DE"/>
              </w:rPr>
              <w:t>Fair</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1252DE"/>
              </w:rPr>
              <w:t>for Credit</w:t>
            </w:r>
          </w:p>
        </w:tc>
        <w:tc>
          <w:tcPr>
            <w:tcW w:w="32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1252DE"/>
              </w:rPr>
              <w:t>Unrealized</w:t>
            </w:r>
          </w:p>
        </w:tc>
        <w:tc>
          <w:tcPr>
            <w:tcW w:w="32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1252DE"/>
              </w:rPr>
              <w:t>Unrealized</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82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Cost</w:t>
            </w:r>
          </w:p>
        </w:tc>
        <w:tc>
          <w:tcPr>
            <w:tcW w:w="34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Losses</w:t>
            </w:r>
            <w:r>
              <w:rPr>
                <w:rFonts w:ascii="Arial" w:cs="Arial" w:eastAsia="Arial" w:hAnsi="Arial"/>
                <w:sz w:val="9"/>
                <w:szCs w:val="9"/>
                <w:color w:val="1252DE"/>
              </w:rPr>
              <w:t>(a)</w:t>
            </w:r>
          </w:p>
        </w:tc>
        <w:tc>
          <w:tcPr>
            <w:tcW w:w="32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Gains</w:t>
            </w:r>
          </w:p>
        </w:tc>
        <w:tc>
          <w:tcPr>
            <w:tcW w:w="32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Losses</w:t>
            </w:r>
          </w:p>
        </w:tc>
        <w:tc>
          <w:tcPr>
            <w:tcW w:w="42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Value</w:t>
            </w:r>
          </w:p>
        </w:tc>
        <w:tc>
          <w:tcPr>
            <w:tcW w:w="0" w:type="dxa"/>
            <w:vAlign w:val="bottom"/>
          </w:tcPr>
          <w:p>
            <w:pPr>
              <w:spacing w:after="0"/>
              <w:rPr>
                <w:sz w:val="1"/>
                <w:szCs w:val="1"/>
                <w:color w:val="auto"/>
              </w:rPr>
            </w:pPr>
          </w:p>
        </w:tc>
      </w:tr>
      <w:tr>
        <w:trPr>
          <w:trHeight w:val="194"/>
        </w:trPr>
        <w:tc>
          <w:tcPr>
            <w:tcW w:w="4540" w:type="dxa"/>
            <w:vAlign w:val="bottom"/>
          </w:tcPr>
          <w:p>
            <w:pPr>
              <w:ind w:left="20"/>
              <w:spacing w:after="0"/>
              <w:rPr>
                <w:sz w:val="20"/>
                <w:szCs w:val="20"/>
                <w:color w:val="auto"/>
              </w:rPr>
            </w:pPr>
            <w:r>
              <w:rPr>
                <w:rFonts w:ascii="Arial" w:cs="Arial" w:eastAsia="Arial" w:hAnsi="Arial"/>
                <w:sz w:val="14"/>
                <w:szCs w:val="14"/>
                <w:b w:val="1"/>
                <w:bCs w:val="1"/>
                <w:color w:val="1252DE"/>
              </w:rPr>
              <w:t>September 30, 2026</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Arial" w:cs="Arial" w:eastAsia="Arial" w:hAnsi="Arial"/>
                <w:sz w:val="14"/>
                <w:szCs w:val="14"/>
                <w:b w:val="1"/>
                <w:bCs w:val="1"/>
                <w:color w:val="1252DE"/>
              </w:rPr>
              <w:t>Bonds available for sale:</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4"/>
                <w:szCs w:val="14"/>
                <w:color w:val="auto"/>
              </w:rPr>
              <w:t>U.S. government and government sponsored entities</w:t>
            </w: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252DE"/>
              </w:rPr>
              <w:t>3,758</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3</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1252DE"/>
              </w:rPr>
              <w:t>(137)</w:t>
            </w:r>
          </w:p>
        </w:tc>
        <w:tc>
          <w:tcPr>
            <w:tcW w:w="420" w:type="dxa"/>
            <w:vAlign w:val="bottom"/>
          </w:tcPr>
          <w:p>
            <w:pPr>
              <w:jc w:val="right"/>
              <w:ind w:right="208"/>
              <w:spacing w:after="0"/>
              <w:rPr>
                <w:sz w:val="20"/>
                <w:szCs w:val="20"/>
                <w:color w:val="auto"/>
              </w:rPr>
            </w:pPr>
            <w:r>
              <w:rPr>
                <w:rFonts w:ascii="Arial" w:cs="Arial" w:eastAsia="Arial" w:hAnsi="Arial"/>
                <w:sz w:val="14"/>
                <w:szCs w:val="14"/>
                <w:b w:val="1"/>
                <w:bCs w:val="1"/>
                <w:color w:val="1252DE"/>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1252DE"/>
              </w:rPr>
              <w:t>3,624</w:t>
            </w:r>
          </w:p>
        </w:tc>
        <w:tc>
          <w:tcPr>
            <w:tcW w:w="0" w:type="dxa"/>
            <w:vAlign w:val="bottom"/>
          </w:tcPr>
          <w:p>
            <w:pPr>
              <w:spacing w:after="0"/>
              <w:rPr>
                <w:sz w:val="1"/>
                <w:szCs w:val="1"/>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4"/>
                <w:szCs w:val="14"/>
                <w:color w:val="auto"/>
              </w:rPr>
              <w:t>Obligations of states, municipalities and political subdivisions</w:t>
            </w:r>
          </w:p>
        </w:tc>
        <w:tc>
          <w:tcPr>
            <w:tcW w:w="8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252DE"/>
              </w:rPr>
              <w:t>2,440</w:t>
            </w:r>
          </w:p>
        </w:tc>
        <w:tc>
          <w:tcPr>
            <w:tcW w:w="3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13</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252DE"/>
              </w:rPr>
              <w:t>(124)</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252DE"/>
              </w:rPr>
              <w:t>2,329</w:t>
            </w:r>
          </w:p>
        </w:tc>
        <w:tc>
          <w:tcPr>
            <w:tcW w:w="0" w:type="dxa"/>
            <w:vAlign w:val="bottom"/>
          </w:tcPr>
          <w:p>
            <w:pPr>
              <w:spacing w:after="0"/>
              <w:rPr>
                <w:sz w:val="1"/>
                <w:szCs w:val="1"/>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4"/>
                <w:szCs w:val="14"/>
                <w:color w:val="auto"/>
              </w:rPr>
              <w:t>Non-U.S. governments</w:t>
            </w:r>
          </w:p>
        </w:tc>
        <w:tc>
          <w:tcPr>
            <w:tcW w:w="8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252DE"/>
              </w:rPr>
              <w:t>6,603</w:t>
            </w:r>
          </w:p>
        </w:tc>
        <w:tc>
          <w:tcPr>
            <w:tcW w:w="3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30</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252DE"/>
              </w:rPr>
              <w:t>(460)</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252DE"/>
              </w:rPr>
              <w:t>6,173</w:t>
            </w: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4"/>
                <w:szCs w:val="14"/>
                <w:color w:val="auto"/>
              </w:rPr>
              <w:t>Corporate debt</w:t>
            </w:r>
          </w:p>
        </w:tc>
        <w:tc>
          <w:tcPr>
            <w:tcW w:w="82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252DE"/>
              </w:rPr>
              <w:t>40,216</w:t>
            </w:r>
          </w:p>
        </w:tc>
        <w:tc>
          <w:tcPr>
            <w:tcW w:w="34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1252DE"/>
              </w:rPr>
              <w:t>(22)</w:t>
            </w:r>
          </w:p>
        </w:tc>
        <w:tc>
          <w:tcPr>
            <w:tcW w:w="3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117</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252DE"/>
              </w:rPr>
              <w:t>(2,028)</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252DE"/>
              </w:rPr>
              <w:t>38,283</w:t>
            </w:r>
          </w:p>
        </w:tc>
        <w:tc>
          <w:tcPr>
            <w:tcW w:w="0" w:type="dxa"/>
            <w:vAlign w:val="bottom"/>
          </w:tcPr>
          <w:p>
            <w:pPr>
              <w:spacing w:after="0"/>
              <w:rPr>
                <w:sz w:val="1"/>
                <w:szCs w:val="1"/>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4"/>
                <w:szCs w:val="14"/>
                <w:b w:val="1"/>
                <w:bCs w:val="1"/>
                <w:color w:val="1252DE"/>
              </w:rPr>
              <w:t>Mortgage-backed, asset-backed and collateralized:</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40"/>
              <w:spacing w:after="0"/>
              <w:rPr>
                <w:sz w:val="20"/>
                <w:szCs w:val="20"/>
                <w:color w:val="auto"/>
              </w:rPr>
            </w:pPr>
            <w:r>
              <w:rPr>
                <w:rFonts w:ascii="Arial" w:cs="Arial" w:eastAsia="Arial" w:hAnsi="Arial"/>
                <w:sz w:val="14"/>
                <w:szCs w:val="14"/>
                <w:color w:val="auto"/>
              </w:rPr>
              <w:t>RMBS</w:t>
            </w:r>
          </w:p>
        </w:tc>
        <w:tc>
          <w:tcPr>
            <w:tcW w:w="8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252DE"/>
              </w:rPr>
              <w:t>11,471</w:t>
            </w:r>
          </w:p>
        </w:tc>
        <w:tc>
          <w:tcPr>
            <w:tcW w:w="3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1252DE"/>
              </w:rPr>
              <w:t>(2)</w:t>
            </w:r>
          </w:p>
        </w:tc>
        <w:tc>
          <w:tcPr>
            <w:tcW w:w="3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142</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252DE"/>
              </w:rPr>
              <w:t>(581)</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252DE"/>
              </w:rPr>
              <w:t>11,030</w:t>
            </w:r>
          </w:p>
        </w:tc>
        <w:tc>
          <w:tcPr>
            <w:tcW w:w="0" w:type="dxa"/>
            <w:vAlign w:val="bottom"/>
          </w:tcPr>
          <w:p>
            <w:pPr>
              <w:spacing w:after="0"/>
              <w:rPr>
                <w:sz w:val="1"/>
                <w:szCs w:val="1"/>
                <w:color w:val="auto"/>
              </w:rPr>
            </w:pPr>
          </w:p>
        </w:tc>
      </w:tr>
      <w:tr>
        <w:trPr>
          <w:trHeight w:val="203"/>
        </w:trPr>
        <w:tc>
          <w:tcPr>
            <w:tcW w:w="4540" w:type="dxa"/>
            <w:vAlign w:val="bottom"/>
          </w:tcPr>
          <w:p>
            <w:pPr>
              <w:ind w:left="240"/>
              <w:spacing w:after="0"/>
              <w:rPr>
                <w:sz w:val="20"/>
                <w:szCs w:val="20"/>
                <w:color w:val="auto"/>
              </w:rPr>
            </w:pPr>
            <w:r>
              <w:rPr>
                <w:rFonts w:ascii="Arial" w:cs="Arial" w:eastAsia="Arial" w:hAnsi="Arial"/>
                <w:sz w:val="14"/>
                <w:szCs w:val="14"/>
                <w:color w:val="auto"/>
              </w:rPr>
              <w:t>CMBS</w:t>
            </w:r>
          </w:p>
        </w:tc>
        <w:tc>
          <w:tcPr>
            <w:tcW w:w="8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252DE"/>
              </w:rPr>
              <w:t>4,854</w:t>
            </w:r>
          </w:p>
        </w:tc>
        <w:tc>
          <w:tcPr>
            <w:tcW w:w="3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4</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1252DE"/>
              </w:rPr>
              <w:t>(108)</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252DE"/>
              </w:rPr>
              <w:t>4,750</w:t>
            </w:r>
          </w:p>
        </w:tc>
        <w:tc>
          <w:tcPr>
            <w:tcW w:w="0" w:type="dxa"/>
            <w:vAlign w:val="bottom"/>
          </w:tcPr>
          <w:p>
            <w:pPr>
              <w:spacing w:after="0"/>
              <w:rPr>
                <w:sz w:val="1"/>
                <w:szCs w:val="1"/>
                <w:color w:val="auto"/>
              </w:rPr>
            </w:pPr>
          </w:p>
        </w:tc>
      </w:tr>
      <w:tr>
        <w:trPr>
          <w:trHeight w:val="204"/>
        </w:trPr>
        <w:tc>
          <w:tcPr>
            <w:tcW w:w="454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CLO/ABS</w:t>
            </w:r>
          </w:p>
        </w:tc>
        <w:tc>
          <w:tcPr>
            <w:tcW w:w="82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5,516</w:t>
            </w:r>
          </w:p>
        </w:tc>
        <w:tc>
          <w:tcPr>
            <w:tcW w:w="34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32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7</w:t>
            </w:r>
          </w:p>
        </w:tc>
        <w:tc>
          <w:tcPr>
            <w:tcW w:w="32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(70)</w:t>
            </w:r>
          </w:p>
        </w:tc>
        <w:tc>
          <w:tcPr>
            <w:tcW w:w="42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5,453</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252DE"/>
              </w:rPr>
              <w:t>Total mortgage-backed, asset-backed and collateralized</w:t>
            </w:r>
          </w:p>
        </w:tc>
        <w:tc>
          <w:tcPr>
            <w:tcW w:w="82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21,841</w:t>
            </w:r>
          </w:p>
        </w:tc>
        <w:tc>
          <w:tcPr>
            <w:tcW w:w="34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w:t>
            </w:r>
          </w:p>
        </w:tc>
        <w:tc>
          <w:tcPr>
            <w:tcW w:w="32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153</w:t>
            </w:r>
          </w:p>
        </w:tc>
        <w:tc>
          <w:tcPr>
            <w:tcW w:w="32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(759)</w:t>
            </w:r>
          </w:p>
        </w:tc>
        <w:tc>
          <w:tcPr>
            <w:tcW w:w="42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21,233</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1352DE"/>
            </w:tcBorders>
          </w:tcPr>
          <w:p>
            <w:pPr>
              <w:ind w:left="20"/>
              <w:spacing w:after="0" w:line="197" w:lineRule="exact"/>
              <w:rPr>
                <w:sz w:val="20"/>
                <w:szCs w:val="20"/>
                <w:color w:val="auto"/>
              </w:rPr>
            </w:pPr>
            <w:r>
              <w:rPr>
                <w:rFonts w:ascii="Arial" w:cs="Arial" w:eastAsia="Arial" w:hAnsi="Arial"/>
                <w:sz w:val="14"/>
                <w:szCs w:val="14"/>
                <w:b w:val="1"/>
                <w:bCs w:val="1"/>
                <w:color w:val="1252DE"/>
              </w:rPr>
              <w:t>Total bonds available for sale</w:t>
            </w:r>
            <w:r>
              <w:rPr>
                <w:rFonts w:ascii="Arial" w:cs="Arial" w:eastAsia="Arial" w:hAnsi="Arial"/>
                <w:sz w:val="18"/>
                <w:szCs w:val="18"/>
                <w:b w:val="1"/>
                <w:bCs w:val="1"/>
                <w:color w:val="1252DE"/>
                <w:vertAlign w:val="superscript"/>
              </w:rPr>
              <w:t>(b)</w:t>
            </w:r>
          </w:p>
        </w:tc>
        <w:tc>
          <w:tcPr>
            <w:tcW w:w="82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74,858</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(24)</w:t>
            </w:r>
          </w:p>
        </w:tc>
        <w:tc>
          <w:tcPr>
            <w:tcW w:w="32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316</w:t>
            </w:r>
          </w:p>
        </w:tc>
        <w:tc>
          <w:tcPr>
            <w:tcW w:w="3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(3,508)</w:t>
            </w:r>
          </w:p>
        </w:tc>
        <w:tc>
          <w:tcPr>
            <w:tcW w:w="42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2DE"/>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71,642</w:t>
            </w:r>
          </w:p>
        </w:tc>
        <w:tc>
          <w:tcPr>
            <w:tcW w:w="0" w:type="dxa"/>
            <w:vAlign w:val="bottom"/>
          </w:tcPr>
          <w:p>
            <w:pPr>
              <w:spacing w:after="0"/>
              <w:rPr>
                <w:sz w:val="1"/>
                <w:szCs w:val="1"/>
                <w:color w:val="auto"/>
              </w:rPr>
            </w:pPr>
          </w:p>
        </w:tc>
      </w:tr>
      <w:tr>
        <w:trPr>
          <w:trHeight w:val="188"/>
        </w:trPr>
        <w:tc>
          <w:tcPr>
            <w:tcW w:w="4540" w:type="dxa"/>
            <w:vAlign w:val="bottom"/>
          </w:tcPr>
          <w:p>
            <w:pPr>
              <w:ind w:left="20"/>
              <w:spacing w:after="0"/>
              <w:rPr>
                <w:sz w:val="20"/>
                <w:szCs w:val="20"/>
                <w:color w:val="auto"/>
              </w:rPr>
            </w:pPr>
            <w:r>
              <w:rPr>
                <w:rFonts w:ascii="Arial" w:cs="Arial" w:eastAsia="Arial" w:hAnsi="Arial"/>
                <w:sz w:val="14"/>
                <w:szCs w:val="14"/>
                <w:color w:val="1252DE"/>
              </w:rPr>
              <w:t>December 31, 2025</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40" w:type="dxa"/>
            <w:vAlign w:val="bottom"/>
          </w:tcPr>
          <w:p>
            <w:pPr>
              <w:ind w:left="20"/>
              <w:spacing w:after="0"/>
              <w:rPr>
                <w:sz w:val="20"/>
                <w:szCs w:val="20"/>
                <w:color w:val="auto"/>
              </w:rPr>
            </w:pPr>
            <w:r>
              <w:rPr>
                <w:rFonts w:ascii="Arial" w:cs="Arial" w:eastAsia="Arial" w:hAnsi="Arial"/>
                <w:sz w:val="14"/>
                <w:szCs w:val="14"/>
                <w:b w:val="1"/>
                <w:bCs w:val="1"/>
                <w:color w:val="1252DE"/>
              </w:rPr>
              <w:t>Bonds available for sale:</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140"/>
              <w:spacing w:after="0"/>
              <w:rPr>
                <w:sz w:val="20"/>
                <w:szCs w:val="20"/>
                <w:color w:val="auto"/>
              </w:rPr>
            </w:pPr>
            <w:r>
              <w:rPr>
                <w:rFonts w:ascii="Arial" w:cs="Arial" w:eastAsia="Arial" w:hAnsi="Arial"/>
                <w:sz w:val="14"/>
                <w:szCs w:val="14"/>
                <w:color w:val="auto"/>
              </w:rPr>
              <w:t>U.S. government and government sponsored entities</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3,353</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3,298</w:t>
            </w:r>
          </w:p>
        </w:tc>
        <w:tc>
          <w:tcPr>
            <w:tcW w:w="0" w:type="dxa"/>
            <w:vAlign w:val="bottom"/>
          </w:tcPr>
          <w:p>
            <w:pPr>
              <w:spacing w:after="0"/>
              <w:rPr>
                <w:sz w:val="1"/>
                <w:szCs w:val="1"/>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4"/>
                <w:szCs w:val="14"/>
                <w:color w:val="auto"/>
              </w:rPr>
              <w:t>Obligations of states, municipalities and political subdivisions</w:t>
            </w:r>
          </w:p>
        </w:tc>
        <w:tc>
          <w:tcPr>
            <w:tcW w:w="8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2,757</w:t>
            </w:r>
          </w:p>
        </w:tc>
        <w:tc>
          <w:tcPr>
            <w:tcW w:w="3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4"/>
                <w:szCs w:val="14"/>
                <w:color w:val="auto"/>
              </w:rPr>
              <w:t>Non-U.S. governments</w:t>
            </w:r>
          </w:p>
        </w:tc>
        <w:tc>
          <w:tcPr>
            <w:tcW w:w="8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6,799</w:t>
            </w:r>
          </w:p>
        </w:tc>
        <w:tc>
          <w:tcPr>
            <w:tcW w:w="3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(368)</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6,516</w:t>
            </w:r>
          </w:p>
        </w:tc>
        <w:tc>
          <w:tcPr>
            <w:tcW w:w="0" w:type="dxa"/>
            <w:vAlign w:val="bottom"/>
          </w:tcPr>
          <w:p>
            <w:pPr>
              <w:spacing w:after="0"/>
              <w:rPr>
                <w:sz w:val="1"/>
                <w:szCs w:val="1"/>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4"/>
                <w:szCs w:val="14"/>
                <w:color w:val="auto"/>
              </w:rPr>
              <w:t>Corporate debt</w:t>
            </w:r>
          </w:p>
        </w:tc>
        <w:tc>
          <w:tcPr>
            <w:tcW w:w="8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37,746</w:t>
            </w:r>
          </w:p>
        </w:tc>
        <w:tc>
          <w:tcPr>
            <w:tcW w:w="3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576</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(1,056)</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37,235</w:t>
            </w:r>
          </w:p>
        </w:tc>
        <w:tc>
          <w:tcPr>
            <w:tcW w:w="0" w:type="dxa"/>
            <w:vAlign w:val="bottom"/>
          </w:tcPr>
          <w:p>
            <w:pPr>
              <w:spacing w:after="0"/>
              <w:rPr>
                <w:sz w:val="1"/>
                <w:szCs w:val="1"/>
                <w:color w:val="auto"/>
              </w:rPr>
            </w:pPr>
          </w:p>
        </w:tc>
      </w:tr>
      <w:tr>
        <w:trPr>
          <w:trHeight w:val="209"/>
        </w:trPr>
        <w:tc>
          <w:tcPr>
            <w:tcW w:w="4540" w:type="dxa"/>
            <w:vAlign w:val="bottom"/>
          </w:tcPr>
          <w:p>
            <w:pPr>
              <w:ind w:left="140"/>
              <w:spacing w:after="0"/>
              <w:rPr>
                <w:sz w:val="20"/>
                <w:szCs w:val="20"/>
                <w:color w:val="auto"/>
              </w:rPr>
            </w:pPr>
            <w:r>
              <w:rPr>
                <w:rFonts w:ascii="Arial" w:cs="Arial" w:eastAsia="Arial" w:hAnsi="Arial"/>
                <w:sz w:val="14"/>
                <w:szCs w:val="14"/>
                <w:b w:val="1"/>
                <w:bCs w:val="1"/>
                <w:color w:val="1252DE"/>
              </w:rPr>
              <w:t>Mortgage-backed, asset-backed and collateralized:</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ind w:left="240"/>
              <w:spacing w:after="0"/>
              <w:rPr>
                <w:sz w:val="20"/>
                <w:szCs w:val="20"/>
                <w:color w:val="auto"/>
              </w:rPr>
            </w:pPr>
            <w:r>
              <w:rPr>
                <w:rFonts w:ascii="Arial" w:cs="Arial" w:eastAsia="Arial" w:hAnsi="Arial"/>
                <w:sz w:val="14"/>
                <w:szCs w:val="14"/>
                <w:color w:val="auto"/>
              </w:rPr>
              <w:t>RMBS</w:t>
            </w:r>
          </w:p>
        </w:tc>
        <w:tc>
          <w:tcPr>
            <w:tcW w:w="82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10,137</w:t>
            </w:r>
          </w:p>
        </w:tc>
        <w:tc>
          <w:tcPr>
            <w:tcW w:w="34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(259)</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10,168</w:t>
            </w:r>
          </w:p>
        </w:tc>
        <w:tc>
          <w:tcPr>
            <w:tcW w:w="0" w:type="dxa"/>
            <w:vAlign w:val="bottom"/>
          </w:tcPr>
          <w:p>
            <w:pPr>
              <w:spacing w:after="0"/>
              <w:rPr>
                <w:sz w:val="1"/>
                <w:szCs w:val="1"/>
                <w:color w:val="auto"/>
              </w:rPr>
            </w:pPr>
          </w:p>
        </w:tc>
      </w:tr>
      <w:tr>
        <w:trPr>
          <w:trHeight w:val="190"/>
        </w:trPr>
        <w:tc>
          <w:tcPr>
            <w:tcW w:w="4540" w:type="dxa"/>
            <w:vAlign w:val="bottom"/>
          </w:tcPr>
          <w:p>
            <w:pPr>
              <w:ind w:left="240"/>
              <w:spacing w:after="0"/>
              <w:rPr>
                <w:sz w:val="20"/>
                <w:szCs w:val="20"/>
                <w:color w:val="auto"/>
              </w:rPr>
            </w:pPr>
            <w:r>
              <w:rPr>
                <w:rFonts w:ascii="Arial" w:cs="Arial" w:eastAsia="Arial" w:hAnsi="Arial"/>
                <w:sz w:val="14"/>
                <w:szCs w:val="14"/>
                <w:color w:val="auto"/>
              </w:rPr>
              <w:t>CMBS</w:t>
            </w:r>
          </w:p>
        </w:tc>
        <w:tc>
          <w:tcPr>
            <w:tcW w:w="8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4,585</w:t>
            </w:r>
          </w:p>
        </w:tc>
        <w:tc>
          <w:tcPr>
            <w:tcW w:w="3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4,616</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CLO/ABS</w:t>
            </w:r>
          </w:p>
        </w:tc>
        <w:tc>
          <w:tcPr>
            <w:tcW w:w="82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6,395</w:t>
            </w:r>
          </w:p>
        </w:tc>
        <w:tc>
          <w:tcPr>
            <w:tcW w:w="34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53</w:t>
            </w:r>
          </w:p>
        </w:tc>
        <w:tc>
          <w:tcPr>
            <w:tcW w:w="32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(23)</w:t>
            </w:r>
          </w:p>
        </w:tc>
        <w:tc>
          <w:tcPr>
            <w:tcW w:w="42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6,424</w:t>
            </w:r>
          </w:p>
        </w:tc>
        <w:tc>
          <w:tcPr>
            <w:tcW w:w="0" w:type="dxa"/>
            <w:vAlign w:val="bottom"/>
          </w:tcPr>
          <w:p>
            <w:pPr>
              <w:spacing w:after="0"/>
              <w:rPr>
                <w:sz w:val="1"/>
                <w:szCs w:val="1"/>
                <w:color w:val="auto"/>
              </w:rPr>
            </w:pPr>
          </w:p>
        </w:tc>
      </w:tr>
      <w:tr>
        <w:trPr>
          <w:trHeight w:val="199"/>
        </w:trPr>
        <w:tc>
          <w:tcPr>
            <w:tcW w:w="454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252DE"/>
              </w:rPr>
              <w:t>Total mortgage-backed, asset-backed and collateralized</w:t>
            </w:r>
          </w:p>
        </w:tc>
        <w:tc>
          <w:tcPr>
            <w:tcW w:w="82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21,117</w:t>
            </w:r>
          </w:p>
        </w:tc>
        <w:tc>
          <w:tcPr>
            <w:tcW w:w="34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414</w:t>
            </w:r>
          </w:p>
        </w:tc>
        <w:tc>
          <w:tcPr>
            <w:tcW w:w="32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(318)</w:t>
            </w:r>
          </w:p>
        </w:tc>
        <w:tc>
          <w:tcPr>
            <w:tcW w:w="42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21,208</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1352DE"/>
            </w:tcBorders>
          </w:tcPr>
          <w:p>
            <w:pPr>
              <w:ind w:left="20"/>
              <w:spacing w:after="0" w:line="197" w:lineRule="exact"/>
              <w:rPr>
                <w:sz w:val="20"/>
                <w:szCs w:val="20"/>
                <w:color w:val="auto"/>
              </w:rPr>
            </w:pPr>
            <w:r>
              <w:rPr>
                <w:rFonts w:ascii="Arial" w:cs="Arial" w:eastAsia="Arial" w:hAnsi="Arial"/>
                <w:sz w:val="14"/>
                <w:szCs w:val="14"/>
                <w:b w:val="1"/>
                <w:bCs w:val="1"/>
                <w:color w:val="1252DE"/>
              </w:rPr>
              <w:t>Total bonds available for sale</w:t>
            </w:r>
            <w:r>
              <w:rPr>
                <w:rFonts w:ascii="Arial" w:cs="Arial" w:eastAsia="Arial" w:hAnsi="Arial"/>
                <w:sz w:val="18"/>
                <w:szCs w:val="18"/>
                <w:b w:val="1"/>
                <w:bCs w:val="1"/>
                <w:color w:val="1252DE"/>
                <w:vertAlign w:val="superscript"/>
              </w:rPr>
              <w:t>(b)</w:t>
            </w:r>
          </w:p>
        </w:tc>
        <w:tc>
          <w:tcPr>
            <w:tcW w:w="82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71,772</w:t>
            </w:r>
          </w:p>
        </w:tc>
        <w:tc>
          <w:tcPr>
            <w:tcW w:w="3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(37)</w:t>
            </w:r>
          </w:p>
        </w:tc>
        <w:tc>
          <w:tcPr>
            <w:tcW w:w="32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1,178</w:t>
            </w:r>
          </w:p>
        </w:tc>
        <w:tc>
          <w:tcPr>
            <w:tcW w:w="3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(1,881)</w:t>
            </w:r>
          </w:p>
        </w:tc>
        <w:tc>
          <w:tcPr>
            <w:tcW w:w="42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71,032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240" w:hanging="212"/>
        <w:spacing w:after="0" w:line="286" w:lineRule="auto"/>
        <w:tabs>
          <w:tab w:leader="none" w:pos="208"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allowance for credit losses that has been recognized. Changes in the allowance for credit losses are recorded through Net realized gains (losses) and are not recognized in Other comprehensive income (loss) (OCI).</w:t>
      </w:r>
    </w:p>
    <w:p>
      <w:pPr>
        <w:spacing w:after="0" w:line="35" w:lineRule="exact"/>
        <w:rPr>
          <w:rFonts w:ascii="Arial" w:cs="Arial" w:eastAsia="Arial" w:hAnsi="Arial"/>
          <w:sz w:val="13"/>
          <w:szCs w:val="13"/>
          <w:color w:val="auto"/>
        </w:rPr>
      </w:pPr>
    </w:p>
    <w:p>
      <w:pPr>
        <w:ind w:left="220" w:right="60" w:hanging="212"/>
        <w:spacing w:after="0" w:line="264" w:lineRule="auto"/>
        <w:tabs>
          <w:tab w:leader="none" w:pos="208" w:val="left"/>
        </w:tabs>
        <w:numPr>
          <w:ilvl w:val="0"/>
          <w:numId w:val="21"/>
        </w:numPr>
        <w:rPr>
          <w:rFonts w:ascii="Arial" w:cs="Arial" w:eastAsia="Arial" w:hAnsi="Arial"/>
          <w:sz w:val="13"/>
          <w:szCs w:val="13"/>
          <w:color w:val="auto"/>
        </w:rPr>
      </w:pPr>
      <w:r>
        <w:rPr>
          <w:rFonts w:ascii="Arial" w:cs="Arial" w:eastAsia="Arial" w:hAnsi="Arial"/>
          <w:sz w:val="13"/>
          <w:szCs w:val="13"/>
          <w:color w:val="auto"/>
        </w:rPr>
        <w:t>At September 30, 2026 and December 31, 2025, the fair value of bonds available for sale held by us that were below investment grade or not rated totaled $5.9 billion or 8 percent and $5.9 billion or 8 percent, respectively.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Securities Available for Sale in a Loss Position for Which No Allowance for Credit Loss Has Been Recorded</w:t>
      </w:r>
    </w:p>
    <w:p>
      <w:pPr>
        <w:spacing w:after="0" w:line="243" w:lineRule="exact"/>
        <w:rPr>
          <w:sz w:val="20"/>
          <w:szCs w:val="20"/>
          <w:color w:val="auto"/>
        </w:rPr>
      </w:pPr>
    </w:p>
    <w:p>
      <w:pPr>
        <w:jc w:val="both"/>
        <w:ind w:right="240"/>
        <w:spacing w:after="0" w:line="333" w:lineRule="auto"/>
        <w:rPr>
          <w:sz w:val="20"/>
          <w:szCs w:val="20"/>
          <w:color w:val="auto"/>
        </w:rPr>
      </w:pPr>
      <w:r>
        <w:rPr>
          <w:rFonts w:ascii="Arial" w:cs="Arial" w:eastAsia="Arial" w:hAnsi="Arial"/>
          <w:sz w:val="16"/>
          <w:szCs w:val="16"/>
          <w:b w:val="1"/>
          <w:bCs w:val="1"/>
          <w:color w:val="1352DE"/>
        </w:rPr>
        <w:t>The following table summarizes the fair value and gross unrealized losses on our available for sale securities, aggregated by major investment category and length of time that individual securities have been in a continuous unrealized loss position for which no allowance for credit loss has been recorded: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Borders>
              <w:top w:val="single" w:sz="8" w:color="1352DE"/>
            </w:tcBorders>
          </w:tcPr>
          <w:p>
            <w:pPr>
              <w:spacing w:after="0"/>
              <w:rPr>
                <w:sz w:val="18"/>
                <w:szCs w:val="18"/>
                <w:color w:val="auto"/>
              </w:rPr>
            </w:pPr>
          </w:p>
        </w:tc>
        <w:tc>
          <w:tcPr>
            <w:tcW w:w="320" w:type="dxa"/>
            <w:vAlign w:val="bottom"/>
            <w:tcBorders>
              <w:top w:val="single" w:sz="8" w:color="1352DE"/>
            </w:tcBorders>
          </w:tcPr>
          <w:p>
            <w:pPr>
              <w:spacing w:after="0"/>
              <w:rPr>
                <w:sz w:val="18"/>
                <w:szCs w:val="18"/>
                <w:color w:val="auto"/>
              </w:rPr>
            </w:pPr>
          </w:p>
        </w:tc>
        <w:tc>
          <w:tcPr>
            <w:tcW w:w="2020" w:type="dxa"/>
            <w:vAlign w:val="bottom"/>
            <w:tcBorders>
              <w:top w:val="single" w:sz="8" w:color="1352DE"/>
              <w:bottom w:val="single" w:sz="8" w:color="1352DE"/>
            </w:tcBorders>
            <w:gridSpan w:val="3"/>
          </w:tcPr>
          <w:p>
            <w:pPr>
              <w:jc w:val="right"/>
              <w:ind w:right="224"/>
              <w:spacing w:after="0"/>
              <w:rPr>
                <w:sz w:val="20"/>
                <w:szCs w:val="20"/>
                <w:color w:val="auto"/>
              </w:rPr>
            </w:pPr>
            <w:r>
              <w:rPr>
                <w:rFonts w:ascii="Arial" w:cs="Arial" w:eastAsia="Arial" w:hAnsi="Arial"/>
                <w:sz w:val="15"/>
                <w:szCs w:val="15"/>
                <w:color w:val="1252DE"/>
              </w:rPr>
              <w:t>Less than 12 Months</w:t>
            </w:r>
          </w:p>
        </w:tc>
        <w:tc>
          <w:tcPr>
            <w:tcW w:w="200" w:type="dxa"/>
            <w:vAlign w:val="bottom"/>
            <w:tcBorders>
              <w:top w:val="single" w:sz="8" w:color="1352DE"/>
            </w:tcBorders>
          </w:tcPr>
          <w:p>
            <w:pPr>
              <w:spacing w:after="0"/>
              <w:rPr>
                <w:sz w:val="18"/>
                <w:szCs w:val="18"/>
                <w:color w:val="auto"/>
              </w:rPr>
            </w:pPr>
          </w:p>
        </w:tc>
        <w:tc>
          <w:tcPr>
            <w:tcW w:w="2020" w:type="dxa"/>
            <w:vAlign w:val="bottom"/>
            <w:tcBorders>
              <w:top w:val="single" w:sz="8" w:color="1352DE"/>
              <w:bottom w:val="single" w:sz="8" w:color="1352DE"/>
            </w:tcBorders>
            <w:gridSpan w:val="3"/>
          </w:tcPr>
          <w:p>
            <w:pPr>
              <w:jc w:val="right"/>
              <w:ind w:right="304"/>
              <w:spacing w:after="0"/>
              <w:rPr>
                <w:sz w:val="20"/>
                <w:szCs w:val="20"/>
                <w:color w:val="auto"/>
              </w:rPr>
            </w:pPr>
            <w:r>
              <w:rPr>
                <w:rFonts w:ascii="Arial" w:cs="Arial" w:eastAsia="Arial" w:hAnsi="Arial"/>
                <w:sz w:val="15"/>
                <w:szCs w:val="15"/>
                <w:color w:val="1252DE"/>
              </w:rPr>
              <w:t>12 Months or More</w:t>
            </w:r>
          </w:p>
        </w:tc>
        <w:tc>
          <w:tcPr>
            <w:tcW w:w="200" w:type="dxa"/>
            <w:vAlign w:val="bottom"/>
            <w:tcBorders>
              <w:top w:val="single" w:sz="8" w:color="1352DE"/>
            </w:tcBorders>
          </w:tcPr>
          <w:p>
            <w:pPr>
              <w:spacing w:after="0"/>
              <w:rPr>
                <w:sz w:val="18"/>
                <w:szCs w:val="18"/>
                <w:color w:val="auto"/>
              </w:rPr>
            </w:pPr>
          </w:p>
        </w:tc>
        <w:tc>
          <w:tcPr>
            <w:tcW w:w="820" w:type="dxa"/>
            <w:vAlign w:val="bottom"/>
            <w:tcBorders>
              <w:top w:val="single" w:sz="8" w:color="1352DE"/>
              <w:bottom w:val="single" w:sz="8" w:color="1352DE"/>
            </w:tcBorders>
          </w:tcPr>
          <w:p>
            <w:pPr>
              <w:spacing w:after="0"/>
              <w:rPr>
                <w:sz w:val="18"/>
                <w:szCs w:val="18"/>
                <w:color w:val="auto"/>
              </w:rPr>
            </w:pPr>
          </w:p>
        </w:tc>
        <w:tc>
          <w:tcPr>
            <w:tcW w:w="38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5"/>
                <w:szCs w:val="15"/>
                <w:color w:val="1252DE"/>
                <w:w w:val="95"/>
              </w:rPr>
              <w:t>Total</w:t>
            </w:r>
          </w:p>
        </w:tc>
        <w:tc>
          <w:tcPr>
            <w:tcW w:w="80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1252DE"/>
              </w:rPr>
              <w:t>Fair</w:t>
            </w:r>
          </w:p>
        </w:tc>
        <w:tc>
          <w:tcPr>
            <w:tcW w:w="28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5"/>
                <w:szCs w:val="15"/>
                <w:color w:val="1252DE"/>
              </w:rPr>
              <w:t>Gross</w:t>
            </w: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1252DE"/>
              </w:rPr>
              <w:t>Fair</w:t>
            </w:r>
          </w:p>
        </w:tc>
        <w:tc>
          <w:tcPr>
            <w:tcW w:w="26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5"/>
                <w:szCs w:val="15"/>
                <w:color w:val="1252DE"/>
              </w:rPr>
              <w:t>Gross</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1252DE"/>
              </w:rPr>
              <w:t>Fair</w:t>
            </w:r>
          </w:p>
        </w:tc>
        <w:tc>
          <w:tcPr>
            <w:tcW w:w="38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5"/>
                <w:szCs w:val="15"/>
                <w:color w:val="1252DE"/>
              </w:rPr>
              <w:t>Gross</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5"/>
                <w:szCs w:val="15"/>
                <w:color w:val="1252DE"/>
              </w:rPr>
              <w:t>Unrealized</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5"/>
                <w:szCs w:val="15"/>
                <w:color w:val="1252DE"/>
              </w:rPr>
              <w:t>Unrealized</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5"/>
                <w:szCs w:val="15"/>
                <w:color w:val="1252DE"/>
              </w:rPr>
              <w:t>Unrealized</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320" w:type="dxa"/>
            <w:vAlign w:val="bottom"/>
            <w:tcBorders>
              <w:bottom w:val="single" w:sz="8" w:color="1352DE"/>
            </w:tcBorders>
          </w:tcPr>
          <w:p>
            <w:pPr>
              <w:spacing w:after="0"/>
              <w:rPr>
                <w:sz w:val="18"/>
                <w:szCs w:val="18"/>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Value</w:t>
            </w:r>
          </w:p>
        </w:tc>
        <w:tc>
          <w:tcPr>
            <w:tcW w:w="280" w:type="dxa"/>
            <w:vAlign w:val="bottom"/>
            <w:tcBorders>
              <w:bottom w:val="single" w:sz="8" w:color="1352DE"/>
            </w:tcBorders>
          </w:tcPr>
          <w:p>
            <w:pPr>
              <w:spacing w:after="0"/>
              <w:rPr>
                <w:sz w:val="18"/>
                <w:szCs w:val="18"/>
                <w:color w:val="auto"/>
              </w:rPr>
            </w:pP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Losses</w:t>
            </w:r>
          </w:p>
        </w:tc>
        <w:tc>
          <w:tcPr>
            <w:tcW w:w="200" w:type="dxa"/>
            <w:vAlign w:val="bottom"/>
            <w:tcBorders>
              <w:bottom w:val="single" w:sz="8" w:color="1352DE"/>
            </w:tcBorders>
          </w:tcPr>
          <w:p>
            <w:pPr>
              <w:spacing w:after="0"/>
              <w:rPr>
                <w:sz w:val="18"/>
                <w:szCs w:val="18"/>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Value</w:t>
            </w:r>
          </w:p>
        </w:tc>
        <w:tc>
          <w:tcPr>
            <w:tcW w:w="260" w:type="dxa"/>
            <w:vAlign w:val="bottom"/>
            <w:tcBorders>
              <w:bottom w:val="single" w:sz="8" w:color="1352DE"/>
            </w:tcBorders>
          </w:tcPr>
          <w:p>
            <w:pPr>
              <w:spacing w:after="0"/>
              <w:rPr>
                <w:sz w:val="18"/>
                <w:szCs w:val="18"/>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Losses</w:t>
            </w:r>
          </w:p>
        </w:tc>
        <w:tc>
          <w:tcPr>
            <w:tcW w:w="20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Value</w:t>
            </w:r>
          </w:p>
        </w:tc>
        <w:tc>
          <w:tcPr>
            <w:tcW w:w="38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Losses</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Arial" w:cs="Arial" w:eastAsia="Arial" w:hAnsi="Arial"/>
                <w:sz w:val="15"/>
                <w:szCs w:val="15"/>
                <w:b w:val="1"/>
                <w:bCs w:val="1"/>
                <w:color w:val="1252DE"/>
              </w:rPr>
              <w:t>September 30, 2026</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tcPr>
          <w:p>
            <w:pPr>
              <w:ind w:left="20"/>
              <w:spacing w:after="0"/>
              <w:rPr>
                <w:sz w:val="20"/>
                <w:szCs w:val="20"/>
                <w:color w:val="auto"/>
              </w:rPr>
            </w:pPr>
            <w:r>
              <w:rPr>
                <w:rFonts w:ascii="Arial" w:cs="Arial" w:eastAsia="Arial" w:hAnsi="Arial"/>
                <w:sz w:val="15"/>
                <w:szCs w:val="15"/>
                <w:b w:val="1"/>
                <w:bCs w:val="1"/>
                <w:color w:val="1252DE"/>
              </w:rPr>
              <w:t>Bonds available for sale:</w:t>
            </w:r>
          </w:p>
        </w:tc>
        <w:tc>
          <w:tcPr>
            <w:tcW w:w="320" w:type="dxa"/>
            <w:vAlign w:val="bottom"/>
          </w:tcPr>
          <w:p>
            <w:pPr>
              <w:spacing w:after="0"/>
              <w:rPr>
                <w:sz w:val="17"/>
                <w:szCs w:val="17"/>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1252DE"/>
              </w:rPr>
              <w:t>3,198</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1252DE"/>
              </w:rPr>
              <w:t>$</w:t>
            </w:r>
          </w:p>
        </w:tc>
        <w:tc>
          <w:tcPr>
            <w:tcW w:w="8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252DE"/>
              </w:rPr>
              <w:t>35</w:t>
            </w:r>
          </w:p>
        </w:tc>
        <w:tc>
          <w:tcPr>
            <w:tcW w:w="200" w:type="dxa"/>
            <w:vAlign w:val="bottom"/>
            <w:vMerge w:val="restart"/>
          </w:tcPr>
          <w:p>
            <w:pPr>
              <w:jc w:val="right"/>
              <w:spacing w:after="0"/>
              <w:rPr>
                <w:sz w:val="20"/>
                <w:szCs w:val="20"/>
                <w:color w:val="auto"/>
              </w:rPr>
            </w:pPr>
            <w:r>
              <w:rPr>
                <w:rFonts w:ascii="Arial" w:cs="Arial" w:eastAsia="Arial" w:hAnsi="Arial"/>
                <w:sz w:val="15"/>
                <w:szCs w:val="15"/>
                <w:b w:val="1"/>
                <w:bCs w:val="1"/>
                <w:color w:val="1252DE"/>
              </w:rPr>
              <w:t>$</w:t>
            </w:r>
          </w:p>
        </w:tc>
        <w:tc>
          <w:tcPr>
            <w:tcW w:w="860" w:type="dxa"/>
            <w:vAlign w:val="bottom"/>
          </w:tcPr>
          <w:p>
            <w:pPr>
              <w:spacing w:after="0"/>
              <w:rPr>
                <w:sz w:val="17"/>
                <w:szCs w:val="17"/>
                <w:color w:val="auto"/>
              </w:rPr>
            </w:pP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1252DE"/>
              </w:rPr>
              <w:t>$</w:t>
            </w: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252DE"/>
              </w:rPr>
              <w:t>102</w:t>
            </w:r>
          </w:p>
        </w:tc>
        <w:tc>
          <w:tcPr>
            <w:tcW w:w="200" w:type="dxa"/>
            <w:vAlign w:val="bottom"/>
            <w:vMerge w:val="restart"/>
          </w:tcPr>
          <w:p>
            <w:pPr>
              <w:jc w:val="right"/>
              <w:spacing w:after="0"/>
              <w:rPr>
                <w:sz w:val="20"/>
                <w:szCs w:val="20"/>
                <w:color w:val="auto"/>
              </w:rPr>
            </w:pPr>
            <w:r>
              <w:rPr>
                <w:rFonts w:ascii="Arial" w:cs="Arial" w:eastAsia="Arial" w:hAnsi="Arial"/>
                <w:sz w:val="15"/>
                <w:szCs w:val="15"/>
                <w:b w:val="1"/>
                <w:bCs w:val="1"/>
                <w:color w:val="1252DE"/>
              </w:rPr>
              <w:t>$</w:t>
            </w:r>
          </w:p>
        </w:tc>
        <w:tc>
          <w:tcPr>
            <w:tcW w:w="82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252DE"/>
              </w:rPr>
              <w:t>3,463</w:t>
            </w:r>
          </w:p>
        </w:tc>
        <w:tc>
          <w:tcPr>
            <w:tcW w:w="38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1252DE"/>
              </w:rPr>
              <w:t>$</w:t>
            </w: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1252DE"/>
              </w:rPr>
              <w:t>137</w:t>
            </w:r>
          </w:p>
        </w:tc>
        <w:tc>
          <w:tcPr>
            <w:tcW w:w="0" w:type="dxa"/>
            <w:vAlign w:val="bottom"/>
          </w:tcPr>
          <w:p>
            <w:pPr>
              <w:spacing w:after="0"/>
              <w:rPr>
                <w:sz w:val="1"/>
                <w:szCs w:val="1"/>
                <w:color w:val="auto"/>
              </w:rPr>
            </w:pPr>
          </w:p>
        </w:tc>
      </w:tr>
      <w:tr>
        <w:trPr>
          <w:trHeight w:val="200"/>
        </w:trPr>
        <w:tc>
          <w:tcPr>
            <w:tcW w:w="4460" w:type="dxa"/>
            <w:vAlign w:val="bottom"/>
          </w:tcPr>
          <w:p>
            <w:pPr>
              <w:ind w:left="140"/>
              <w:spacing w:after="0"/>
              <w:rPr>
                <w:sz w:val="20"/>
                <w:szCs w:val="20"/>
                <w:color w:val="auto"/>
              </w:rPr>
            </w:pPr>
            <w:r>
              <w:rPr>
                <w:rFonts w:ascii="Arial" w:cs="Arial" w:eastAsia="Arial" w:hAnsi="Arial"/>
                <w:sz w:val="15"/>
                <w:szCs w:val="15"/>
                <w:color w:val="auto"/>
              </w:rPr>
              <w:t>U.S. government and government sponsored entities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8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265</w:t>
            </w: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Obligations of states, municipalities and political subdivisions</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1,623</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1252DE"/>
              </w:rPr>
              <w:t>60</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457</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1252DE"/>
              </w:rPr>
              <w:t>64</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1252DE"/>
              </w:rPr>
              <w:t>2,080</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1252DE"/>
              </w:rPr>
              <w:t>124</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Non-U.S. governments</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3,366</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1252DE"/>
              </w:rPr>
              <w:t>92</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1,449</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1252DE"/>
              </w:rPr>
              <w:t>368</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1252DE"/>
              </w:rPr>
              <w:t>4,815</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1252DE"/>
              </w:rPr>
              <w:t>460</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Corporate debt</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25,344</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1252DE"/>
              </w:rPr>
              <w:t>968</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7,116</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1252DE"/>
              </w:rPr>
              <w:t>1,047</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1252DE"/>
              </w:rPr>
              <w:t>32,460</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1252DE"/>
              </w:rPr>
              <w:t>2,015</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RMBS</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8,793</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1252DE"/>
              </w:rPr>
              <w:t>373</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947</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1252DE"/>
              </w:rPr>
              <w:t>199</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1252DE"/>
              </w:rPr>
              <w:t>9,740</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1252DE"/>
              </w:rPr>
              <w:t>572</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CMBS</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3,404</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1252DE"/>
              </w:rPr>
              <w:t>84</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1252DE"/>
              </w:rPr>
              <w:t>337</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1252DE"/>
              </w:rPr>
              <w:t>23</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1252DE"/>
              </w:rPr>
              <w:t>3,741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1252DE"/>
              </w:rPr>
              <w:t>107</w:t>
            </w:r>
          </w:p>
        </w:tc>
        <w:tc>
          <w:tcPr>
            <w:tcW w:w="0" w:type="dxa"/>
            <w:vAlign w:val="bottom"/>
          </w:tcPr>
          <w:p>
            <w:pPr>
              <w:spacing w:after="0"/>
              <w:rPr>
                <w:sz w:val="1"/>
                <w:szCs w:val="1"/>
                <w:color w:val="auto"/>
              </w:rPr>
            </w:pPr>
          </w:p>
        </w:tc>
      </w:tr>
      <w:tr>
        <w:trPr>
          <w:trHeight w:val="208"/>
        </w:trPr>
        <w:tc>
          <w:tcPr>
            <w:tcW w:w="4460" w:type="dxa"/>
            <w:vAlign w:val="bottom"/>
            <w:tcBorders>
              <w:bottom w:val="single" w:sz="8" w:color="1252DE"/>
            </w:tcBorders>
          </w:tcPr>
          <w:p>
            <w:pPr>
              <w:ind w:left="140"/>
              <w:spacing w:after="0"/>
              <w:rPr>
                <w:sz w:val="20"/>
                <w:szCs w:val="20"/>
                <w:color w:val="auto"/>
              </w:rPr>
            </w:pPr>
            <w:r>
              <w:rPr>
                <w:rFonts w:ascii="Arial" w:cs="Arial" w:eastAsia="Arial" w:hAnsi="Arial"/>
                <w:sz w:val="15"/>
                <w:szCs w:val="15"/>
                <w:color w:val="auto"/>
              </w:rPr>
              <w:t>CLO/ABS</w:t>
            </w:r>
          </w:p>
        </w:tc>
        <w:tc>
          <w:tcPr>
            <w:tcW w:w="320" w:type="dxa"/>
            <w:vAlign w:val="bottom"/>
            <w:tcBorders>
              <w:bottom w:val="single" w:sz="8" w:color="1252DE"/>
            </w:tcBorders>
          </w:tcPr>
          <w:p>
            <w:pPr>
              <w:spacing w:after="0"/>
              <w:rPr>
                <w:sz w:val="18"/>
                <w:szCs w:val="18"/>
                <w:color w:val="auto"/>
              </w:rPr>
            </w:pPr>
          </w:p>
        </w:tc>
        <w:tc>
          <w:tcPr>
            <w:tcW w:w="860" w:type="dxa"/>
            <w:vAlign w:val="bottom"/>
            <w:tcBorders>
              <w:bottom w:val="single" w:sz="8" w:color="1252DE"/>
            </w:tcBorders>
          </w:tcPr>
          <w:p>
            <w:pPr>
              <w:jc w:val="right"/>
              <w:ind w:right="44"/>
              <w:spacing w:after="0"/>
              <w:rPr>
                <w:sz w:val="20"/>
                <w:szCs w:val="20"/>
                <w:color w:val="auto"/>
              </w:rPr>
            </w:pPr>
            <w:r>
              <w:rPr>
                <w:rFonts w:ascii="Arial" w:cs="Arial" w:eastAsia="Arial" w:hAnsi="Arial"/>
                <w:sz w:val="15"/>
                <w:szCs w:val="15"/>
                <w:b w:val="1"/>
                <w:bCs w:val="1"/>
                <w:color w:val="1252DE"/>
              </w:rPr>
              <w:t>3,391</w:t>
            </w:r>
          </w:p>
        </w:tc>
        <w:tc>
          <w:tcPr>
            <w:tcW w:w="280" w:type="dxa"/>
            <w:vAlign w:val="bottom"/>
            <w:tcBorders>
              <w:bottom w:val="single" w:sz="8" w:color="1252DE"/>
            </w:tcBorders>
          </w:tcPr>
          <w:p>
            <w:pPr>
              <w:spacing w:after="0"/>
              <w:rPr>
                <w:sz w:val="18"/>
                <w:szCs w:val="18"/>
                <w:color w:val="auto"/>
              </w:rPr>
            </w:pPr>
          </w:p>
        </w:tc>
        <w:tc>
          <w:tcPr>
            <w:tcW w:w="880" w:type="dxa"/>
            <w:vAlign w:val="bottom"/>
            <w:tcBorders>
              <w:bottom w:val="single" w:sz="8" w:color="1252DE"/>
            </w:tcBorders>
          </w:tcPr>
          <w:p>
            <w:pPr>
              <w:jc w:val="right"/>
              <w:ind w:right="4"/>
              <w:spacing w:after="0"/>
              <w:rPr>
                <w:sz w:val="20"/>
                <w:szCs w:val="20"/>
                <w:color w:val="auto"/>
              </w:rPr>
            </w:pPr>
            <w:r>
              <w:rPr>
                <w:rFonts w:ascii="Arial" w:cs="Arial" w:eastAsia="Arial" w:hAnsi="Arial"/>
                <w:sz w:val="15"/>
                <w:szCs w:val="15"/>
                <w:b w:val="1"/>
                <w:bCs w:val="1"/>
                <w:color w:val="1252DE"/>
              </w:rPr>
              <w:t>58</w:t>
            </w:r>
          </w:p>
        </w:tc>
        <w:tc>
          <w:tcPr>
            <w:tcW w:w="200" w:type="dxa"/>
            <w:vAlign w:val="bottom"/>
            <w:tcBorders>
              <w:bottom w:val="single" w:sz="8" w:color="1252DE"/>
            </w:tcBorders>
          </w:tcPr>
          <w:p>
            <w:pPr>
              <w:spacing w:after="0"/>
              <w:rPr>
                <w:sz w:val="18"/>
                <w:szCs w:val="18"/>
                <w:color w:val="auto"/>
              </w:rPr>
            </w:pPr>
          </w:p>
        </w:tc>
        <w:tc>
          <w:tcPr>
            <w:tcW w:w="860" w:type="dxa"/>
            <w:vAlign w:val="bottom"/>
            <w:tcBorders>
              <w:bottom w:val="single" w:sz="8" w:color="1252DE"/>
            </w:tcBorders>
          </w:tcPr>
          <w:p>
            <w:pPr>
              <w:jc w:val="right"/>
              <w:ind w:right="44"/>
              <w:spacing w:after="0"/>
              <w:rPr>
                <w:sz w:val="20"/>
                <w:szCs w:val="20"/>
                <w:color w:val="auto"/>
              </w:rPr>
            </w:pPr>
            <w:r>
              <w:rPr>
                <w:rFonts w:ascii="Arial" w:cs="Arial" w:eastAsia="Arial" w:hAnsi="Arial"/>
                <w:sz w:val="15"/>
                <w:szCs w:val="15"/>
                <w:b w:val="1"/>
                <w:bCs w:val="1"/>
                <w:color w:val="1252DE"/>
              </w:rPr>
              <w:t>234</w:t>
            </w:r>
          </w:p>
        </w:tc>
        <w:tc>
          <w:tcPr>
            <w:tcW w:w="260" w:type="dxa"/>
            <w:vAlign w:val="bottom"/>
            <w:tcBorders>
              <w:bottom w:val="single" w:sz="8" w:color="1252DE"/>
            </w:tcBorders>
          </w:tcPr>
          <w:p>
            <w:pPr>
              <w:spacing w:after="0"/>
              <w:rPr>
                <w:sz w:val="18"/>
                <w:szCs w:val="18"/>
                <w:color w:val="auto"/>
              </w:rPr>
            </w:pPr>
          </w:p>
        </w:tc>
        <w:tc>
          <w:tcPr>
            <w:tcW w:w="900" w:type="dxa"/>
            <w:vAlign w:val="bottom"/>
            <w:tcBorders>
              <w:bottom w:val="single" w:sz="8" w:color="1252DE"/>
            </w:tcBorders>
          </w:tcPr>
          <w:p>
            <w:pPr>
              <w:jc w:val="right"/>
              <w:ind w:right="4"/>
              <w:spacing w:after="0"/>
              <w:rPr>
                <w:sz w:val="20"/>
                <w:szCs w:val="20"/>
                <w:color w:val="auto"/>
              </w:rPr>
            </w:pPr>
            <w:r>
              <w:rPr>
                <w:rFonts w:ascii="Arial" w:cs="Arial" w:eastAsia="Arial" w:hAnsi="Arial"/>
                <w:sz w:val="15"/>
                <w:szCs w:val="15"/>
                <w:b w:val="1"/>
                <w:bCs w:val="1"/>
                <w:color w:val="1252DE"/>
              </w:rPr>
              <w:t>12</w:t>
            </w:r>
          </w:p>
        </w:tc>
        <w:tc>
          <w:tcPr>
            <w:tcW w:w="200" w:type="dxa"/>
            <w:vAlign w:val="bottom"/>
            <w:tcBorders>
              <w:bottom w:val="single" w:sz="8" w:color="1252DE"/>
            </w:tcBorders>
          </w:tcPr>
          <w:p>
            <w:pPr>
              <w:spacing w:after="0"/>
              <w:rPr>
                <w:sz w:val="18"/>
                <w:szCs w:val="18"/>
                <w:color w:val="auto"/>
              </w:rPr>
            </w:pPr>
          </w:p>
        </w:tc>
        <w:tc>
          <w:tcPr>
            <w:tcW w:w="820" w:type="dxa"/>
            <w:vAlign w:val="bottom"/>
            <w:tcBorders>
              <w:bottom w:val="single" w:sz="8" w:color="1252DE"/>
            </w:tcBorders>
          </w:tcPr>
          <w:p>
            <w:pPr>
              <w:jc w:val="right"/>
              <w:ind w:right="4"/>
              <w:spacing w:after="0"/>
              <w:rPr>
                <w:sz w:val="20"/>
                <w:szCs w:val="20"/>
                <w:color w:val="auto"/>
              </w:rPr>
            </w:pPr>
            <w:r>
              <w:rPr>
                <w:rFonts w:ascii="Arial" w:cs="Arial" w:eastAsia="Arial" w:hAnsi="Arial"/>
                <w:sz w:val="15"/>
                <w:szCs w:val="15"/>
                <w:b w:val="1"/>
                <w:bCs w:val="1"/>
                <w:color w:val="1252DE"/>
              </w:rPr>
              <w:t>3,625</w:t>
            </w:r>
          </w:p>
        </w:tc>
        <w:tc>
          <w:tcPr>
            <w:tcW w:w="380" w:type="dxa"/>
            <w:vAlign w:val="bottom"/>
            <w:tcBorders>
              <w:bottom w:val="single" w:sz="8" w:color="1252DE"/>
            </w:tcBorders>
          </w:tcPr>
          <w:p>
            <w:pPr>
              <w:spacing w:after="0"/>
              <w:rPr>
                <w:sz w:val="18"/>
                <w:szCs w:val="18"/>
                <w:color w:val="auto"/>
              </w:rPr>
            </w:pPr>
          </w:p>
        </w:tc>
        <w:tc>
          <w:tcPr>
            <w:tcW w:w="800" w:type="dxa"/>
            <w:vAlign w:val="bottom"/>
            <w:tcBorders>
              <w:bottom w:val="single" w:sz="8" w:color="1252DE"/>
            </w:tcBorders>
          </w:tcPr>
          <w:p>
            <w:pPr>
              <w:jc w:val="right"/>
              <w:spacing w:after="0"/>
              <w:rPr>
                <w:sz w:val="20"/>
                <w:szCs w:val="20"/>
                <w:color w:val="auto"/>
              </w:rPr>
            </w:pPr>
            <w:r>
              <w:rPr>
                <w:rFonts w:ascii="Arial" w:cs="Arial" w:eastAsia="Arial" w:hAnsi="Arial"/>
                <w:sz w:val="15"/>
                <w:szCs w:val="15"/>
                <w:b w:val="1"/>
                <w:bCs w:val="1"/>
                <w:color w:val="1252DE"/>
              </w:rPr>
              <w:t>70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Total bonds available for sale</w:t>
            </w:r>
          </w:p>
        </w:tc>
        <w:tc>
          <w:tcPr>
            <w:tcW w:w="3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49,119</w:t>
            </w:r>
          </w:p>
        </w:tc>
        <w:tc>
          <w:tcPr>
            <w:tcW w:w="2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w:t>
            </w:r>
          </w:p>
        </w:tc>
        <w:tc>
          <w:tcPr>
            <w:tcW w:w="88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1,670</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10,805</w:t>
            </w:r>
          </w:p>
        </w:tc>
        <w:tc>
          <w:tcPr>
            <w:tcW w:w="2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w:t>
            </w:r>
          </w:p>
        </w:tc>
        <w:tc>
          <w:tcPr>
            <w:tcW w:w="90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1,815</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w:t>
            </w:r>
          </w:p>
        </w:tc>
        <w:tc>
          <w:tcPr>
            <w:tcW w:w="8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59,924</w:t>
            </w:r>
          </w:p>
        </w:tc>
        <w:tc>
          <w:tcPr>
            <w:tcW w:w="380" w:type="dxa"/>
            <w:vAlign w:val="bottom"/>
            <w:tcBorders>
              <w:bottom w:val="single" w:sz="8" w:color="1352DE"/>
            </w:tcBorders>
          </w:tcPr>
          <w:p>
            <w:pPr>
              <w:jc w:val="right"/>
              <w:ind w:right="144"/>
              <w:spacing w:after="0"/>
              <w:rPr>
                <w:sz w:val="20"/>
                <w:szCs w:val="20"/>
                <w:color w:val="auto"/>
              </w:rPr>
            </w:pPr>
            <w:r>
              <w:rPr>
                <w:rFonts w:ascii="Arial" w:cs="Arial" w:eastAsia="Arial" w:hAnsi="Arial"/>
                <w:sz w:val="15"/>
                <w:szCs w:val="15"/>
                <w:b w:val="1"/>
                <w:bCs w:val="1"/>
                <w:color w:val="1252DE"/>
              </w:rPr>
              <w:t>$</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3,485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368300</wp:posOffset>
            </wp:positionV>
            <wp:extent cx="23317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 |</w:t>
      </w:r>
      <w:r>
        <w:rPr>
          <w:rFonts w:ascii="Arial" w:cs="Arial" w:eastAsia="Arial" w:hAnsi="Arial"/>
          <w:sz w:val="13"/>
          <w:szCs w:val="13"/>
          <w:color w:val="auto"/>
        </w:rPr>
        <w:t xml:space="preserve"> </w:t>
      </w:r>
      <w:r>
        <w:rPr>
          <w:rFonts w:ascii="Arial" w:cs="Arial" w:eastAsia="Arial" w:hAnsi="Arial"/>
          <w:sz w:val="13"/>
          <w:szCs w:val="13"/>
          <w:b w:val="1"/>
          <w:bCs w:val="1"/>
          <w:color w:val="001770"/>
        </w:rPr>
        <w:t>5. Investments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Borders>
              <w:top w:val="single" w:sz="8" w:color="1352DE"/>
            </w:tcBorders>
          </w:tcPr>
          <w:p>
            <w:pPr>
              <w:spacing w:after="0"/>
              <w:rPr>
                <w:sz w:val="18"/>
                <w:szCs w:val="18"/>
                <w:color w:val="auto"/>
              </w:rPr>
            </w:pPr>
          </w:p>
        </w:tc>
        <w:tc>
          <w:tcPr>
            <w:tcW w:w="320" w:type="dxa"/>
            <w:vAlign w:val="bottom"/>
            <w:tcBorders>
              <w:top w:val="single" w:sz="8" w:color="1352DE"/>
            </w:tcBorders>
          </w:tcPr>
          <w:p>
            <w:pPr>
              <w:spacing w:after="0"/>
              <w:rPr>
                <w:sz w:val="18"/>
                <w:szCs w:val="18"/>
                <w:color w:val="auto"/>
              </w:rPr>
            </w:pPr>
          </w:p>
        </w:tc>
        <w:tc>
          <w:tcPr>
            <w:tcW w:w="2020" w:type="dxa"/>
            <w:vAlign w:val="bottom"/>
            <w:tcBorders>
              <w:top w:val="single" w:sz="8" w:color="1352DE"/>
              <w:bottom w:val="single" w:sz="8" w:color="1352DE"/>
            </w:tcBorders>
            <w:gridSpan w:val="3"/>
          </w:tcPr>
          <w:p>
            <w:pPr>
              <w:jc w:val="right"/>
              <w:ind w:right="224"/>
              <w:spacing w:after="0"/>
              <w:rPr>
                <w:sz w:val="20"/>
                <w:szCs w:val="20"/>
                <w:color w:val="auto"/>
              </w:rPr>
            </w:pPr>
            <w:r>
              <w:rPr>
                <w:rFonts w:ascii="Arial" w:cs="Arial" w:eastAsia="Arial" w:hAnsi="Arial"/>
                <w:sz w:val="15"/>
                <w:szCs w:val="15"/>
                <w:color w:val="1252DE"/>
              </w:rPr>
              <w:t>Less than 12 Months</w:t>
            </w:r>
          </w:p>
        </w:tc>
        <w:tc>
          <w:tcPr>
            <w:tcW w:w="200" w:type="dxa"/>
            <w:vAlign w:val="bottom"/>
            <w:tcBorders>
              <w:top w:val="single" w:sz="8" w:color="1352DE"/>
            </w:tcBorders>
          </w:tcPr>
          <w:p>
            <w:pPr>
              <w:spacing w:after="0"/>
              <w:rPr>
                <w:sz w:val="18"/>
                <w:szCs w:val="18"/>
                <w:color w:val="auto"/>
              </w:rPr>
            </w:pPr>
          </w:p>
        </w:tc>
        <w:tc>
          <w:tcPr>
            <w:tcW w:w="2020" w:type="dxa"/>
            <w:vAlign w:val="bottom"/>
            <w:tcBorders>
              <w:top w:val="single" w:sz="8" w:color="1352DE"/>
              <w:bottom w:val="single" w:sz="8" w:color="1352DE"/>
            </w:tcBorders>
            <w:gridSpan w:val="3"/>
          </w:tcPr>
          <w:p>
            <w:pPr>
              <w:jc w:val="right"/>
              <w:ind w:right="304"/>
              <w:spacing w:after="0"/>
              <w:rPr>
                <w:sz w:val="20"/>
                <w:szCs w:val="20"/>
                <w:color w:val="auto"/>
              </w:rPr>
            </w:pPr>
            <w:r>
              <w:rPr>
                <w:rFonts w:ascii="Arial" w:cs="Arial" w:eastAsia="Arial" w:hAnsi="Arial"/>
                <w:sz w:val="15"/>
                <w:szCs w:val="15"/>
                <w:color w:val="1252DE"/>
              </w:rPr>
              <w:t>12 Months or More</w:t>
            </w:r>
          </w:p>
        </w:tc>
        <w:tc>
          <w:tcPr>
            <w:tcW w:w="200" w:type="dxa"/>
            <w:vAlign w:val="bottom"/>
            <w:tcBorders>
              <w:top w:val="single" w:sz="8" w:color="1352DE"/>
            </w:tcBorders>
          </w:tcPr>
          <w:p>
            <w:pPr>
              <w:spacing w:after="0"/>
              <w:rPr>
                <w:sz w:val="18"/>
                <w:szCs w:val="18"/>
                <w:color w:val="auto"/>
              </w:rPr>
            </w:pPr>
          </w:p>
        </w:tc>
        <w:tc>
          <w:tcPr>
            <w:tcW w:w="820" w:type="dxa"/>
            <w:vAlign w:val="bottom"/>
            <w:tcBorders>
              <w:top w:val="single" w:sz="8" w:color="1352DE"/>
              <w:bottom w:val="single" w:sz="8" w:color="1352DE"/>
            </w:tcBorders>
          </w:tcPr>
          <w:p>
            <w:pPr>
              <w:spacing w:after="0"/>
              <w:rPr>
                <w:sz w:val="18"/>
                <w:szCs w:val="18"/>
                <w:color w:val="auto"/>
              </w:rPr>
            </w:pPr>
          </w:p>
        </w:tc>
        <w:tc>
          <w:tcPr>
            <w:tcW w:w="38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5"/>
                <w:szCs w:val="15"/>
                <w:color w:val="1252DE"/>
                <w:w w:val="95"/>
              </w:rPr>
              <w:t>Total</w:t>
            </w:r>
          </w:p>
        </w:tc>
        <w:tc>
          <w:tcPr>
            <w:tcW w:w="80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1252DE"/>
              </w:rPr>
              <w:t>Fair</w:t>
            </w:r>
          </w:p>
        </w:tc>
        <w:tc>
          <w:tcPr>
            <w:tcW w:w="28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5"/>
                <w:szCs w:val="15"/>
                <w:color w:val="1252DE"/>
              </w:rPr>
              <w:t>Gross</w:t>
            </w: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1252DE"/>
              </w:rPr>
              <w:t>Fair</w:t>
            </w:r>
          </w:p>
        </w:tc>
        <w:tc>
          <w:tcPr>
            <w:tcW w:w="26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5"/>
                <w:szCs w:val="15"/>
                <w:color w:val="1252DE"/>
              </w:rPr>
              <w:t>Gross</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1252DE"/>
              </w:rPr>
              <w:t>Fair</w:t>
            </w:r>
          </w:p>
        </w:tc>
        <w:tc>
          <w:tcPr>
            <w:tcW w:w="38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5"/>
                <w:szCs w:val="15"/>
                <w:color w:val="1252DE"/>
              </w:rPr>
              <w:t>Gross</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5"/>
                <w:szCs w:val="15"/>
                <w:color w:val="1252DE"/>
              </w:rPr>
              <w:t>Unrealized</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5"/>
                <w:szCs w:val="15"/>
                <w:color w:val="1252DE"/>
              </w:rPr>
              <w:t>Unrealized</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5"/>
                <w:szCs w:val="15"/>
                <w:color w:val="1252DE"/>
              </w:rPr>
              <w:t>Unrealized</w:t>
            </w:r>
          </w:p>
        </w:tc>
        <w:tc>
          <w:tcPr>
            <w:tcW w:w="0" w:type="dxa"/>
            <w:vAlign w:val="bottom"/>
          </w:tcPr>
          <w:p>
            <w:pPr>
              <w:spacing w:after="0"/>
              <w:rPr>
                <w:sz w:val="1"/>
                <w:szCs w:val="1"/>
                <w:color w:val="auto"/>
              </w:rPr>
            </w:pPr>
          </w:p>
        </w:tc>
      </w:tr>
      <w:tr>
        <w:trPr>
          <w:trHeight w:val="212"/>
        </w:trPr>
        <w:tc>
          <w:tcPr>
            <w:tcW w:w="4460" w:type="dxa"/>
            <w:vAlign w:val="bottom"/>
            <w:tcBorders>
              <w:bottom w:val="single" w:sz="8" w:color="1352DE"/>
            </w:tcBorders>
          </w:tcPr>
          <w:p>
            <w:pPr>
              <w:ind w:left="20"/>
              <w:spacing w:after="0"/>
              <w:rPr>
                <w:sz w:val="20"/>
                <w:szCs w:val="20"/>
                <w:color w:val="auto"/>
              </w:rPr>
            </w:pPr>
            <w:r>
              <w:rPr>
                <w:rFonts w:ascii="Arial" w:cs="Arial" w:eastAsia="Arial" w:hAnsi="Arial"/>
                <w:sz w:val="14"/>
                <w:szCs w:val="14"/>
                <w:i w:val="1"/>
                <w:iCs w:val="1"/>
                <w:color w:val="1252DE"/>
              </w:rPr>
              <w:t>(in millions)</w:t>
            </w:r>
          </w:p>
        </w:tc>
        <w:tc>
          <w:tcPr>
            <w:tcW w:w="320" w:type="dxa"/>
            <w:vAlign w:val="bottom"/>
            <w:tcBorders>
              <w:bottom w:val="single" w:sz="8" w:color="1352DE"/>
            </w:tcBorders>
          </w:tcPr>
          <w:p>
            <w:pPr>
              <w:spacing w:after="0"/>
              <w:rPr>
                <w:sz w:val="18"/>
                <w:szCs w:val="18"/>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Value</w:t>
            </w:r>
          </w:p>
        </w:tc>
        <w:tc>
          <w:tcPr>
            <w:tcW w:w="280" w:type="dxa"/>
            <w:vAlign w:val="bottom"/>
            <w:tcBorders>
              <w:bottom w:val="single" w:sz="8" w:color="1352DE"/>
            </w:tcBorders>
          </w:tcPr>
          <w:p>
            <w:pPr>
              <w:spacing w:after="0"/>
              <w:rPr>
                <w:sz w:val="18"/>
                <w:szCs w:val="18"/>
                <w:color w:val="auto"/>
              </w:rPr>
            </w:pP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Losses</w:t>
            </w:r>
          </w:p>
        </w:tc>
        <w:tc>
          <w:tcPr>
            <w:tcW w:w="200" w:type="dxa"/>
            <w:vAlign w:val="bottom"/>
            <w:tcBorders>
              <w:bottom w:val="single" w:sz="8" w:color="1352DE"/>
            </w:tcBorders>
          </w:tcPr>
          <w:p>
            <w:pPr>
              <w:spacing w:after="0"/>
              <w:rPr>
                <w:sz w:val="18"/>
                <w:szCs w:val="18"/>
                <w:color w:val="auto"/>
              </w:rPr>
            </w:pP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Value</w:t>
            </w:r>
          </w:p>
        </w:tc>
        <w:tc>
          <w:tcPr>
            <w:tcW w:w="260" w:type="dxa"/>
            <w:vAlign w:val="bottom"/>
            <w:tcBorders>
              <w:bottom w:val="single" w:sz="8" w:color="1352DE"/>
            </w:tcBorders>
          </w:tcPr>
          <w:p>
            <w:pPr>
              <w:spacing w:after="0"/>
              <w:rPr>
                <w:sz w:val="18"/>
                <w:szCs w:val="18"/>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Losses</w:t>
            </w:r>
          </w:p>
        </w:tc>
        <w:tc>
          <w:tcPr>
            <w:tcW w:w="20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Value</w:t>
            </w:r>
          </w:p>
        </w:tc>
        <w:tc>
          <w:tcPr>
            <w:tcW w:w="38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Losses</w:t>
            </w:r>
          </w:p>
        </w:tc>
        <w:tc>
          <w:tcPr>
            <w:tcW w:w="0" w:type="dxa"/>
            <w:vAlign w:val="bottom"/>
          </w:tcPr>
          <w:p>
            <w:pPr>
              <w:spacing w:after="0"/>
              <w:rPr>
                <w:sz w:val="1"/>
                <w:szCs w:val="1"/>
                <w:color w:val="auto"/>
              </w:rPr>
            </w:pPr>
          </w:p>
        </w:tc>
      </w:tr>
      <w:tr>
        <w:trPr>
          <w:trHeight w:val="194"/>
        </w:trPr>
        <w:tc>
          <w:tcPr>
            <w:tcW w:w="4460" w:type="dxa"/>
            <w:vAlign w:val="bottom"/>
          </w:tcPr>
          <w:p>
            <w:pPr>
              <w:ind w:left="20"/>
              <w:spacing w:after="0"/>
              <w:rPr>
                <w:sz w:val="20"/>
                <w:szCs w:val="20"/>
                <w:color w:val="auto"/>
              </w:rPr>
            </w:pPr>
            <w:r>
              <w:rPr>
                <w:rFonts w:ascii="Arial" w:cs="Arial" w:eastAsia="Arial" w:hAnsi="Arial"/>
                <w:sz w:val="15"/>
                <w:szCs w:val="15"/>
                <w:color w:val="1252DE"/>
              </w:rPr>
              <w:t>December 31, 2025</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5"/>
                <w:szCs w:val="15"/>
                <w:b w:val="1"/>
                <w:bCs w:val="1"/>
                <w:color w:val="1252DE"/>
              </w:rPr>
              <w:t>Bonds available for sale:</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60" w:type="dxa"/>
            <w:vAlign w:val="bottom"/>
          </w:tcPr>
          <w:p>
            <w:pPr>
              <w:ind w:left="140"/>
              <w:spacing w:after="0"/>
              <w:rPr>
                <w:sz w:val="20"/>
                <w:szCs w:val="20"/>
                <w:color w:val="auto"/>
              </w:rPr>
            </w:pPr>
            <w:r>
              <w:rPr>
                <w:rFonts w:ascii="Arial" w:cs="Arial" w:eastAsia="Arial" w:hAnsi="Arial"/>
                <w:sz w:val="15"/>
                <w:szCs w:val="15"/>
                <w:color w:val="auto"/>
              </w:rPr>
              <w:t>U.S. government and government sponsored entities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167</w:t>
            </w:r>
          </w:p>
        </w:tc>
        <w:tc>
          <w:tcPr>
            <w:tcW w:w="2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322</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489</w:t>
            </w:r>
          </w:p>
        </w:tc>
        <w:tc>
          <w:tcPr>
            <w:tcW w:w="3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Obligations of states, municipalities and political subdivisions</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232</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515</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45</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747</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Non-U.S. governments</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1,524</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1,347</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336</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2,871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Corporate debt</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6,031</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125</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8,165</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927</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14,196</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1,052</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RMBS</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769</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1,764</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241</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2,533</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03"/>
        </w:trPr>
        <w:tc>
          <w:tcPr>
            <w:tcW w:w="4460" w:type="dxa"/>
            <w:vAlign w:val="bottom"/>
          </w:tcPr>
          <w:p>
            <w:pPr>
              <w:ind w:left="140"/>
              <w:spacing w:after="0"/>
              <w:rPr>
                <w:sz w:val="20"/>
                <w:szCs w:val="20"/>
                <w:color w:val="auto"/>
              </w:rPr>
            </w:pPr>
            <w:r>
              <w:rPr>
                <w:rFonts w:ascii="Arial" w:cs="Arial" w:eastAsia="Arial" w:hAnsi="Arial"/>
                <w:sz w:val="15"/>
                <w:szCs w:val="15"/>
                <w:color w:val="auto"/>
              </w:rPr>
              <w:t>CMBS</w:t>
            </w:r>
          </w:p>
        </w:tc>
        <w:tc>
          <w:tcPr>
            <w:tcW w:w="3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580</w:t>
            </w:r>
          </w:p>
        </w:tc>
        <w:tc>
          <w:tcPr>
            <w:tcW w:w="2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523</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30</w:t>
            </w:r>
          </w:p>
        </w:tc>
        <w:tc>
          <w:tcPr>
            <w:tcW w:w="2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1,103</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1252DE"/>
            </w:tcBorders>
          </w:tcPr>
          <w:p>
            <w:pPr>
              <w:ind w:left="140"/>
              <w:spacing w:after="0"/>
              <w:rPr>
                <w:sz w:val="20"/>
                <w:szCs w:val="20"/>
                <w:color w:val="auto"/>
              </w:rPr>
            </w:pPr>
            <w:r>
              <w:rPr>
                <w:rFonts w:ascii="Arial" w:cs="Arial" w:eastAsia="Arial" w:hAnsi="Arial"/>
                <w:sz w:val="15"/>
                <w:szCs w:val="15"/>
                <w:color w:val="auto"/>
              </w:rPr>
              <w:t>CLO/ABS</w:t>
            </w:r>
          </w:p>
        </w:tc>
        <w:tc>
          <w:tcPr>
            <w:tcW w:w="320" w:type="dxa"/>
            <w:vAlign w:val="bottom"/>
            <w:tcBorders>
              <w:bottom w:val="single" w:sz="8" w:color="1252DE"/>
            </w:tcBorders>
          </w:tcPr>
          <w:p>
            <w:pPr>
              <w:spacing w:after="0"/>
              <w:rPr>
                <w:sz w:val="17"/>
                <w:szCs w:val="17"/>
                <w:color w:val="auto"/>
              </w:rPr>
            </w:pPr>
          </w:p>
        </w:tc>
        <w:tc>
          <w:tcPr>
            <w:tcW w:w="860" w:type="dxa"/>
            <w:vAlign w:val="bottom"/>
            <w:tcBorders>
              <w:bottom w:val="single" w:sz="8" w:color="1252DE"/>
            </w:tcBorders>
          </w:tcPr>
          <w:p>
            <w:pPr>
              <w:jc w:val="right"/>
              <w:ind w:right="44"/>
              <w:spacing w:after="0"/>
              <w:rPr>
                <w:sz w:val="20"/>
                <w:szCs w:val="20"/>
                <w:color w:val="auto"/>
              </w:rPr>
            </w:pPr>
            <w:r>
              <w:rPr>
                <w:rFonts w:ascii="Arial" w:cs="Arial" w:eastAsia="Arial" w:hAnsi="Arial"/>
                <w:sz w:val="15"/>
                <w:szCs w:val="15"/>
                <w:color w:val="auto"/>
              </w:rPr>
              <w:t>883</w:t>
            </w:r>
          </w:p>
        </w:tc>
        <w:tc>
          <w:tcPr>
            <w:tcW w:w="280" w:type="dxa"/>
            <w:vAlign w:val="bottom"/>
            <w:tcBorders>
              <w:bottom w:val="single" w:sz="8" w:color="1252DE"/>
            </w:tcBorders>
          </w:tcPr>
          <w:p>
            <w:pPr>
              <w:spacing w:after="0"/>
              <w:rPr>
                <w:sz w:val="17"/>
                <w:szCs w:val="17"/>
                <w:color w:val="auto"/>
              </w:rPr>
            </w:pPr>
          </w:p>
        </w:tc>
        <w:tc>
          <w:tcPr>
            <w:tcW w:w="880" w:type="dxa"/>
            <w:vAlign w:val="bottom"/>
            <w:tcBorders>
              <w:bottom w:val="single" w:sz="8" w:color="1252DE"/>
            </w:tcBorders>
          </w:tcPr>
          <w:p>
            <w:pPr>
              <w:jc w:val="right"/>
              <w:ind w:right="4"/>
              <w:spacing w:after="0"/>
              <w:rPr>
                <w:sz w:val="20"/>
                <w:szCs w:val="20"/>
                <w:color w:val="auto"/>
              </w:rPr>
            </w:pPr>
            <w:r>
              <w:rPr>
                <w:rFonts w:ascii="Arial" w:cs="Arial" w:eastAsia="Arial" w:hAnsi="Arial"/>
                <w:sz w:val="15"/>
                <w:szCs w:val="15"/>
                <w:color w:val="auto"/>
              </w:rPr>
              <w:t>5</w:t>
            </w:r>
          </w:p>
        </w:tc>
        <w:tc>
          <w:tcPr>
            <w:tcW w:w="200" w:type="dxa"/>
            <w:vAlign w:val="bottom"/>
            <w:tcBorders>
              <w:bottom w:val="single" w:sz="8" w:color="1252DE"/>
            </w:tcBorders>
          </w:tcPr>
          <w:p>
            <w:pPr>
              <w:spacing w:after="0"/>
              <w:rPr>
                <w:sz w:val="17"/>
                <w:szCs w:val="17"/>
                <w:color w:val="auto"/>
              </w:rPr>
            </w:pPr>
          </w:p>
        </w:tc>
        <w:tc>
          <w:tcPr>
            <w:tcW w:w="860" w:type="dxa"/>
            <w:vAlign w:val="bottom"/>
            <w:tcBorders>
              <w:bottom w:val="single" w:sz="8" w:color="1252DE"/>
            </w:tcBorders>
          </w:tcPr>
          <w:p>
            <w:pPr>
              <w:jc w:val="right"/>
              <w:ind w:right="44"/>
              <w:spacing w:after="0"/>
              <w:rPr>
                <w:sz w:val="20"/>
                <w:szCs w:val="20"/>
                <w:color w:val="auto"/>
              </w:rPr>
            </w:pPr>
            <w:r>
              <w:rPr>
                <w:rFonts w:ascii="Arial" w:cs="Arial" w:eastAsia="Arial" w:hAnsi="Arial"/>
                <w:sz w:val="15"/>
                <w:szCs w:val="15"/>
                <w:color w:val="auto"/>
              </w:rPr>
              <w:t>232</w:t>
            </w:r>
          </w:p>
        </w:tc>
        <w:tc>
          <w:tcPr>
            <w:tcW w:w="260" w:type="dxa"/>
            <w:vAlign w:val="bottom"/>
            <w:tcBorders>
              <w:bottom w:val="single" w:sz="8" w:color="1252DE"/>
            </w:tcBorders>
          </w:tcPr>
          <w:p>
            <w:pPr>
              <w:spacing w:after="0"/>
              <w:rPr>
                <w:sz w:val="17"/>
                <w:szCs w:val="17"/>
                <w:color w:val="auto"/>
              </w:rPr>
            </w:pPr>
          </w:p>
        </w:tc>
        <w:tc>
          <w:tcPr>
            <w:tcW w:w="900" w:type="dxa"/>
            <w:vAlign w:val="bottom"/>
            <w:tcBorders>
              <w:bottom w:val="single" w:sz="8" w:color="1252DE"/>
            </w:tcBorders>
          </w:tcPr>
          <w:p>
            <w:pPr>
              <w:jc w:val="right"/>
              <w:ind w:right="4"/>
              <w:spacing w:after="0"/>
              <w:rPr>
                <w:sz w:val="20"/>
                <w:szCs w:val="20"/>
                <w:color w:val="auto"/>
              </w:rPr>
            </w:pPr>
            <w:r>
              <w:rPr>
                <w:rFonts w:ascii="Arial" w:cs="Arial" w:eastAsia="Arial" w:hAnsi="Arial"/>
                <w:sz w:val="15"/>
                <w:szCs w:val="15"/>
                <w:color w:val="auto"/>
              </w:rPr>
              <w:t>18</w:t>
            </w:r>
          </w:p>
        </w:tc>
        <w:tc>
          <w:tcPr>
            <w:tcW w:w="200" w:type="dxa"/>
            <w:vAlign w:val="bottom"/>
            <w:tcBorders>
              <w:bottom w:val="single" w:sz="8" w:color="1252DE"/>
            </w:tcBorders>
          </w:tcPr>
          <w:p>
            <w:pPr>
              <w:spacing w:after="0"/>
              <w:rPr>
                <w:sz w:val="17"/>
                <w:szCs w:val="17"/>
                <w:color w:val="auto"/>
              </w:rPr>
            </w:pPr>
          </w:p>
        </w:tc>
        <w:tc>
          <w:tcPr>
            <w:tcW w:w="820" w:type="dxa"/>
            <w:vAlign w:val="bottom"/>
            <w:tcBorders>
              <w:bottom w:val="single" w:sz="8" w:color="1252DE"/>
            </w:tcBorders>
          </w:tcPr>
          <w:p>
            <w:pPr>
              <w:jc w:val="right"/>
              <w:ind w:right="4"/>
              <w:spacing w:after="0"/>
              <w:rPr>
                <w:sz w:val="20"/>
                <w:szCs w:val="20"/>
                <w:color w:val="auto"/>
              </w:rPr>
            </w:pPr>
            <w:r>
              <w:rPr>
                <w:rFonts w:ascii="Arial" w:cs="Arial" w:eastAsia="Arial" w:hAnsi="Arial"/>
                <w:sz w:val="15"/>
                <w:szCs w:val="15"/>
                <w:color w:val="auto"/>
              </w:rPr>
              <w:t>1,115</w:t>
            </w:r>
          </w:p>
        </w:tc>
        <w:tc>
          <w:tcPr>
            <w:tcW w:w="380" w:type="dxa"/>
            <w:vAlign w:val="bottom"/>
            <w:tcBorders>
              <w:bottom w:val="single" w:sz="8" w:color="1252DE"/>
            </w:tcBorders>
          </w:tcPr>
          <w:p>
            <w:pPr>
              <w:spacing w:after="0"/>
              <w:rPr>
                <w:sz w:val="17"/>
                <w:szCs w:val="17"/>
                <w:color w:val="auto"/>
              </w:rPr>
            </w:pPr>
          </w:p>
        </w:tc>
        <w:tc>
          <w:tcPr>
            <w:tcW w:w="800" w:type="dxa"/>
            <w:vAlign w:val="bottom"/>
            <w:tcBorders>
              <w:bottom w:val="single" w:sz="8" w:color="1252DE"/>
            </w:tcBorders>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9"/>
        </w:trPr>
        <w:tc>
          <w:tcPr>
            <w:tcW w:w="446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Total bonds available for sale</w:t>
            </w:r>
          </w:p>
        </w:tc>
        <w:tc>
          <w:tcPr>
            <w:tcW w:w="3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color w:val="auto"/>
              </w:rPr>
              <w:t>10,186</w:t>
            </w:r>
          </w:p>
        </w:tc>
        <w:tc>
          <w:tcPr>
            <w:tcW w:w="2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193</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color w:val="auto"/>
              </w:rPr>
              <w:t>12,868</w:t>
            </w:r>
          </w:p>
        </w:tc>
        <w:tc>
          <w:tcPr>
            <w:tcW w:w="2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1,675</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23,054</w:t>
            </w:r>
          </w:p>
        </w:tc>
        <w:tc>
          <w:tcPr>
            <w:tcW w:w="380" w:type="dxa"/>
            <w:vAlign w:val="bottom"/>
            <w:tcBorders>
              <w:bottom w:val="single" w:sz="8" w:color="1352DE"/>
            </w:tcBorders>
          </w:tcPr>
          <w:p>
            <w:pPr>
              <w:jc w:val="right"/>
              <w:ind w:right="14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1,868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September 30, 2026, we held 17,099 individual fixed maturity securities that were in an unrealized loss position and for which no allowance for credit losses has been recorded (including 4,267 individual fixed maturity securities that were in a continuous unrealized loss position for 12 months or more). At December 31, 2025, we held 7,526 individual fixed maturity securities that were in an unrealized loss position and for which no allowance for credit losses has been recorded (including 4,065 individual fixed maturity securities that were in a continuous unrealized loss position for 12 months or more). We did not recognize the unrealized losses in earnings on these fixed maturity securities at September 30, 2026 because it was determined that such losses were due to non-credit factors. Additionally, we neither intend to sell the securities nor do we believe that it is more likely than not that we will be required to sell these securities before recovery of their amortized cost basis. For fixed maturity securities with significant declines, we performed fundamental credit analyses on a security-by-security basis, which included consideration of credit enhancements, liquidity position, expected defaults, industry and sector analysis, forecasts and available market data.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Contractual Maturities of Fixed Maturity Securities Available for Sale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amortized cost and fair value of fixed maturity securities available for sale by contractual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234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88" w:lineRule="exact"/>
        <w:rPr>
          <w:sz w:val="20"/>
          <w:szCs w:val="20"/>
          <w:color w:val="auto"/>
        </w:rPr>
      </w:pPr>
    </w:p>
    <w:p>
      <w:pPr>
        <w:ind w:left="8580" w:right="500" w:hanging="8994"/>
        <w:spacing w:after="0" w:line="251" w:lineRule="auto"/>
        <w:tabs>
          <w:tab w:leader="none" w:pos="8560" w:val="left"/>
        </w:tabs>
        <w:rPr>
          <w:sz w:val="20"/>
          <w:szCs w:val="20"/>
          <w:color w:val="auto"/>
        </w:rPr>
      </w:pPr>
      <w:r>
        <w:rPr>
          <w:rFonts w:ascii="Arial" w:cs="Arial" w:eastAsia="Arial" w:hAnsi="Arial"/>
          <w:sz w:val="16"/>
          <w:szCs w:val="16"/>
          <w:b w:val="1"/>
          <w:bCs w:val="1"/>
          <w:color w:val="1252DE"/>
        </w:rPr>
        <w:t>September 30, 2026</w:t>
      </w:r>
      <w:r>
        <w:rPr>
          <w:sz w:val="20"/>
          <w:szCs w:val="20"/>
          <w:color w:val="auto"/>
        </w:rPr>
        <w:tab/>
      </w:r>
      <w:r>
        <w:rPr>
          <w:rFonts w:ascii="Arial" w:cs="Arial" w:eastAsia="Arial" w:hAnsi="Arial"/>
          <w:sz w:val="16"/>
          <w:szCs w:val="16"/>
          <w:color w:val="1252DE"/>
        </w:rPr>
        <w:t>Total Fixed Maturity Securities Available for Sale</w:t>
      </w:r>
    </w:p>
    <w:tbl>
      <w:tblPr>
        <w:tblLayout w:type="fixed"/>
        <w:tblInd w:w="0" w:type="dxa"/>
        <w:tblCellMar>
          <w:top w:w="0" w:type="dxa"/>
          <w:left w:w="0" w:type="dxa"/>
          <w:bottom w:w="0" w:type="dxa"/>
          <w:right w:w="0" w:type="dxa"/>
        </w:tblCellMar>
      </w:tblPr>
      <w:tr>
        <w:trPr>
          <w:trHeight w:val="149"/>
        </w:trPr>
        <w:tc>
          <w:tcPr>
            <w:tcW w:w="8080" w:type="dxa"/>
            <w:vAlign w:val="bottom"/>
          </w:tcPr>
          <w:p>
            <w:pPr>
              <w:spacing w:after="0"/>
              <w:rPr>
                <w:sz w:val="12"/>
                <w:szCs w:val="12"/>
                <w:color w:val="auto"/>
              </w:rPr>
            </w:pPr>
          </w:p>
        </w:tc>
        <w:tc>
          <w:tcPr>
            <w:tcW w:w="220" w:type="dxa"/>
            <w:vAlign w:val="bottom"/>
            <w:tcBorders>
              <w:top w:val="single" w:sz="8" w:color="1352DE"/>
            </w:tcBorders>
          </w:tcPr>
          <w:p>
            <w:pPr>
              <w:spacing w:after="0"/>
              <w:rPr>
                <w:sz w:val="12"/>
                <w:szCs w:val="12"/>
                <w:color w:val="auto"/>
              </w:rPr>
            </w:pPr>
          </w:p>
        </w:tc>
        <w:tc>
          <w:tcPr>
            <w:tcW w:w="1440" w:type="dxa"/>
            <w:vAlign w:val="bottom"/>
            <w:tcBorders>
              <w:top w:val="single" w:sz="8" w:color="1352DE"/>
            </w:tcBorders>
          </w:tcPr>
          <w:p>
            <w:pPr>
              <w:jc w:val="right"/>
              <w:ind w:right="39"/>
              <w:spacing w:after="0" w:line="149" w:lineRule="exact"/>
              <w:rPr>
                <w:sz w:val="20"/>
                <w:szCs w:val="20"/>
                <w:color w:val="auto"/>
              </w:rPr>
            </w:pPr>
            <w:r>
              <w:rPr>
                <w:rFonts w:ascii="Arial" w:cs="Arial" w:eastAsia="Arial" w:hAnsi="Arial"/>
                <w:sz w:val="16"/>
                <w:szCs w:val="16"/>
                <w:color w:val="1251DE"/>
              </w:rPr>
              <w:t>Amortized Cost,</w:t>
            </w:r>
          </w:p>
        </w:tc>
        <w:tc>
          <w:tcPr>
            <w:tcW w:w="480" w:type="dxa"/>
            <w:vAlign w:val="bottom"/>
            <w:tcBorders>
              <w:top w:val="single" w:sz="8" w:color="1352DE"/>
            </w:tcBorders>
          </w:tcPr>
          <w:p>
            <w:pPr>
              <w:spacing w:after="0"/>
              <w:rPr>
                <w:sz w:val="12"/>
                <w:szCs w:val="12"/>
                <w:color w:val="auto"/>
              </w:rPr>
            </w:pPr>
          </w:p>
        </w:tc>
        <w:tc>
          <w:tcPr>
            <w:tcW w:w="1000" w:type="dxa"/>
            <w:vAlign w:val="bottom"/>
            <w:tcBorders>
              <w:top w:val="single" w:sz="8" w:color="1352DE"/>
            </w:tcBorders>
            <w:vMerge w:val="restart"/>
          </w:tcPr>
          <w:p>
            <w:pPr>
              <w:jc w:val="right"/>
              <w:spacing w:after="0"/>
              <w:rPr>
                <w:sz w:val="20"/>
                <w:szCs w:val="20"/>
                <w:color w:val="auto"/>
              </w:rPr>
            </w:pPr>
            <w:r>
              <w:rPr>
                <w:rFonts w:ascii="Arial" w:cs="Arial" w:eastAsia="Arial" w:hAnsi="Arial"/>
                <w:sz w:val="16"/>
                <w:szCs w:val="16"/>
                <w:color w:val="1252DE"/>
              </w:rPr>
              <w:t>Fair Value</w:t>
            </w:r>
          </w:p>
        </w:tc>
        <w:tc>
          <w:tcPr>
            <w:tcW w:w="0" w:type="dxa"/>
            <w:vAlign w:val="bottom"/>
          </w:tcPr>
          <w:p>
            <w:pPr>
              <w:spacing w:after="0"/>
              <w:rPr>
                <w:sz w:val="1"/>
                <w:szCs w:val="1"/>
                <w:color w:val="auto"/>
              </w:rPr>
            </w:pPr>
          </w:p>
        </w:tc>
      </w:tr>
      <w:tr>
        <w:trPr>
          <w:trHeight w:val="215"/>
        </w:trPr>
        <w:tc>
          <w:tcPr>
            <w:tcW w:w="80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20" w:type="dxa"/>
            <w:vAlign w:val="bottom"/>
            <w:tcBorders>
              <w:bottom w:val="single" w:sz="8" w:color="1352DE"/>
            </w:tcBorders>
          </w:tcPr>
          <w:p>
            <w:pPr>
              <w:spacing w:after="0"/>
              <w:rPr>
                <w:sz w:val="18"/>
                <w:szCs w:val="18"/>
                <w:color w:val="auto"/>
              </w:rPr>
            </w:pPr>
          </w:p>
        </w:tc>
        <w:tc>
          <w:tcPr>
            <w:tcW w:w="144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color w:val="1251DE"/>
              </w:rPr>
              <w:t>Net of Allowance</w:t>
            </w:r>
          </w:p>
        </w:tc>
        <w:tc>
          <w:tcPr>
            <w:tcW w:w="480" w:type="dxa"/>
            <w:vAlign w:val="bottom"/>
            <w:tcBorders>
              <w:bottom w:val="single" w:sz="8" w:color="1352DE"/>
            </w:tcBorders>
          </w:tcPr>
          <w:p>
            <w:pPr>
              <w:spacing w:after="0"/>
              <w:rPr>
                <w:sz w:val="18"/>
                <w:szCs w:val="18"/>
                <w:color w:val="auto"/>
              </w:rPr>
            </w:pPr>
          </w:p>
        </w:tc>
        <w:tc>
          <w:tcPr>
            <w:tcW w:w="1000" w:type="dxa"/>
            <w:vAlign w:val="bottom"/>
            <w:tcBorders>
              <w:bottom w:val="single" w:sz="8" w:color="1352DE"/>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color w:val="auto"/>
              </w:rPr>
              <w:t>Due in one year or less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1252DE"/>
                <w:w w:val="89"/>
              </w:rPr>
              <w:t>$</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1252DE"/>
              </w:rPr>
              <w:t>5,400</w:t>
            </w:r>
          </w:p>
        </w:tc>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1252DE"/>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1252DE"/>
              </w:rPr>
              <w:t>5,375</w:t>
            </w: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22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1252DE"/>
              </w:rPr>
              <w:t>23,132</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1252DE"/>
              </w:rPr>
              <w:t>22,615</w:t>
            </w: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color w:val="auto"/>
              </w:rPr>
              <w:t>Due after five years through ten years</w:t>
            </w:r>
          </w:p>
        </w:tc>
        <w:tc>
          <w:tcPr>
            <w:tcW w:w="22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1252DE"/>
              </w:rPr>
              <w:t>16,634</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1252DE"/>
              </w:rPr>
              <w:t>15,854</w:t>
            </w: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color w:val="auto"/>
              </w:rPr>
              <w:t>Due after ten years</w:t>
            </w:r>
          </w:p>
        </w:tc>
        <w:tc>
          <w:tcPr>
            <w:tcW w:w="22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1252DE"/>
              </w:rPr>
              <w:t>7,829</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1252DE"/>
              </w:rPr>
              <w:t>6,565</w:t>
            </w:r>
          </w:p>
        </w:tc>
        <w:tc>
          <w:tcPr>
            <w:tcW w:w="0" w:type="dxa"/>
            <w:vAlign w:val="bottom"/>
          </w:tcPr>
          <w:p>
            <w:pPr>
              <w:spacing w:after="0"/>
              <w:rPr>
                <w:sz w:val="1"/>
                <w:szCs w:val="1"/>
                <w:color w:val="auto"/>
              </w:rPr>
            </w:pPr>
          </w:p>
        </w:tc>
      </w:tr>
      <w:tr>
        <w:trPr>
          <w:trHeight w:val="217"/>
        </w:trPr>
        <w:tc>
          <w:tcPr>
            <w:tcW w:w="8080" w:type="dxa"/>
            <w:vAlign w:val="bottom"/>
            <w:tcBorders>
              <w:bottom w:val="single" w:sz="8" w:color="1352DE"/>
            </w:tcBorders>
          </w:tcPr>
          <w:p>
            <w:pPr>
              <w:ind w:left="20"/>
              <w:spacing w:after="0"/>
              <w:rPr>
                <w:sz w:val="20"/>
                <w:szCs w:val="20"/>
                <w:color w:val="auto"/>
              </w:rPr>
            </w:pPr>
            <w:r>
              <w:rPr>
                <w:rFonts w:ascii="Arial" w:cs="Arial" w:eastAsia="Arial" w:hAnsi="Arial"/>
                <w:sz w:val="16"/>
                <w:szCs w:val="16"/>
                <w:color w:val="auto"/>
              </w:rPr>
              <w:t>Mortgage-backed, asset-backed and collateralized</w:t>
            </w:r>
          </w:p>
        </w:tc>
        <w:tc>
          <w:tcPr>
            <w:tcW w:w="220" w:type="dxa"/>
            <w:vAlign w:val="bottom"/>
            <w:tcBorders>
              <w:bottom w:val="single" w:sz="8" w:color="1352DE"/>
            </w:tcBorders>
          </w:tcPr>
          <w:p>
            <w:pPr>
              <w:spacing w:after="0"/>
              <w:rPr>
                <w:sz w:val="18"/>
                <w:szCs w:val="18"/>
                <w:color w:val="auto"/>
              </w:rPr>
            </w:pPr>
          </w:p>
        </w:tc>
        <w:tc>
          <w:tcPr>
            <w:tcW w:w="144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b w:val="1"/>
                <w:bCs w:val="1"/>
                <w:color w:val="1252DE"/>
              </w:rPr>
              <w:t>21,839</w:t>
            </w:r>
          </w:p>
        </w:tc>
        <w:tc>
          <w:tcPr>
            <w:tcW w:w="480" w:type="dxa"/>
            <w:vAlign w:val="bottom"/>
            <w:tcBorders>
              <w:bottom w:val="single" w:sz="8" w:color="1352DE"/>
            </w:tcBorders>
          </w:tcPr>
          <w:p>
            <w:pPr>
              <w:spacing w:after="0"/>
              <w:rPr>
                <w:sz w:val="18"/>
                <w:szCs w:val="18"/>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21,233</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1352DE"/>
            </w:tcBorders>
          </w:tcPr>
          <w:p>
            <w:pPr>
              <w:ind w:left="20"/>
              <w:spacing w:after="0"/>
              <w:rPr>
                <w:sz w:val="20"/>
                <w:szCs w:val="20"/>
                <w:color w:val="auto"/>
              </w:rPr>
            </w:pPr>
            <w:r>
              <w:rPr>
                <w:rFonts w:ascii="Arial" w:cs="Arial" w:eastAsia="Arial" w:hAnsi="Arial"/>
                <w:sz w:val="16"/>
                <w:szCs w:val="16"/>
                <w:b w:val="1"/>
                <w:bCs w:val="1"/>
                <w:color w:val="1252DE"/>
              </w:rPr>
              <w:t>Total</w:t>
            </w:r>
          </w:p>
        </w:tc>
        <w:tc>
          <w:tcPr>
            <w:tcW w:w="22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w w:val="89"/>
              </w:rPr>
              <w:t>$</w:t>
            </w:r>
          </w:p>
        </w:tc>
        <w:tc>
          <w:tcPr>
            <w:tcW w:w="144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b w:val="1"/>
                <w:bCs w:val="1"/>
                <w:color w:val="1252DE"/>
              </w:rPr>
              <w:t>74,834</w:t>
            </w:r>
          </w:p>
        </w:tc>
        <w:tc>
          <w:tcPr>
            <w:tcW w:w="480" w:type="dxa"/>
            <w:vAlign w:val="bottom"/>
            <w:tcBorders>
              <w:bottom w:val="single" w:sz="8" w:color="1352DE"/>
            </w:tcBorders>
          </w:tcPr>
          <w:p>
            <w:pPr>
              <w:jc w:val="right"/>
              <w:ind w:right="199"/>
              <w:spacing w:after="0"/>
              <w:rPr>
                <w:sz w:val="20"/>
                <w:szCs w:val="20"/>
                <w:color w:val="auto"/>
              </w:rPr>
            </w:pPr>
            <w:r>
              <w:rPr>
                <w:rFonts w:ascii="Arial" w:cs="Arial" w:eastAsia="Arial" w:hAnsi="Arial"/>
                <w:sz w:val="16"/>
                <w:szCs w:val="16"/>
                <w:b w:val="1"/>
                <w:bCs w:val="1"/>
                <w:color w:val="1252DE"/>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71,642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Actual maturities may differ from contractual maturities because certain borrowers have the right to call or prepay certain obligations with or without call or prepayment penalties.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OTHER SECURITIES MEASURED AT FAIR VALUE</w:t>
      </w:r>
    </w:p>
    <w:p>
      <w:pPr>
        <w:spacing w:after="0" w:line="239" w:lineRule="exact"/>
        <w:rPr>
          <w:sz w:val="20"/>
          <w:szCs w:val="20"/>
          <w:color w:val="auto"/>
        </w:rPr>
      </w:pPr>
    </w:p>
    <w:p>
      <w:pPr>
        <w:ind w:right="80"/>
        <w:spacing w:after="0" w:line="349" w:lineRule="auto"/>
        <w:rPr>
          <w:sz w:val="20"/>
          <w:szCs w:val="20"/>
          <w:color w:val="auto"/>
        </w:rPr>
      </w:pPr>
      <w:r>
        <w:rPr>
          <w:rFonts w:ascii="Arial" w:cs="Arial" w:eastAsia="Arial" w:hAnsi="Arial"/>
          <w:sz w:val="16"/>
          <w:szCs w:val="16"/>
          <w:b w:val="1"/>
          <w:bCs w:val="1"/>
          <w:color w:val="1352DE"/>
        </w:rPr>
        <w:t>The following table presents the fair value of fixed maturity securities measured at fair value based on our election of the fair value option, which are reported in the other bond securities caption in the financial statements, and equity securities measured at fair value: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Borders>
              <w:top w:val="single" w:sz="8" w:color="1352DE"/>
            </w:tcBorders>
          </w:tcPr>
          <w:p>
            <w:pPr>
              <w:spacing w:after="0"/>
              <w:rPr>
                <w:sz w:val="18"/>
                <w:szCs w:val="18"/>
                <w:color w:val="auto"/>
              </w:rPr>
            </w:pPr>
          </w:p>
        </w:tc>
        <w:tc>
          <w:tcPr>
            <w:tcW w:w="780" w:type="dxa"/>
            <w:vAlign w:val="bottom"/>
            <w:tcBorders>
              <w:top w:val="single" w:sz="8" w:color="1352DE"/>
            </w:tcBorders>
          </w:tcPr>
          <w:p>
            <w:pPr>
              <w:spacing w:after="0"/>
              <w:rPr>
                <w:sz w:val="18"/>
                <w:szCs w:val="18"/>
                <w:color w:val="auto"/>
              </w:rPr>
            </w:pPr>
          </w:p>
        </w:tc>
        <w:tc>
          <w:tcPr>
            <w:tcW w:w="2360" w:type="dxa"/>
            <w:vAlign w:val="bottom"/>
            <w:tcBorders>
              <w:top w:val="single" w:sz="8" w:color="1352DE"/>
              <w:bottom w:val="single" w:sz="8" w:color="1252DE"/>
            </w:tcBorders>
            <w:gridSpan w:val="2"/>
          </w:tcPr>
          <w:p>
            <w:pPr>
              <w:jc w:val="right"/>
              <w:ind w:right="428"/>
              <w:spacing w:after="0"/>
              <w:rPr>
                <w:sz w:val="20"/>
                <w:szCs w:val="20"/>
                <w:color w:val="auto"/>
              </w:rPr>
            </w:pPr>
            <w:r>
              <w:rPr>
                <w:rFonts w:ascii="Arial" w:cs="Arial" w:eastAsia="Arial" w:hAnsi="Arial"/>
                <w:sz w:val="14"/>
                <w:szCs w:val="14"/>
                <w:b w:val="1"/>
                <w:bCs w:val="1"/>
                <w:color w:val="1252DE"/>
              </w:rPr>
              <w:t>September 30, 2026</w:t>
            </w:r>
          </w:p>
        </w:tc>
        <w:tc>
          <w:tcPr>
            <w:tcW w:w="400" w:type="dxa"/>
            <w:vAlign w:val="bottom"/>
            <w:tcBorders>
              <w:top w:val="single" w:sz="8" w:color="1352DE"/>
            </w:tcBorders>
          </w:tcPr>
          <w:p>
            <w:pPr>
              <w:spacing w:after="0"/>
              <w:rPr>
                <w:sz w:val="18"/>
                <w:szCs w:val="18"/>
                <w:color w:val="auto"/>
              </w:rPr>
            </w:pPr>
          </w:p>
        </w:tc>
        <w:tc>
          <w:tcPr>
            <w:tcW w:w="340" w:type="dxa"/>
            <w:vAlign w:val="bottom"/>
            <w:tcBorders>
              <w:top w:val="single" w:sz="8" w:color="1352DE"/>
            </w:tcBorders>
          </w:tcPr>
          <w:p>
            <w:pPr>
              <w:spacing w:after="0"/>
              <w:rPr>
                <w:sz w:val="18"/>
                <w:szCs w:val="18"/>
                <w:color w:val="auto"/>
              </w:rPr>
            </w:pPr>
          </w:p>
        </w:tc>
        <w:tc>
          <w:tcPr>
            <w:tcW w:w="1820" w:type="dxa"/>
            <w:vAlign w:val="bottom"/>
            <w:tcBorders>
              <w:top w:val="single" w:sz="8" w:color="1352DE"/>
              <w:bottom w:val="single" w:sz="8" w:color="1252DE"/>
            </w:tcBorders>
          </w:tcPr>
          <w:p>
            <w:pPr>
              <w:jc w:val="right"/>
              <w:spacing w:after="0"/>
              <w:rPr>
                <w:sz w:val="20"/>
                <w:szCs w:val="20"/>
                <w:color w:val="auto"/>
              </w:rPr>
            </w:pPr>
            <w:r>
              <w:rPr>
                <w:rFonts w:ascii="Arial" w:cs="Arial" w:eastAsia="Arial" w:hAnsi="Arial"/>
                <w:sz w:val="14"/>
                <w:szCs w:val="14"/>
                <w:color w:val="1252DE"/>
              </w:rPr>
              <w:t>December 31, 2025</w:t>
            </w:r>
          </w:p>
        </w:tc>
        <w:tc>
          <w:tcPr>
            <w:tcW w:w="520" w:type="dxa"/>
            <w:vAlign w:val="bottom"/>
            <w:tcBorders>
              <w:top w:val="single" w:sz="8" w:color="1352DE"/>
              <w:bottom w:val="single" w:sz="8" w:color="1252DE"/>
            </w:tcBorders>
          </w:tcPr>
          <w:p>
            <w:pPr>
              <w:spacing w:after="0"/>
              <w:rPr>
                <w:sz w:val="18"/>
                <w:szCs w:val="18"/>
                <w:color w:val="auto"/>
              </w:rPr>
            </w:pPr>
          </w:p>
        </w:tc>
        <w:tc>
          <w:tcPr>
            <w:tcW w:w="300" w:type="dxa"/>
            <w:vAlign w:val="bottom"/>
            <w:tcBorders>
              <w:top w:val="single" w:sz="8" w:color="1352DE"/>
            </w:tcBorders>
          </w:tcPr>
          <w:p>
            <w:pPr>
              <w:spacing w:after="0"/>
              <w:rPr>
                <w:sz w:val="18"/>
                <w:szCs w:val="18"/>
                <w:color w:val="auto"/>
              </w:rPr>
            </w:pPr>
          </w:p>
        </w:tc>
      </w:tr>
      <w:tr>
        <w:trPr>
          <w:trHeight w:val="157"/>
        </w:trPr>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tcPr>
          <w:p>
            <w:pPr>
              <w:jc w:val="right"/>
              <w:ind w:right="328"/>
              <w:spacing w:after="0" w:line="157" w:lineRule="exact"/>
              <w:rPr>
                <w:sz w:val="20"/>
                <w:szCs w:val="20"/>
                <w:color w:val="auto"/>
              </w:rPr>
            </w:pPr>
            <w:r>
              <w:rPr>
                <w:rFonts w:ascii="Arial" w:cs="Arial" w:eastAsia="Arial" w:hAnsi="Arial"/>
                <w:sz w:val="14"/>
                <w:szCs w:val="14"/>
                <w:color w:val="1252DE"/>
              </w:rPr>
              <w:t>Fair</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1252DE"/>
              </w:rPr>
              <w:t>Percent</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jc w:val="right"/>
              <w:ind w:right="708"/>
              <w:spacing w:after="0" w:line="157" w:lineRule="exact"/>
              <w:rPr>
                <w:sz w:val="20"/>
                <w:szCs w:val="20"/>
                <w:color w:val="auto"/>
              </w:rPr>
            </w:pPr>
            <w:r>
              <w:rPr>
                <w:rFonts w:ascii="Arial" w:cs="Arial" w:eastAsia="Arial" w:hAnsi="Arial"/>
                <w:sz w:val="14"/>
                <w:szCs w:val="14"/>
                <w:color w:val="1252DE"/>
              </w:rPr>
              <w:t>Fair</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1252DE"/>
              </w:rPr>
              <w:t>Percent</w:t>
            </w:r>
          </w:p>
        </w:tc>
        <w:tc>
          <w:tcPr>
            <w:tcW w:w="300" w:type="dxa"/>
            <w:vAlign w:val="bottom"/>
          </w:tcPr>
          <w:p>
            <w:pPr>
              <w:spacing w:after="0"/>
              <w:rPr>
                <w:sz w:val="13"/>
                <w:szCs w:val="13"/>
                <w:color w:val="auto"/>
              </w:rPr>
            </w:pPr>
          </w:p>
        </w:tc>
      </w:tr>
      <w:tr>
        <w:trPr>
          <w:trHeight w:val="189"/>
        </w:trPr>
        <w:tc>
          <w:tcPr>
            <w:tcW w:w="47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3051F2"/>
              </w:rPr>
              <w:t>(in millions)</w:t>
            </w:r>
          </w:p>
        </w:tc>
        <w:tc>
          <w:tcPr>
            <w:tcW w:w="780" w:type="dxa"/>
            <w:vAlign w:val="bottom"/>
            <w:tcBorders>
              <w:bottom w:val="single" w:sz="8" w:color="1352DE"/>
            </w:tcBorders>
          </w:tcPr>
          <w:p>
            <w:pPr>
              <w:spacing w:after="0"/>
              <w:rPr>
                <w:sz w:val="16"/>
                <w:szCs w:val="16"/>
                <w:color w:val="auto"/>
              </w:rPr>
            </w:pPr>
          </w:p>
        </w:tc>
        <w:tc>
          <w:tcPr>
            <w:tcW w:w="1460" w:type="dxa"/>
            <w:vAlign w:val="bottom"/>
            <w:tcBorders>
              <w:bottom w:val="single" w:sz="8" w:color="1352DE"/>
            </w:tcBorders>
          </w:tcPr>
          <w:p>
            <w:pPr>
              <w:jc w:val="right"/>
              <w:ind w:right="328"/>
              <w:spacing w:after="0"/>
              <w:rPr>
                <w:sz w:val="20"/>
                <w:szCs w:val="20"/>
                <w:color w:val="auto"/>
              </w:rPr>
            </w:pPr>
            <w:r>
              <w:rPr>
                <w:rFonts w:ascii="Arial" w:cs="Arial" w:eastAsia="Arial" w:hAnsi="Arial"/>
                <w:sz w:val="14"/>
                <w:szCs w:val="14"/>
                <w:color w:val="1252DE"/>
              </w:rPr>
              <w:t>Value</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 Total</w:t>
            </w:r>
          </w:p>
        </w:tc>
        <w:tc>
          <w:tcPr>
            <w:tcW w:w="400" w:type="dxa"/>
            <w:vAlign w:val="bottom"/>
            <w:tcBorders>
              <w:bottom w:val="single" w:sz="8" w:color="1352DE"/>
            </w:tcBorders>
          </w:tcPr>
          <w:p>
            <w:pPr>
              <w:spacing w:after="0"/>
              <w:rPr>
                <w:sz w:val="16"/>
                <w:szCs w:val="16"/>
                <w:color w:val="auto"/>
              </w:rPr>
            </w:pPr>
          </w:p>
        </w:tc>
        <w:tc>
          <w:tcPr>
            <w:tcW w:w="340" w:type="dxa"/>
            <w:vAlign w:val="bottom"/>
            <w:tcBorders>
              <w:bottom w:val="single" w:sz="8" w:color="1352DE"/>
            </w:tcBorders>
          </w:tcPr>
          <w:p>
            <w:pPr>
              <w:spacing w:after="0"/>
              <w:rPr>
                <w:sz w:val="16"/>
                <w:szCs w:val="16"/>
                <w:color w:val="auto"/>
              </w:rPr>
            </w:pPr>
          </w:p>
        </w:tc>
        <w:tc>
          <w:tcPr>
            <w:tcW w:w="1820" w:type="dxa"/>
            <w:vAlign w:val="bottom"/>
            <w:tcBorders>
              <w:bottom w:val="single" w:sz="8" w:color="1352DE"/>
            </w:tcBorders>
          </w:tcPr>
          <w:p>
            <w:pPr>
              <w:jc w:val="right"/>
              <w:ind w:right="708"/>
              <w:spacing w:after="0"/>
              <w:rPr>
                <w:sz w:val="20"/>
                <w:szCs w:val="20"/>
                <w:color w:val="auto"/>
              </w:rPr>
            </w:pPr>
            <w:r>
              <w:rPr>
                <w:rFonts w:ascii="Arial" w:cs="Arial" w:eastAsia="Arial" w:hAnsi="Arial"/>
                <w:sz w:val="14"/>
                <w:szCs w:val="14"/>
                <w:color w:val="1252DE"/>
              </w:rPr>
              <w:t>Value</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 Total</w:t>
            </w:r>
          </w:p>
        </w:tc>
        <w:tc>
          <w:tcPr>
            <w:tcW w:w="300" w:type="dxa"/>
            <w:vAlign w:val="bottom"/>
            <w:tcBorders>
              <w:bottom w:val="single" w:sz="8" w:color="1352DE"/>
            </w:tcBorders>
          </w:tcPr>
          <w:p>
            <w:pPr>
              <w:spacing w:after="0"/>
              <w:rPr>
                <w:sz w:val="16"/>
                <w:szCs w:val="16"/>
                <w:color w:val="auto"/>
              </w:rPr>
            </w:pPr>
          </w:p>
        </w:tc>
      </w:tr>
      <w:tr>
        <w:trPr>
          <w:trHeight w:val="194"/>
        </w:trPr>
        <w:tc>
          <w:tcPr>
            <w:tcW w:w="4700" w:type="dxa"/>
            <w:vAlign w:val="bottom"/>
          </w:tcPr>
          <w:p>
            <w:pPr>
              <w:ind w:left="20"/>
              <w:spacing w:after="0"/>
              <w:rPr>
                <w:sz w:val="20"/>
                <w:szCs w:val="20"/>
                <w:color w:val="auto"/>
              </w:rPr>
            </w:pPr>
            <w:r>
              <w:rPr>
                <w:rFonts w:ascii="Arial" w:cs="Arial" w:eastAsia="Arial" w:hAnsi="Arial"/>
                <w:sz w:val="14"/>
                <w:szCs w:val="14"/>
                <w:b w:val="1"/>
                <w:bCs w:val="1"/>
                <w:color w:val="1252DE"/>
              </w:rPr>
              <w:t>Fixed maturity securities:</w:t>
            </w:r>
          </w:p>
        </w:tc>
        <w:tc>
          <w:tcPr>
            <w:tcW w:w="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3"/>
        </w:trPr>
        <w:tc>
          <w:tcPr>
            <w:tcW w:w="4700" w:type="dxa"/>
            <w:vAlign w:val="bottom"/>
          </w:tcPr>
          <w:p>
            <w:pPr>
              <w:ind w:left="140"/>
              <w:spacing w:after="0"/>
              <w:rPr>
                <w:sz w:val="20"/>
                <w:szCs w:val="20"/>
                <w:color w:val="auto"/>
              </w:rPr>
            </w:pPr>
            <w:r>
              <w:rPr>
                <w:rFonts w:ascii="Arial" w:cs="Arial" w:eastAsia="Arial" w:hAnsi="Arial"/>
                <w:sz w:val="14"/>
                <w:szCs w:val="14"/>
                <w:color w:val="auto"/>
              </w:rPr>
              <w:t>Obligations of states, municipalities and political subdivisions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1460" w:type="dxa"/>
            <w:vAlign w:val="bottom"/>
          </w:tcPr>
          <w:p>
            <w:pPr>
              <w:jc w:val="right"/>
              <w:ind w:right="388"/>
              <w:spacing w:after="0"/>
              <w:rPr>
                <w:sz w:val="20"/>
                <w:szCs w:val="20"/>
                <w:color w:val="auto"/>
              </w:rPr>
            </w:pPr>
            <w:r>
              <w:rPr>
                <w:rFonts w:ascii="Arial" w:cs="Arial" w:eastAsia="Arial" w:hAnsi="Arial"/>
                <w:sz w:val="14"/>
                <w:szCs w:val="14"/>
                <w:b w:val="1"/>
                <w:bCs w:val="1"/>
                <w:color w:val="1252DE"/>
              </w:rPr>
              <w:t>47</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252DE"/>
              </w:rPr>
              <w:t>3</w:t>
            </w:r>
          </w:p>
        </w:tc>
        <w:tc>
          <w:tcPr>
            <w:tcW w:w="400" w:type="dxa"/>
            <w:vAlign w:val="bottom"/>
          </w:tcPr>
          <w:p>
            <w:pPr>
              <w:jc w:val="right"/>
              <w:ind w:right="188"/>
              <w:spacing w:after="0"/>
              <w:rPr>
                <w:sz w:val="20"/>
                <w:szCs w:val="20"/>
                <w:color w:val="auto"/>
              </w:rPr>
            </w:pPr>
            <w:r>
              <w:rPr>
                <w:rFonts w:ascii="Arial" w:cs="Arial" w:eastAsia="Arial" w:hAnsi="Arial"/>
                <w:sz w:val="14"/>
                <w:szCs w:val="14"/>
                <w:b w:val="1"/>
                <w:bCs w:val="1"/>
                <w:color w:val="1252DE"/>
                <w:w w:val="9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748"/>
              <w:spacing w:after="0"/>
              <w:rPr>
                <w:sz w:val="20"/>
                <w:szCs w:val="20"/>
                <w:color w:val="auto"/>
              </w:rPr>
            </w:pPr>
            <w:r>
              <w:rPr>
                <w:rFonts w:ascii="Arial" w:cs="Arial" w:eastAsia="Arial" w:hAnsi="Arial"/>
                <w:sz w:val="14"/>
                <w:szCs w:val="14"/>
                <w:color w:val="auto"/>
              </w:rPr>
              <w:t>51</w:t>
            </w: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4700" w:type="dxa"/>
            <w:vAlign w:val="bottom"/>
          </w:tcPr>
          <w:p>
            <w:pPr>
              <w:ind w:left="140"/>
              <w:spacing w:after="0"/>
              <w:rPr>
                <w:sz w:val="20"/>
                <w:szCs w:val="20"/>
                <w:color w:val="auto"/>
              </w:rPr>
            </w:pPr>
            <w:r>
              <w:rPr>
                <w:rFonts w:ascii="Arial" w:cs="Arial" w:eastAsia="Arial" w:hAnsi="Arial"/>
                <w:sz w:val="14"/>
                <w:szCs w:val="14"/>
                <w:color w:val="auto"/>
              </w:rPr>
              <w:t>Non-U.S. governments</w:t>
            </w:r>
          </w:p>
        </w:tc>
        <w:tc>
          <w:tcPr>
            <w:tcW w:w="780" w:type="dxa"/>
            <w:vAlign w:val="bottom"/>
          </w:tcPr>
          <w:p>
            <w:pPr>
              <w:spacing w:after="0"/>
              <w:rPr>
                <w:sz w:val="17"/>
                <w:szCs w:val="17"/>
                <w:color w:val="auto"/>
              </w:rPr>
            </w:pPr>
          </w:p>
        </w:tc>
        <w:tc>
          <w:tcPr>
            <w:tcW w:w="1460" w:type="dxa"/>
            <w:vAlign w:val="bottom"/>
          </w:tcPr>
          <w:p>
            <w:pPr>
              <w:jc w:val="right"/>
              <w:ind w:right="388"/>
              <w:spacing w:after="0"/>
              <w:rPr>
                <w:sz w:val="20"/>
                <w:szCs w:val="20"/>
                <w:color w:val="auto"/>
              </w:rPr>
            </w:pPr>
            <w:r>
              <w:rPr>
                <w:rFonts w:ascii="Arial" w:cs="Arial" w:eastAsia="Arial" w:hAnsi="Arial"/>
                <w:sz w:val="14"/>
                <w:szCs w:val="14"/>
                <w:b w:val="1"/>
                <w:bCs w:val="1"/>
                <w:color w:val="1252DE"/>
              </w:rPr>
              <w:t>21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252DE"/>
              </w:rPr>
              <w:t>1</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748"/>
              <w:spacing w:after="0"/>
              <w:rPr>
                <w:sz w:val="20"/>
                <w:szCs w:val="20"/>
                <w:color w:val="auto"/>
              </w:rPr>
            </w:pPr>
            <w:r>
              <w:rPr>
                <w:rFonts w:ascii="Arial" w:cs="Arial" w:eastAsia="Arial" w:hAnsi="Arial"/>
                <w:sz w:val="14"/>
                <w:szCs w:val="14"/>
                <w:color w:val="auto"/>
              </w:rPr>
              <w:t>23</w:t>
            </w: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7"/>
                <w:szCs w:val="17"/>
                <w:color w:val="auto"/>
              </w:rPr>
            </w:pPr>
          </w:p>
        </w:tc>
      </w:tr>
      <w:tr>
        <w:trPr>
          <w:trHeight w:val="202"/>
        </w:trPr>
        <w:tc>
          <w:tcPr>
            <w:tcW w:w="4700" w:type="dxa"/>
            <w:vAlign w:val="bottom"/>
          </w:tcPr>
          <w:p>
            <w:pPr>
              <w:ind w:left="140"/>
              <w:spacing w:after="0"/>
              <w:rPr>
                <w:sz w:val="20"/>
                <w:szCs w:val="20"/>
                <w:color w:val="auto"/>
              </w:rPr>
            </w:pPr>
            <w:r>
              <w:rPr>
                <w:rFonts w:ascii="Arial" w:cs="Arial" w:eastAsia="Arial" w:hAnsi="Arial"/>
                <w:sz w:val="14"/>
                <w:szCs w:val="14"/>
                <w:color w:val="auto"/>
              </w:rPr>
              <w:t>Corporate debt</w:t>
            </w:r>
          </w:p>
        </w:tc>
        <w:tc>
          <w:tcPr>
            <w:tcW w:w="780" w:type="dxa"/>
            <w:vAlign w:val="bottom"/>
          </w:tcPr>
          <w:p>
            <w:pPr>
              <w:spacing w:after="0"/>
              <w:rPr>
                <w:sz w:val="17"/>
                <w:szCs w:val="17"/>
                <w:color w:val="auto"/>
              </w:rPr>
            </w:pPr>
          </w:p>
        </w:tc>
        <w:tc>
          <w:tcPr>
            <w:tcW w:w="1460" w:type="dxa"/>
            <w:vAlign w:val="bottom"/>
          </w:tcPr>
          <w:p>
            <w:pPr>
              <w:jc w:val="right"/>
              <w:ind w:right="388"/>
              <w:spacing w:after="0"/>
              <w:rPr>
                <w:sz w:val="20"/>
                <w:szCs w:val="20"/>
                <w:color w:val="auto"/>
              </w:rPr>
            </w:pPr>
            <w:r>
              <w:rPr>
                <w:rFonts w:ascii="Arial" w:cs="Arial" w:eastAsia="Arial" w:hAnsi="Arial"/>
                <w:sz w:val="14"/>
                <w:szCs w:val="14"/>
                <w:b w:val="1"/>
                <w:bCs w:val="1"/>
                <w:color w:val="1252DE"/>
              </w:rPr>
              <w:t>200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252DE"/>
              </w:rPr>
              <w:t>12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748"/>
              <w:spacing w:after="0"/>
              <w:rPr>
                <w:sz w:val="20"/>
                <w:szCs w:val="20"/>
                <w:color w:val="auto"/>
              </w:rPr>
            </w:pPr>
            <w:r>
              <w:rPr>
                <w:rFonts w:ascii="Arial" w:cs="Arial" w:eastAsia="Arial" w:hAnsi="Arial"/>
                <w:sz w:val="14"/>
                <w:szCs w:val="14"/>
                <w:color w:val="auto"/>
              </w:rPr>
              <w:t>274</w:t>
            </w: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24771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760" w:hanging="734"/>
        <w:spacing w:after="0"/>
        <w:tabs>
          <w:tab w:leader="none" w:pos="760" w:val="left"/>
        </w:tabs>
        <w:numPr>
          <w:ilvl w:val="0"/>
          <w:numId w:val="22"/>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 |</w:t>
      </w:r>
      <w:r>
        <w:rPr>
          <w:rFonts w:ascii="Arial" w:cs="Arial" w:eastAsia="Arial" w:hAnsi="Arial"/>
          <w:sz w:val="13"/>
          <w:szCs w:val="13"/>
          <w:color w:val="auto"/>
        </w:rPr>
        <w:t xml:space="preserve"> </w:t>
      </w:r>
      <w:r>
        <w:rPr>
          <w:rFonts w:ascii="Arial" w:cs="Arial" w:eastAsia="Arial" w:hAnsi="Arial"/>
          <w:sz w:val="13"/>
          <w:szCs w:val="13"/>
          <w:b w:val="1"/>
          <w:bCs w:val="1"/>
          <w:color w:val="001770"/>
        </w:rPr>
        <w:t>5. Investments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Borders>
              <w:top w:val="single" w:sz="8" w:color="1352DE"/>
            </w:tcBorders>
          </w:tcPr>
          <w:p>
            <w:pPr>
              <w:spacing w:after="0"/>
              <w:rPr>
                <w:sz w:val="18"/>
                <w:szCs w:val="18"/>
                <w:color w:val="auto"/>
              </w:rPr>
            </w:pPr>
          </w:p>
        </w:tc>
        <w:tc>
          <w:tcPr>
            <w:tcW w:w="860" w:type="dxa"/>
            <w:vAlign w:val="bottom"/>
            <w:tcBorders>
              <w:top w:val="single" w:sz="8" w:color="1352DE"/>
            </w:tcBorders>
          </w:tcPr>
          <w:p>
            <w:pPr>
              <w:spacing w:after="0"/>
              <w:rPr>
                <w:sz w:val="18"/>
                <w:szCs w:val="18"/>
                <w:color w:val="auto"/>
              </w:rPr>
            </w:pPr>
          </w:p>
        </w:tc>
        <w:tc>
          <w:tcPr>
            <w:tcW w:w="2360" w:type="dxa"/>
            <w:vAlign w:val="bottom"/>
            <w:tcBorders>
              <w:top w:val="single" w:sz="8" w:color="1352DE"/>
              <w:bottom w:val="single" w:sz="8" w:color="1252DE"/>
            </w:tcBorders>
            <w:gridSpan w:val="2"/>
          </w:tcPr>
          <w:p>
            <w:pPr>
              <w:jc w:val="right"/>
              <w:ind w:right="428"/>
              <w:spacing w:after="0"/>
              <w:rPr>
                <w:sz w:val="20"/>
                <w:szCs w:val="20"/>
                <w:color w:val="auto"/>
              </w:rPr>
            </w:pPr>
            <w:r>
              <w:rPr>
                <w:rFonts w:ascii="Arial" w:cs="Arial" w:eastAsia="Arial" w:hAnsi="Arial"/>
                <w:sz w:val="14"/>
                <w:szCs w:val="14"/>
                <w:b w:val="1"/>
                <w:bCs w:val="1"/>
                <w:color w:val="1252DE"/>
              </w:rPr>
              <w:t>September 30, 2026</w:t>
            </w:r>
          </w:p>
        </w:tc>
        <w:tc>
          <w:tcPr>
            <w:tcW w:w="400" w:type="dxa"/>
            <w:vAlign w:val="bottom"/>
            <w:tcBorders>
              <w:top w:val="single" w:sz="8" w:color="1352DE"/>
            </w:tcBorders>
          </w:tcPr>
          <w:p>
            <w:pPr>
              <w:spacing w:after="0"/>
              <w:rPr>
                <w:sz w:val="18"/>
                <w:szCs w:val="18"/>
                <w:color w:val="auto"/>
              </w:rPr>
            </w:pPr>
          </w:p>
        </w:tc>
        <w:tc>
          <w:tcPr>
            <w:tcW w:w="340" w:type="dxa"/>
            <w:vAlign w:val="bottom"/>
            <w:tcBorders>
              <w:top w:val="single" w:sz="8" w:color="1352DE"/>
            </w:tcBorders>
          </w:tcPr>
          <w:p>
            <w:pPr>
              <w:spacing w:after="0"/>
              <w:rPr>
                <w:sz w:val="18"/>
                <w:szCs w:val="18"/>
                <w:color w:val="auto"/>
              </w:rPr>
            </w:pPr>
          </w:p>
        </w:tc>
        <w:tc>
          <w:tcPr>
            <w:tcW w:w="1820" w:type="dxa"/>
            <w:vAlign w:val="bottom"/>
            <w:tcBorders>
              <w:top w:val="single" w:sz="8" w:color="1352DE"/>
              <w:bottom w:val="single" w:sz="8" w:color="1252DE"/>
            </w:tcBorders>
          </w:tcPr>
          <w:p>
            <w:pPr>
              <w:jc w:val="right"/>
              <w:spacing w:after="0"/>
              <w:rPr>
                <w:sz w:val="20"/>
                <w:szCs w:val="20"/>
                <w:color w:val="auto"/>
              </w:rPr>
            </w:pPr>
            <w:r>
              <w:rPr>
                <w:rFonts w:ascii="Arial" w:cs="Arial" w:eastAsia="Arial" w:hAnsi="Arial"/>
                <w:sz w:val="14"/>
                <w:szCs w:val="14"/>
                <w:color w:val="1252DE"/>
              </w:rPr>
              <w:t>December 31, 2025</w:t>
            </w:r>
          </w:p>
        </w:tc>
        <w:tc>
          <w:tcPr>
            <w:tcW w:w="520" w:type="dxa"/>
            <w:vAlign w:val="bottom"/>
            <w:tcBorders>
              <w:top w:val="single" w:sz="8" w:color="1352DE"/>
              <w:bottom w:val="single" w:sz="8" w:color="1252DE"/>
            </w:tcBorders>
          </w:tcPr>
          <w:p>
            <w:pPr>
              <w:spacing w:after="0"/>
              <w:rPr>
                <w:sz w:val="18"/>
                <w:szCs w:val="18"/>
                <w:color w:val="auto"/>
              </w:rPr>
            </w:pPr>
          </w:p>
        </w:tc>
        <w:tc>
          <w:tcPr>
            <w:tcW w:w="300" w:type="dxa"/>
            <w:vAlign w:val="bottom"/>
            <w:tcBorders>
              <w:top w:val="single" w:sz="8" w:color="1352DE"/>
            </w:tcBorders>
          </w:tcPr>
          <w:p>
            <w:pPr>
              <w:spacing w:after="0"/>
              <w:rPr>
                <w:sz w:val="18"/>
                <w:szCs w:val="18"/>
                <w:color w:val="auto"/>
              </w:rPr>
            </w:pPr>
          </w:p>
        </w:tc>
      </w:tr>
      <w:tr>
        <w:trPr>
          <w:trHeight w:val="156"/>
        </w:trPr>
        <w:tc>
          <w:tcPr>
            <w:tcW w:w="4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tcPr>
          <w:p>
            <w:pPr>
              <w:jc w:val="right"/>
              <w:ind w:right="328"/>
              <w:spacing w:after="0" w:line="157" w:lineRule="exact"/>
              <w:rPr>
                <w:sz w:val="20"/>
                <w:szCs w:val="20"/>
                <w:color w:val="auto"/>
              </w:rPr>
            </w:pPr>
            <w:r>
              <w:rPr>
                <w:rFonts w:ascii="Arial" w:cs="Arial" w:eastAsia="Arial" w:hAnsi="Arial"/>
                <w:sz w:val="14"/>
                <w:szCs w:val="14"/>
                <w:color w:val="1252DE"/>
              </w:rPr>
              <w:t>Fair</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1252DE"/>
              </w:rPr>
              <w:t>Percent</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jc w:val="right"/>
              <w:ind w:right="708"/>
              <w:spacing w:after="0" w:line="157" w:lineRule="exact"/>
              <w:rPr>
                <w:sz w:val="20"/>
                <w:szCs w:val="20"/>
                <w:color w:val="auto"/>
              </w:rPr>
            </w:pPr>
            <w:r>
              <w:rPr>
                <w:rFonts w:ascii="Arial" w:cs="Arial" w:eastAsia="Arial" w:hAnsi="Arial"/>
                <w:sz w:val="14"/>
                <w:szCs w:val="14"/>
                <w:color w:val="1252DE"/>
              </w:rPr>
              <w:t>Fair</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1252DE"/>
              </w:rPr>
              <w:t>Percent</w:t>
            </w:r>
          </w:p>
        </w:tc>
        <w:tc>
          <w:tcPr>
            <w:tcW w:w="300" w:type="dxa"/>
            <w:vAlign w:val="bottom"/>
          </w:tcPr>
          <w:p>
            <w:pPr>
              <w:spacing w:after="0"/>
              <w:rPr>
                <w:sz w:val="13"/>
                <w:szCs w:val="13"/>
                <w:color w:val="auto"/>
              </w:rPr>
            </w:pPr>
          </w:p>
        </w:tc>
      </w:tr>
      <w:tr>
        <w:trPr>
          <w:trHeight w:val="189"/>
        </w:trPr>
        <w:tc>
          <w:tcPr>
            <w:tcW w:w="46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3051F2"/>
              </w:rPr>
              <w:t>(in millions)</w:t>
            </w:r>
          </w:p>
        </w:tc>
        <w:tc>
          <w:tcPr>
            <w:tcW w:w="860" w:type="dxa"/>
            <w:vAlign w:val="bottom"/>
            <w:tcBorders>
              <w:bottom w:val="single" w:sz="8" w:color="1352DE"/>
            </w:tcBorders>
          </w:tcPr>
          <w:p>
            <w:pPr>
              <w:spacing w:after="0"/>
              <w:rPr>
                <w:sz w:val="16"/>
                <w:szCs w:val="16"/>
                <w:color w:val="auto"/>
              </w:rPr>
            </w:pPr>
          </w:p>
        </w:tc>
        <w:tc>
          <w:tcPr>
            <w:tcW w:w="1460" w:type="dxa"/>
            <w:vAlign w:val="bottom"/>
            <w:tcBorders>
              <w:bottom w:val="single" w:sz="8" w:color="1352DE"/>
            </w:tcBorders>
          </w:tcPr>
          <w:p>
            <w:pPr>
              <w:jc w:val="right"/>
              <w:ind w:right="328"/>
              <w:spacing w:after="0"/>
              <w:rPr>
                <w:sz w:val="20"/>
                <w:szCs w:val="20"/>
                <w:color w:val="auto"/>
              </w:rPr>
            </w:pPr>
            <w:r>
              <w:rPr>
                <w:rFonts w:ascii="Arial" w:cs="Arial" w:eastAsia="Arial" w:hAnsi="Arial"/>
                <w:sz w:val="14"/>
                <w:szCs w:val="14"/>
                <w:color w:val="1252DE"/>
              </w:rPr>
              <w:t>Value</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 Total</w:t>
            </w:r>
          </w:p>
        </w:tc>
        <w:tc>
          <w:tcPr>
            <w:tcW w:w="400" w:type="dxa"/>
            <w:vAlign w:val="bottom"/>
            <w:tcBorders>
              <w:bottom w:val="single" w:sz="8" w:color="1352DE"/>
            </w:tcBorders>
          </w:tcPr>
          <w:p>
            <w:pPr>
              <w:spacing w:after="0"/>
              <w:rPr>
                <w:sz w:val="16"/>
                <w:szCs w:val="16"/>
                <w:color w:val="auto"/>
              </w:rPr>
            </w:pPr>
          </w:p>
        </w:tc>
        <w:tc>
          <w:tcPr>
            <w:tcW w:w="340" w:type="dxa"/>
            <w:vAlign w:val="bottom"/>
            <w:tcBorders>
              <w:bottom w:val="single" w:sz="8" w:color="1352DE"/>
            </w:tcBorders>
          </w:tcPr>
          <w:p>
            <w:pPr>
              <w:spacing w:after="0"/>
              <w:rPr>
                <w:sz w:val="16"/>
                <w:szCs w:val="16"/>
                <w:color w:val="auto"/>
              </w:rPr>
            </w:pPr>
          </w:p>
        </w:tc>
        <w:tc>
          <w:tcPr>
            <w:tcW w:w="1820" w:type="dxa"/>
            <w:vAlign w:val="bottom"/>
            <w:tcBorders>
              <w:bottom w:val="single" w:sz="8" w:color="1352DE"/>
            </w:tcBorders>
          </w:tcPr>
          <w:p>
            <w:pPr>
              <w:jc w:val="right"/>
              <w:ind w:right="708"/>
              <w:spacing w:after="0"/>
              <w:rPr>
                <w:sz w:val="20"/>
                <w:szCs w:val="20"/>
                <w:color w:val="auto"/>
              </w:rPr>
            </w:pPr>
            <w:r>
              <w:rPr>
                <w:rFonts w:ascii="Arial" w:cs="Arial" w:eastAsia="Arial" w:hAnsi="Arial"/>
                <w:sz w:val="14"/>
                <w:szCs w:val="14"/>
                <w:color w:val="1252DE"/>
              </w:rPr>
              <w:t>Value</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 Total</w:t>
            </w:r>
          </w:p>
        </w:tc>
        <w:tc>
          <w:tcPr>
            <w:tcW w:w="300" w:type="dxa"/>
            <w:vAlign w:val="bottom"/>
            <w:tcBorders>
              <w:bottom w:val="single" w:sz="8" w:color="1352DE"/>
            </w:tcBorders>
          </w:tcPr>
          <w:p>
            <w:pPr>
              <w:spacing w:after="0"/>
              <w:rPr>
                <w:sz w:val="16"/>
                <w:szCs w:val="16"/>
                <w:color w:val="auto"/>
              </w:rPr>
            </w:pPr>
          </w:p>
        </w:tc>
      </w:tr>
      <w:tr>
        <w:trPr>
          <w:trHeight w:val="194"/>
        </w:trPr>
        <w:tc>
          <w:tcPr>
            <w:tcW w:w="4620" w:type="dxa"/>
            <w:vAlign w:val="bottom"/>
          </w:tcPr>
          <w:p>
            <w:pPr>
              <w:ind w:left="140"/>
              <w:spacing w:after="0"/>
              <w:rPr>
                <w:sz w:val="20"/>
                <w:szCs w:val="20"/>
                <w:color w:val="auto"/>
              </w:rPr>
            </w:pPr>
            <w:r>
              <w:rPr>
                <w:rFonts w:ascii="Arial" w:cs="Arial" w:eastAsia="Arial" w:hAnsi="Arial"/>
                <w:sz w:val="14"/>
                <w:szCs w:val="14"/>
                <w:b w:val="1"/>
                <w:bCs w:val="1"/>
                <w:color w:val="1252DE"/>
              </w:rPr>
              <w:t>Mortgage-backed, asset-backed and collateralized:</w:t>
            </w:r>
          </w:p>
        </w:tc>
        <w:tc>
          <w:tcPr>
            <w:tcW w:w="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RMBS</w:t>
            </w:r>
          </w:p>
        </w:tc>
        <w:tc>
          <w:tcPr>
            <w:tcW w:w="860" w:type="dxa"/>
            <w:vAlign w:val="bottom"/>
          </w:tcPr>
          <w:p>
            <w:pPr>
              <w:spacing w:after="0"/>
              <w:rPr>
                <w:sz w:val="17"/>
                <w:szCs w:val="17"/>
                <w:color w:val="auto"/>
              </w:rPr>
            </w:pPr>
          </w:p>
        </w:tc>
        <w:tc>
          <w:tcPr>
            <w:tcW w:w="1460" w:type="dxa"/>
            <w:vAlign w:val="bottom"/>
          </w:tcPr>
          <w:p>
            <w:pPr>
              <w:jc w:val="right"/>
              <w:ind w:right="388"/>
              <w:spacing w:after="0"/>
              <w:rPr>
                <w:sz w:val="20"/>
                <w:szCs w:val="20"/>
                <w:color w:val="auto"/>
              </w:rPr>
            </w:pPr>
            <w:r>
              <w:rPr>
                <w:rFonts w:ascii="Arial" w:cs="Arial" w:eastAsia="Arial" w:hAnsi="Arial"/>
                <w:sz w:val="14"/>
                <w:szCs w:val="14"/>
                <w:b w:val="1"/>
                <w:bCs w:val="1"/>
                <w:color w:val="1252DE"/>
              </w:rPr>
              <w:t>89</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252DE"/>
              </w:rPr>
              <w:t>5</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748"/>
              <w:spacing w:after="0"/>
              <w:rPr>
                <w:sz w:val="20"/>
                <w:szCs w:val="20"/>
                <w:color w:val="auto"/>
              </w:rPr>
            </w:pPr>
            <w:r>
              <w:rPr>
                <w:rFonts w:ascii="Arial" w:cs="Arial" w:eastAsia="Arial" w:hAnsi="Arial"/>
                <w:sz w:val="14"/>
                <w:szCs w:val="14"/>
                <w:color w:val="auto"/>
              </w:rPr>
              <w:t>97</w:t>
            </w: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7"/>
                <w:szCs w:val="17"/>
                <w:color w:val="auto"/>
              </w:rPr>
            </w:pPr>
          </w:p>
        </w:tc>
      </w:tr>
      <w:tr>
        <w:trPr>
          <w:trHeight w:val="203"/>
        </w:trPr>
        <w:tc>
          <w:tcPr>
            <w:tcW w:w="4620" w:type="dxa"/>
            <w:vAlign w:val="bottom"/>
          </w:tcPr>
          <w:p>
            <w:pPr>
              <w:ind w:left="240"/>
              <w:spacing w:after="0"/>
              <w:rPr>
                <w:sz w:val="20"/>
                <w:szCs w:val="20"/>
                <w:color w:val="auto"/>
              </w:rPr>
            </w:pPr>
            <w:r>
              <w:rPr>
                <w:rFonts w:ascii="Arial" w:cs="Arial" w:eastAsia="Arial" w:hAnsi="Arial"/>
                <w:sz w:val="14"/>
                <w:szCs w:val="14"/>
                <w:color w:val="auto"/>
              </w:rPr>
              <w:t>CMBS</w:t>
            </w:r>
          </w:p>
        </w:tc>
        <w:tc>
          <w:tcPr>
            <w:tcW w:w="860" w:type="dxa"/>
            <w:vAlign w:val="bottom"/>
          </w:tcPr>
          <w:p>
            <w:pPr>
              <w:spacing w:after="0"/>
              <w:rPr>
                <w:sz w:val="17"/>
                <w:szCs w:val="17"/>
                <w:color w:val="auto"/>
              </w:rPr>
            </w:pPr>
          </w:p>
        </w:tc>
        <w:tc>
          <w:tcPr>
            <w:tcW w:w="1460" w:type="dxa"/>
            <w:vAlign w:val="bottom"/>
          </w:tcPr>
          <w:p>
            <w:pPr>
              <w:jc w:val="right"/>
              <w:ind w:right="388"/>
              <w:spacing w:after="0"/>
              <w:rPr>
                <w:sz w:val="20"/>
                <w:szCs w:val="20"/>
                <w:color w:val="auto"/>
              </w:rPr>
            </w:pPr>
            <w:r>
              <w:rPr>
                <w:rFonts w:ascii="Arial" w:cs="Arial" w:eastAsia="Arial" w:hAnsi="Arial"/>
                <w:sz w:val="14"/>
                <w:szCs w:val="14"/>
                <w:b w:val="1"/>
                <w:bCs w:val="1"/>
                <w:color w:val="1252DE"/>
              </w:rPr>
              <w:t>35</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252DE"/>
              </w:rPr>
              <w:t>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748"/>
              <w:spacing w:after="0"/>
              <w:rPr>
                <w:sz w:val="20"/>
                <w:szCs w:val="20"/>
                <w:color w:val="auto"/>
              </w:rPr>
            </w:pPr>
            <w:r>
              <w:rPr>
                <w:rFonts w:ascii="Arial" w:cs="Arial" w:eastAsia="Arial" w:hAnsi="Arial"/>
                <w:sz w:val="14"/>
                <w:szCs w:val="14"/>
                <w:color w:val="auto"/>
              </w:rPr>
              <w:t>42</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7"/>
                <w:szCs w:val="17"/>
                <w:color w:val="auto"/>
              </w:rPr>
            </w:pPr>
          </w:p>
        </w:tc>
      </w:tr>
      <w:tr>
        <w:trPr>
          <w:trHeight w:val="203"/>
        </w:trPr>
        <w:tc>
          <w:tcPr>
            <w:tcW w:w="462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CLO/ABS and other collateralized securities</w:t>
            </w:r>
          </w:p>
        </w:tc>
        <w:tc>
          <w:tcPr>
            <w:tcW w:w="860" w:type="dxa"/>
            <w:vAlign w:val="bottom"/>
            <w:tcBorders>
              <w:bottom w:val="single" w:sz="8" w:color="1352DE"/>
            </w:tcBorders>
          </w:tcPr>
          <w:p>
            <w:pPr>
              <w:spacing w:after="0"/>
              <w:rPr>
                <w:sz w:val="17"/>
                <w:szCs w:val="17"/>
                <w:color w:val="auto"/>
              </w:rPr>
            </w:pPr>
          </w:p>
        </w:tc>
        <w:tc>
          <w:tcPr>
            <w:tcW w:w="1460" w:type="dxa"/>
            <w:vAlign w:val="bottom"/>
            <w:tcBorders>
              <w:bottom w:val="single" w:sz="8" w:color="1352DE"/>
            </w:tcBorders>
          </w:tcPr>
          <w:p>
            <w:pPr>
              <w:jc w:val="right"/>
              <w:ind w:right="388"/>
              <w:spacing w:after="0"/>
              <w:rPr>
                <w:sz w:val="20"/>
                <w:szCs w:val="20"/>
                <w:color w:val="auto"/>
              </w:rPr>
            </w:pPr>
            <w:r>
              <w:rPr>
                <w:rFonts w:ascii="Arial" w:cs="Arial" w:eastAsia="Arial" w:hAnsi="Arial"/>
                <w:sz w:val="14"/>
                <w:szCs w:val="14"/>
                <w:b w:val="1"/>
                <w:bCs w:val="1"/>
                <w:color w:val="1252DE"/>
              </w:rPr>
              <w:t>257</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15</w:t>
            </w:r>
          </w:p>
        </w:tc>
        <w:tc>
          <w:tcPr>
            <w:tcW w:w="400" w:type="dxa"/>
            <w:vAlign w:val="bottom"/>
            <w:tcBorders>
              <w:bottom w:val="single" w:sz="8" w:color="1352DE"/>
            </w:tcBorders>
          </w:tcPr>
          <w:p>
            <w:pPr>
              <w:spacing w:after="0"/>
              <w:rPr>
                <w:sz w:val="17"/>
                <w:szCs w:val="17"/>
                <w:color w:val="auto"/>
              </w:rPr>
            </w:pPr>
          </w:p>
        </w:tc>
        <w:tc>
          <w:tcPr>
            <w:tcW w:w="340" w:type="dxa"/>
            <w:vAlign w:val="bottom"/>
            <w:tcBorders>
              <w:bottom w:val="single" w:sz="8" w:color="1352DE"/>
            </w:tcBorders>
          </w:tcPr>
          <w:p>
            <w:pPr>
              <w:spacing w:after="0"/>
              <w:rPr>
                <w:sz w:val="17"/>
                <w:szCs w:val="17"/>
                <w:color w:val="auto"/>
              </w:rPr>
            </w:pPr>
          </w:p>
        </w:tc>
        <w:tc>
          <w:tcPr>
            <w:tcW w:w="1820" w:type="dxa"/>
            <w:vAlign w:val="bottom"/>
            <w:tcBorders>
              <w:bottom w:val="single" w:sz="8" w:color="1352DE"/>
            </w:tcBorders>
          </w:tcPr>
          <w:p>
            <w:pPr>
              <w:jc w:val="right"/>
              <w:ind w:right="748"/>
              <w:spacing w:after="0"/>
              <w:rPr>
                <w:sz w:val="20"/>
                <w:szCs w:val="20"/>
                <w:color w:val="auto"/>
              </w:rPr>
            </w:pPr>
            <w:r>
              <w:rPr>
                <w:rFonts w:ascii="Arial" w:cs="Arial" w:eastAsia="Arial" w:hAnsi="Arial"/>
                <w:sz w:val="14"/>
                <w:szCs w:val="14"/>
                <w:color w:val="auto"/>
              </w:rPr>
              <w:t>254</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1352DE"/>
            </w:tcBorders>
          </w:tcPr>
          <w:p>
            <w:pPr>
              <w:spacing w:after="0"/>
              <w:rPr>
                <w:sz w:val="17"/>
                <w:szCs w:val="17"/>
                <w:color w:val="auto"/>
              </w:rPr>
            </w:pPr>
          </w:p>
        </w:tc>
      </w:tr>
      <w:tr>
        <w:trPr>
          <w:trHeight w:val="196"/>
        </w:trPr>
        <w:tc>
          <w:tcPr>
            <w:tcW w:w="46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mortgage-backed, asset-backed and collateralized</w:t>
            </w:r>
          </w:p>
        </w:tc>
        <w:tc>
          <w:tcPr>
            <w:tcW w:w="860" w:type="dxa"/>
            <w:vAlign w:val="bottom"/>
            <w:tcBorders>
              <w:bottom w:val="single" w:sz="8" w:color="1352DE"/>
            </w:tcBorders>
          </w:tcPr>
          <w:p>
            <w:pPr>
              <w:spacing w:after="0"/>
              <w:rPr>
                <w:sz w:val="17"/>
                <w:szCs w:val="17"/>
                <w:color w:val="auto"/>
              </w:rPr>
            </w:pPr>
          </w:p>
        </w:tc>
        <w:tc>
          <w:tcPr>
            <w:tcW w:w="1460" w:type="dxa"/>
            <w:vAlign w:val="bottom"/>
            <w:tcBorders>
              <w:bottom w:val="single" w:sz="8" w:color="1352DE"/>
            </w:tcBorders>
          </w:tcPr>
          <w:p>
            <w:pPr>
              <w:jc w:val="right"/>
              <w:ind w:right="388"/>
              <w:spacing w:after="0"/>
              <w:rPr>
                <w:sz w:val="20"/>
                <w:szCs w:val="20"/>
                <w:color w:val="auto"/>
              </w:rPr>
            </w:pPr>
            <w:r>
              <w:rPr>
                <w:rFonts w:ascii="Arial" w:cs="Arial" w:eastAsia="Arial" w:hAnsi="Arial"/>
                <w:sz w:val="14"/>
                <w:szCs w:val="14"/>
                <w:b w:val="1"/>
                <w:bCs w:val="1"/>
                <w:color w:val="1252DE"/>
              </w:rPr>
              <w:t>381</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22</w:t>
            </w:r>
          </w:p>
        </w:tc>
        <w:tc>
          <w:tcPr>
            <w:tcW w:w="400" w:type="dxa"/>
            <w:vAlign w:val="bottom"/>
            <w:tcBorders>
              <w:bottom w:val="single" w:sz="8" w:color="1352DE"/>
            </w:tcBorders>
          </w:tcPr>
          <w:p>
            <w:pPr>
              <w:spacing w:after="0"/>
              <w:rPr>
                <w:sz w:val="17"/>
                <w:szCs w:val="17"/>
                <w:color w:val="auto"/>
              </w:rPr>
            </w:pPr>
          </w:p>
        </w:tc>
        <w:tc>
          <w:tcPr>
            <w:tcW w:w="340" w:type="dxa"/>
            <w:vAlign w:val="bottom"/>
            <w:tcBorders>
              <w:bottom w:val="single" w:sz="8" w:color="1352DE"/>
            </w:tcBorders>
          </w:tcPr>
          <w:p>
            <w:pPr>
              <w:spacing w:after="0"/>
              <w:rPr>
                <w:sz w:val="17"/>
                <w:szCs w:val="17"/>
                <w:color w:val="auto"/>
              </w:rPr>
            </w:pPr>
          </w:p>
        </w:tc>
        <w:tc>
          <w:tcPr>
            <w:tcW w:w="1820" w:type="dxa"/>
            <w:vAlign w:val="bottom"/>
            <w:tcBorders>
              <w:bottom w:val="single" w:sz="8" w:color="1352DE"/>
            </w:tcBorders>
          </w:tcPr>
          <w:p>
            <w:pPr>
              <w:jc w:val="right"/>
              <w:ind w:right="748"/>
              <w:spacing w:after="0"/>
              <w:rPr>
                <w:sz w:val="20"/>
                <w:szCs w:val="20"/>
                <w:color w:val="auto"/>
              </w:rPr>
            </w:pPr>
            <w:r>
              <w:rPr>
                <w:rFonts w:ascii="Arial" w:cs="Arial" w:eastAsia="Arial" w:hAnsi="Arial"/>
                <w:sz w:val="14"/>
                <w:szCs w:val="14"/>
                <w:color w:val="auto"/>
              </w:rPr>
              <w:t>393</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31</w:t>
            </w:r>
          </w:p>
        </w:tc>
        <w:tc>
          <w:tcPr>
            <w:tcW w:w="300" w:type="dxa"/>
            <w:vAlign w:val="bottom"/>
            <w:tcBorders>
              <w:bottom w:val="single" w:sz="8" w:color="1352DE"/>
            </w:tcBorders>
          </w:tcPr>
          <w:p>
            <w:pPr>
              <w:spacing w:after="0"/>
              <w:rPr>
                <w:sz w:val="17"/>
                <w:szCs w:val="17"/>
                <w:color w:val="auto"/>
              </w:rPr>
            </w:pPr>
          </w:p>
        </w:tc>
      </w:tr>
      <w:tr>
        <w:trPr>
          <w:trHeight w:val="195"/>
        </w:trPr>
        <w:tc>
          <w:tcPr>
            <w:tcW w:w="4620" w:type="dxa"/>
            <w:vAlign w:val="bottom"/>
          </w:tcPr>
          <w:p>
            <w:pPr>
              <w:ind w:left="20"/>
              <w:spacing w:after="0"/>
              <w:rPr>
                <w:sz w:val="20"/>
                <w:szCs w:val="20"/>
                <w:color w:val="auto"/>
              </w:rPr>
            </w:pPr>
            <w:r>
              <w:rPr>
                <w:rFonts w:ascii="Arial" w:cs="Arial" w:eastAsia="Arial" w:hAnsi="Arial"/>
                <w:sz w:val="14"/>
                <w:szCs w:val="14"/>
                <w:b w:val="1"/>
                <w:bCs w:val="1"/>
                <w:color w:val="1252DE"/>
              </w:rPr>
              <w:t>Total fixed maturity securities</w:t>
            </w:r>
          </w:p>
        </w:tc>
        <w:tc>
          <w:tcPr>
            <w:tcW w:w="860" w:type="dxa"/>
            <w:vAlign w:val="bottom"/>
          </w:tcPr>
          <w:p>
            <w:pPr>
              <w:spacing w:after="0"/>
              <w:rPr>
                <w:sz w:val="16"/>
                <w:szCs w:val="16"/>
                <w:color w:val="auto"/>
              </w:rPr>
            </w:pPr>
          </w:p>
        </w:tc>
        <w:tc>
          <w:tcPr>
            <w:tcW w:w="1460" w:type="dxa"/>
            <w:vAlign w:val="bottom"/>
          </w:tcPr>
          <w:p>
            <w:pPr>
              <w:jc w:val="right"/>
              <w:ind w:right="388"/>
              <w:spacing w:after="0"/>
              <w:rPr>
                <w:sz w:val="20"/>
                <w:szCs w:val="20"/>
                <w:color w:val="auto"/>
              </w:rPr>
            </w:pPr>
            <w:r>
              <w:rPr>
                <w:rFonts w:ascii="Arial" w:cs="Arial" w:eastAsia="Arial" w:hAnsi="Arial"/>
                <w:sz w:val="14"/>
                <w:szCs w:val="14"/>
                <w:b w:val="1"/>
                <w:bCs w:val="1"/>
                <w:color w:val="1252DE"/>
              </w:rPr>
              <w:t>649</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252DE"/>
              </w:rPr>
              <w:t>38</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jc w:val="right"/>
              <w:ind w:right="748"/>
              <w:spacing w:after="0"/>
              <w:rPr>
                <w:sz w:val="20"/>
                <w:szCs w:val="20"/>
                <w:color w:val="auto"/>
              </w:rPr>
            </w:pPr>
            <w:r>
              <w:rPr>
                <w:rFonts w:ascii="Arial" w:cs="Arial" w:eastAsia="Arial" w:hAnsi="Arial"/>
                <w:sz w:val="14"/>
                <w:szCs w:val="14"/>
                <w:color w:val="auto"/>
              </w:rPr>
              <w:t>741</w:t>
            </w: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300" w:type="dxa"/>
            <w:vAlign w:val="bottom"/>
          </w:tcPr>
          <w:p>
            <w:pPr>
              <w:spacing w:after="0"/>
              <w:rPr>
                <w:sz w:val="16"/>
                <w:szCs w:val="16"/>
                <w:color w:val="auto"/>
              </w:rPr>
            </w:pPr>
          </w:p>
        </w:tc>
      </w:tr>
      <w:tr>
        <w:trPr>
          <w:trHeight w:val="204"/>
        </w:trPr>
        <w:tc>
          <w:tcPr>
            <w:tcW w:w="46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Equity securities*</w:t>
            </w:r>
          </w:p>
        </w:tc>
        <w:tc>
          <w:tcPr>
            <w:tcW w:w="860" w:type="dxa"/>
            <w:vAlign w:val="bottom"/>
            <w:tcBorders>
              <w:bottom w:val="single" w:sz="8" w:color="1352DE"/>
            </w:tcBorders>
          </w:tcPr>
          <w:p>
            <w:pPr>
              <w:spacing w:after="0"/>
              <w:rPr>
                <w:sz w:val="17"/>
                <w:szCs w:val="17"/>
                <w:color w:val="auto"/>
              </w:rPr>
            </w:pPr>
          </w:p>
        </w:tc>
        <w:tc>
          <w:tcPr>
            <w:tcW w:w="1460" w:type="dxa"/>
            <w:vAlign w:val="bottom"/>
            <w:tcBorders>
              <w:bottom w:val="single" w:sz="8" w:color="1352DE"/>
            </w:tcBorders>
          </w:tcPr>
          <w:p>
            <w:pPr>
              <w:jc w:val="right"/>
              <w:ind w:right="388"/>
              <w:spacing w:after="0"/>
              <w:rPr>
                <w:sz w:val="20"/>
                <w:szCs w:val="20"/>
                <w:color w:val="auto"/>
              </w:rPr>
            </w:pPr>
            <w:r>
              <w:rPr>
                <w:rFonts w:ascii="Arial" w:cs="Arial" w:eastAsia="Arial" w:hAnsi="Arial"/>
                <w:sz w:val="14"/>
                <w:szCs w:val="14"/>
                <w:b w:val="1"/>
                <w:bCs w:val="1"/>
                <w:color w:val="1252DE"/>
              </w:rPr>
              <w:t>1,058</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62</w:t>
            </w:r>
          </w:p>
        </w:tc>
        <w:tc>
          <w:tcPr>
            <w:tcW w:w="400" w:type="dxa"/>
            <w:vAlign w:val="bottom"/>
            <w:tcBorders>
              <w:bottom w:val="single" w:sz="8" w:color="1352DE"/>
            </w:tcBorders>
          </w:tcPr>
          <w:p>
            <w:pPr>
              <w:spacing w:after="0"/>
              <w:rPr>
                <w:sz w:val="17"/>
                <w:szCs w:val="17"/>
                <w:color w:val="auto"/>
              </w:rPr>
            </w:pPr>
          </w:p>
        </w:tc>
        <w:tc>
          <w:tcPr>
            <w:tcW w:w="340" w:type="dxa"/>
            <w:vAlign w:val="bottom"/>
            <w:tcBorders>
              <w:bottom w:val="single" w:sz="8" w:color="1352DE"/>
            </w:tcBorders>
          </w:tcPr>
          <w:p>
            <w:pPr>
              <w:spacing w:after="0"/>
              <w:rPr>
                <w:sz w:val="17"/>
                <w:szCs w:val="17"/>
                <w:color w:val="auto"/>
              </w:rPr>
            </w:pPr>
          </w:p>
        </w:tc>
        <w:tc>
          <w:tcPr>
            <w:tcW w:w="1820" w:type="dxa"/>
            <w:vAlign w:val="bottom"/>
            <w:tcBorders>
              <w:bottom w:val="single" w:sz="8" w:color="1352DE"/>
            </w:tcBorders>
          </w:tcPr>
          <w:p>
            <w:pPr>
              <w:jc w:val="right"/>
              <w:ind w:right="748"/>
              <w:spacing w:after="0"/>
              <w:rPr>
                <w:sz w:val="20"/>
                <w:szCs w:val="20"/>
                <w:color w:val="auto"/>
              </w:rPr>
            </w:pPr>
            <w:r>
              <w:rPr>
                <w:rFonts w:ascii="Arial" w:cs="Arial" w:eastAsia="Arial" w:hAnsi="Arial"/>
                <w:sz w:val="14"/>
                <w:szCs w:val="14"/>
                <w:color w:val="auto"/>
              </w:rPr>
              <w:t>502</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41</w:t>
            </w:r>
          </w:p>
        </w:tc>
        <w:tc>
          <w:tcPr>
            <w:tcW w:w="300" w:type="dxa"/>
            <w:vAlign w:val="bottom"/>
            <w:tcBorders>
              <w:bottom w:val="single" w:sz="8" w:color="1352DE"/>
            </w:tcBorders>
          </w:tcPr>
          <w:p>
            <w:pPr>
              <w:spacing w:after="0"/>
              <w:rPr>
                <w:sz w:val="17"/>
                <w:szCs w:val="17"/>
                <w:color w:val="auto"/>
              </w:rPr>
            </w:pPr>
          </w:p>
        </w:tc>
      </w:tr>
      <w:tr>
        <w:trPr>
          <w:trHeight w:val="196"/>
        </w:trPr>
        <w:tc>
          <w:tcPr>
            <w:tcW w:w="46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460" w:type="dxa"/>
            <w:vAlign w:val="bottom"/>
            <w:tcBorders>
              <w:bottom w:val="single" w:sz="8" w:color="1352DE"/>
            </w:tcBorders>
          </w:tcPr>
          <w:p>
            <w:pPr>
              <w:jc w:val="right"/>
              <w:ind w:right="388"/>
              <w:spacing w:after="0"/>
              <w:rPr>
                <w:sz w:val="20"/>
                <w:szCs w:val="20"/>
                <w:color w:val="auto"/>
              </w:rPr>
            </w:pPr>
            <w:r>
              <w:rPr>
                <w:rFonts w:ascii="Arial" w:cs="Arial" w:eastAsia="Arial" w:hAnsi="Arial"/>
                <w:sz w:val="14"/>
                <w:szCs w:val="14"/>
                <w:b w:val="1"/>
                <w:bCs w:val="1"/>
                <w:color w:val="1252DE"/>
              </w:rPr>
              <w:t>1,707</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100</w:t>
            </w:r>
          </w:p>
        </w:tc>
        <w:tc>
          <w:tcPr>
            <w:tcW w:w="400" w:type="dxa"/>
            <w:vAlign w:val="bottom"/>
            <w:tcBorders>
              <w:bottom w:val="single" w:sz="8" w:color="1352DE"/>
            </w:tcBorders>
          </w:tcPr>
          <w:p>
            <w:pPr>
              <w:jc w:val="right"/>
              <w:ind w:right="188"/>
              <w:spacing w:after="0"/>
              <w:rPr>
                <w:sz w:val="20"/>
                <w:szCs w:val="20"/>
                <w:color w:val="auto"/>
              </w:rPr>
            </w:pPr>
            <w:r>
              <w:rPr>
                <w:rFonts w:ascii="Arial" w:cs="Arial" w:eastAsia="Arial" w:hAnsi="Arial"/>
                <w:sz w:val="14"/>
                <w:szCs w:val="14"/>
                <w:b w:val="1"/>
                <w:bCs w:val="1"/>
                <w:color w:val="1252DE"/>
                <w:w w:val="96"/>
              </w:rPr>
              <w:t>%</w:t>
            </w:r>
          </w:p>
        </w:tc>
        <w:tc>
          <w:tcPr>
            <w:tcW w:w="3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1352DE"/>
            </w:tcBorders>
          </w:tcPr>
          <w:p>
            <w:pPr>
              <w:jc w:val="right"/>
              <w:ind w:right="748"/>
              <w:spacing w:after="0"/>
              <w:rPr>
                <w:sz w:val="20"/>
                <w:szCs w:val="20"/>
                <w:color w:val="auto"/>
              </w:rPr>
            </w:pPr>
            <w:r>
              <w:rPr>
                <w:rFonts w:ascii="Arial" w:cs="Arial" w:eastAsia="Arial" w:hAnsi="Arial"/>
                <w:sz w:val="14"/>
                <w:szCs w:val="14"/>
                <w:color w:val="auto"/>
              </w:rPr>
              <w:t>1,243</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r>
    </w:tbl>
    <w:p>
      <w:pPr>
        <w:spacing w:after="0" w:line="144" w:lineRule="exact"/>
        <w:rPr>
          <w:sz w:val="20"/>
          <w:szCs w:val="20"/>
          <w:color w:val="auto"/>
        </w:rPr>
      </w:pPr>
    </w:p>
    <w:p>
      <w:pPr>
        <w:ind w:left="220" w:right="60" w:hanging="212"/>
        <w:spacing w:after="0" w:line="264" w:lineRule="auto"/>
        <w:tabs>
          <w:tab w:leader="none" w:pos="2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At September 30, 2026, includes AIG’s interest in Onex of $540 million that is restricted from sale or transfer until February 6, 2029, except in the event of a change in control at Onex or to remain in compliance with applicable ownership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OTHER INVESTED ASSETS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summarizes the carrying amounts of other invested assets: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680" w:type="dxa"/>
            <w:vAlign w:val="bottom"/>
            <w:tcBorders>
              <w:top w:val="single" w:sz="8" w:color="1352DE"/>
              <w:bottom w:val="single" w:sz="8" w:color="1352DE"/>
            </w:tcBorders>
          </w:tcPr>
          <w:p>
            <w:pPr>
              <w:spacing w:after="0"/>
              <w:rPr>
                <w:sz w:val="18"/>
                <w:szCs w:val="18"/>
                <w:color w:val="auto"/>
              </w:rPr>
            </w:pPr>
          </w:p>
        </w:tc>
        <w:tc>
          <w:tcPr>
            <w:tcW w:w="1860" w:type="dxa"/>
            <w:vAlign w:val="bottom"/>
            <w:tcBorders>
              <w:top w:val="single" w:sz="8" w:color="1352DE"/>
              <w:bottom w:val="single" w:sz="8" w:color="1352DE"/>
            </w:tcBorders>
          </w:tcPr>
          <w:p>
            <w:pPr>
              <w:jc w:val="right"/>
              <w:ind w:right="99"/>
              <w:spacing w:after="0"/>
              <w:rPr>
                <w:sz w:val="20"/>
                <w:szCs w:val="20"/>
                <w:color w:val="auto"/>
              </w:rPr>
            </w:pPr>
            <w:r>
              <w:rPr>
                <w:rFonts w:ascii="Arial" w:cs="Arial" w:eastAsia="Arial" w:hAnsi="Arial"/>
                <w:sz w:val="16"/>
                <w:szCs w:val="16"/>
                <w:b w:val="1"/>
                <w:bCs w:val="1"/>
                <w:color w:val="1252DE"/>
              </w:rPr>
              <w:t>September 30, 2026</w:t>
            </w:r>
          </w:p>
        </w:tc>
        <w:tc>
          <w:tcPr>
            <w:tcW w:w="420" w:type="dxa"/>
            <w:vAlign w:val="bottom"/>
            <w:tcBorders>
              <w:top w:val="single" w:sz="8" w:color="1352DE"/>
              <w:bottom w:val="single" w:sz="8" w:color="1352DE"/>
            </w:tcBorders>
          </w:tcPr>
          <w:p>
            <w:pPr>
              <w:spacing w:after="0"/>
              <w:rPr>
                <w:sz w:val="18"/>
                <w:szCs w:val="18"/>
                <w:color w:val="auto"/>
              </w:rPr>
            </w:pPr>
          </w:p>
        </w:tc>
        <w:tc>
          <w:tcPr>
            <w:tcW w:w="156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6"/>
                <w:szCs w:val="16"/>
                <w:color w:val="1252DE"/>
              </w:rPr>
              <w:t>December 31, 2025</w:t>
            </w:r>
          </w:p>
        </w:tc>
      </w:tr>
      <w:tr>
        <w:trPr>
          <w:trHeight w:val="209"/>
        </w:trPr>
        <w:tc>
          <w:tcPr>
            <w:tcW w:w="5700" w:type="dxa"/>
            <w:vAlign w:val="bottom"/>
          </w:tcPr>
          <w:p>
            <w:pPr>
              <w:ind w:left="20"/>
              <w:spacing w:after="0" w:line="209" w:lineRule="exact"/>
              <w:rPr>
                <w:sz w:val="20"/>
                <w:szCs w:val="20"/>
                <w:color w:val="auto"/>
              </w:rPr>
            </w:pPr>
            <w:r>
              <w:rPr>
                <w:rFonts w:ascii="Arial" w:cs="Arial" w:eastAsia="Arial" w:hAnsi="Arial"/>
                <w:sz w:val="16"/>
                <w:szCs w:val="16"/>
                <w:color w:val="auto"/>
              </w:rPr>
              <w:t>Alternative investments</w:t>
            </w:r>
            <w:r>
              <w:rPr>
                <w:rFonts w:ascii="Arial" w:cs="Arial" w:eastAsia="Arial" w:hAnsi="Arial"/>
                <w:sz w:val="21"/>
                <w:szCs w:val="21"/>
                <w:color w:val="auto"/>
                <w:vertAlign w:val="superscript"/>
              </w:rPr>
              <w:t>(a)</w:t>
            </w:r>
          </w:p>
        </w:tc>
        <w:tc>
          <w:tcPr>
            <w:tcW w:w="1680" w:type="dxa"/>
            <w:vAlign w:val="bottom"/>
          </w:tcPr>
          <w:p>
            <w:pPr>
              <w:jc w:val="right"/>
              <w:ind w:right="59"/>
              <w:spacing w:after="0"/>
              <w:rPr>
                <w:sz w:val="20"/>
                <w:szCs w:val="20"/>
                <w:color w:val="auto"/>
              </w:rPr>
            </w:pPr>
            <w:r>
              <w:rPr>
                <w:rFonts w:ascii="Arial" w:cs="Arial" w:eastAsia="Arial" w:hAnsi="Arial"/>
                <w:sz w:val="16"/>
                <w:szCs w:val="16"/>
                <w:b w:val="1"/>
                <w:bCs w:val="1"/>
                <w:color w:val="1252DE"/>
              </w:rPr>
              <w:t>$</w:t>
            </w: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1252DE"/>
              </w:rPr>
              <w:t>3,099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3,456</w:t>
            </w:r>
          </w:p>
        </w:tc>
      </w:tr>
      <w:tr>
        <w:trPr>
          <w:trHeight w:val="216"/>
        </w:trPr>
        <w:tc>
          <w:tcPr>
            <w:tcW w:w="5700" w:type="dxa"/>
            <w:vAlign w:val="bottom"/>
          </w:tcPr>
          <w:p>
            <w:pPr>
              <w:ind w:left="20"/>
              <w:spacing w:after="0" w:line="216" w:lineRule="exact"/>
              <w:rPr>
                <w:sz w:val="20"/>
                <w:szCs w:val="20"/>
                <w:color w:val="auto"/>
              </w:rPr>
            </w:pPr>
            <w:r>
              <w:rPr>
                <w:rFonts w:ascii="Arial" w:cs="Arial" w:eastAsia="Arial" w:hAnsi="Arial"/>
                <w:sz w:val="16"/>
                <w:szCs w:val="16"/>
                <w:color w:val="auto"/>
              </w:rPr>
              <w:t>Retained investment in Corebridge using fair value option</w:t>
            </w:r>
            <w:r>
              <w:rPr>
                <w:rFonts w:ascii="Arial" w:cs="Arial" w:eastAsia="Arial" w:hAnsi="Arial"/>
                <w:sz w:val="21"/>
                <w:szCs w:val="21"/>
                <w:color w:val="auto"/>
                <w:vertAlign w:val="superscript"/>
              </w:rPr>
              <w:t>(b)</w:t>
            </w:r>
          </w:p>
        </w:tc>
        <w:tc>
          <w:tcPr>
            <w:tcW w:w="1680" w:type="dxa"/>
            <w:vAlign w:val="bottom"/>
          </w:tcPr>
          <w:p>
            <w:pPr>
              <w:spacing w:after="0"/>
              <w:rPr>
                <w:sz w:val="18"/>
                <w:szCs w:val="18"/>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1252DE"/>
              </w:rPr>
              <w:t>—</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1,512</w:t>
            </w: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Investment in Convex</w:t>
            </w:r>
          </w:p>
        </w:tc>
        <w:tc>
          <w:tcPr>
            <w:tcW w:w="1680" w:type="dxa"/>
            <w:vAlign w:val="bottom"/>
          </w:tcPr>
          <w:p>
            <w:pPr>
              <w:spacing w:after="0"/>
              <w:rPr>
                <w:sz w:val="18"/>
                <w:szCs w:val="18"/>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1252DE"/>
              </w:rPr>
              <w:t>2,227</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00" w:type="dxa"/>
            <w:vAlign w:val="bottom"/>
            <w:tcBorders>
              <w:bottom w:val="single" w:sz="8" w:color="1352DE"/>
            </w:tcBorders>
          </w:tcPr>
          <w:p>
            <w:pPr>
              <w:ind w:left="20"/>
              <w:spacing w:after="0" w:line="217" w:lineRule="exact"/>
              <w:rPr>
                <w:sz w:val="20"/>
                <w:szCs w:val="20"/>
                <w:color w:val="auto"/>
              </w:rPr>
            </w:pPr>
            <w:r>
              <w:rPr>
                <w:rFonts w:ascii="Arial" w:cs="Arial" w:eastAsia="Arial" w:hAnsi="Arial"/>
                <w:sz w:val="16"/>
                <w:szCs w:val="16"/>
                <w:color w:val="auto"/>
              </w:rPr>
              <w:t>All other investments</w:t>
            </w:r>
            <w:r>
              <w:rPr>
                <w:rFonts w:ascii="Arial" w:cs="Arial" w:eastAsia="Arial" w:hAnsi="Arial"/>
                <w:sz w:val="21"/>
                <w:szCs w:val="21"/>
                <w:color w:val="auto"/>
                <w:vertAlign w:val="superscript"/>
              </w:rPr>
              <w:t>(c)</w:t>
            </w:r>
          </w:p>
        </w:tc>
        <w:tc>
          <w:tcPr>
            <w:tcW w:w="1680" w:type="dxa"/>
            <w:vAlign w:val="bottom"/>
            <w:tcBorders>
              <w:bottom w:val="single" w:sz="8" w:color="1352DE"/>
            </w:tcBorders>
          </w:tcPr>
          <w:p>
            <w:pPr>
              <w:spacing w:after="0"/>
              <w:rPr>
                <w:sz w:val="18"/>
                <w:szCs w:val="18"/>
                <w:color w:val="auto"/>
              </w:rPr>
            </w:pPr>
          </w:p>
        </w:tc>
        <w:tc>
          <w:tcPr>
            <w:tcW w:w="1860" w:type="dxa"/>
            <w:vAlign w:val="bottom"/>
            <w:tcBorders>
              <w:bottom w:val="single" w:sz="8" w:color="1352DE"/>
            </w:tcBorders>
          </w:tcPr>
          <w:p>
            <w:pPr>
              <w:jc w:val="right"/>
              <w:ind w:right="159"/>
              <w:spacing w:after="0"/>
              <w:rPr>
                <w:sz w:val="20"/>
                <w:szCs w:val="20"/>
                <w:color w:val="auto"/>
              </w:rPr>
            </w:pPr>
            <w:r>
              <w:rPr>
                <w:rFonts w:ascii="Arial" w:cs="Arial" w:eastAsia="Arial" w:hAnsi="Arial"/>
                <w:sz w:val="16"/>
                <w:szCs w:val="16"/>
                <w:b w:val="1"/>
                <w:bCs w:val="1"/>
                <w:color w:val="1252DE"/>
              </w:rPr>
              <w:t>1,635</w:t>
            </w:r>
          </w:p>
        </w:tc>
        <w:tc>
          <w:tcPr>
            <w:tcW w:w="420" w:type="dxa"/>
            <w:vAlign w:val="bottom"/>
            <w:tcBorders>
              <w:bottom w:val="single" w:sz="8" w:color="1352DE"/>
            </w:tcBorders>
          </w:tcPr>
          <w:p>
            <w:pPr>
              <w:spacing w:after="0"/>
              <w:rPr>
                <w:sz w:val="18"/>
                <w:szCs w:val="18"/>
                <w:color w:val="auto"/>
              </w:rPr>
            </w:pPr>
          </w:p>
        </w:tc>
        <w:tc>
          <w:tcPr>
            <w:tcW w:w="156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1,728</w:t>
            </w:r>
          </w:p>
        </w:tc>
      </w:tr>
      <w:tr>
        <w:trPr>
          <w:trHeight w:val="210"/>
        </w:trPr>
        <w:tc>
          <w:tcPr>
            <w:tcW w:w="5700" w:type="dxa"/>
            <w:vAlign w:val="bottom"/>
            <w:tcBorders>
              <w:bottom w:val="single" w:sz="8" w:color="1352DE"/>
            </w:tcBorders>
          </w:tcPr>
          <w:p>
            <w:pPr>
              <w:ind w:left="20"/>
              <w:spacing w:after="0"/>
              <w:rPr>
                <w:sz w:val="20"/>
                <w:szCs w:val="20"/>
                <w:color w:val="auto"/>
              </w:rPr>
            </w:pPr>
            <w:r>
              <w:rPr>
                <w:rFonts w:ascii="Arial" w:cs="Arial" w:eastAsia="Arial" w:hAnsi="Arial"/>
                <w:sz w:val="16"/>
                <w:szCs w:val="16"/>
                <w:b w:val="1"/>
                <w:bCs w:val="1"/>
                <w:color w:val="1252DE"/>
              </w:rPr>
              <w:t>Total</w:t>
            </w:r>
          </w:p>
        </w:tc>
        <w:tc>
          <w:tcPr>
            <w:tcW w:w="168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b w:val="1"/>
                <w:bCs w:val="1"/>
                <w:color w:val="1252DE"/>
              </w:rPr>
              <w:t>$</w:t>
            </w:r>
          </w:p>
        </w:tc>
        <w:tc>
          <w:tcPr>
            <w:tcW w:w="1860" w:type="dxa"/>
            <w:vAlign w:val="bottom"/>
            <w:tcBorders>
              <w:bottom w:val="single" w:sz="8" w:color="1352DE"/>
            </w:tcBorders>
          </w:tcPr>
          <w:p>
            <w:pPr>
              <w:jc w:val="right"/>
              <w:ind w:right="159"/>
              <w:spacing w:after="0"/>
              <w:rPr>
                <w:sz w:val="20"/>
                <w:szCs w:val="20"/>
                <w:color w:val="auto"/>
              </w:rPr>
            </w:pPr>
            <w:r>
              <w:rPr>
                <w:rFonts w:ascii="Arial" w:cs="Arial" w:eastAsia="Arial" w:hAnsi="Arial"/>
                <w:sz w:val="16"/>
                <w:szCs w:val="16"/>
                <w:b w:val="1"/>
                <w:bCs w:val="1"/>
                <w:color w:val="1252DE"/>
              </w:rPr>
              <w:t>6,961</w:t>
            </w:r>
          </w:p>
        </w:tc>
        <w:tc>
          <w:tcPr>
            <w:tcW w:w="42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6,696</w:t>
            </w:r>
          </w:p>
        </w:tc>
      </w:tr>
    </w:tbl>
    <w:p>
      <w:pPr>
        <w:spacing w:after="0" w:line="144"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At September 30, 2026, includes hedge funds of $129 million and private equity funds of $2.8 billion. At December 31, 2025, included hedge funds of $175 million and private equity funds of</w:t>
      </w:r>
    </w:p>
    <w:p>
      <w:pPr>
        <w:spacing w:after="0" w:line="16" w:lineRule="exact"/>
        <w:rPr>
          <w:rFonts w:ascii="Arial" w:cs="Arial" w:eastAsia="Arial" w:hAnsi="Arial"/>
          <w:sz w:val="13"/>
          <w:szCs w:val="13"/>
          <w:color w:val="auto"/>
        </w:rPr>
      </w:pPr>
    </w:p>
    <w:p>
      <w:pPr>
        <w:ind w:left="220" w:right="200"/>
        <w:spacing w:after="0" w:line="258" w:lineRule="auto"/>
        <w:rPr>
          <w:rFonts w:ascii="Arial" w:cs="Arial" w:eastAsia="Arial" w:hAnsi="Arial"/>
          <w:sz w:val="13"/>
          <w:szCs w:val="13"/>
          <w:color w:val="auto"/>
        </w:rPr>
      </w:pPr>
      <w:r>
        <w:rPr>
          <w:rFonts w:ascii="Arial" w:cs="Arial" w:eastAsia="Arial" w:hAnsi="Arial"/>
          <w:sz w:val="13"/>
          <w:szCs w:val="13"/>
          <w:color w:val="auto"/>
        </w:rPr>
        <w:t>$3.0 billion. Private equity funds investments include limited partnerships, direct equities and real estate partnerships. Also includes investments in real estate, net of accumulated depreciation. At September 30, 2026 and December 31, 2025, the accumulated depreciation was $110 million and $142 million, respectively.</w:t>
      </w:r>
    </w:p>
    <w:p>
      <w:pPr>
        <w:spacing w:after="0" w:line="52" w:lineRule="exact"/>
        <w:rPr>
          <w:rFonts w:ascii="Arial" w:cs="Arial" w:eastAsia="Arial" w:hAnsi="Arial"/>
          <w:sz w:val="13"/>
          <w:szCs w:val="13"/>
          <w:color w:val="auto"/>
        </w:rPr>
      </w:pPr>
    </w:p>
    <w:p>
      <w:pPr>
        <w:ind w:left="220" w:right="260" w:hanging="212"/>
        <w:spacing w:after="0" w:line="286" w:lineRule="auto"/>
        <w:tabs>
          <w:tab w:leader="none" w:pos="208" w:val="left"/>
        </w:tabs>
        <w:numPr>
          <w:ilvl w:val="0"/>
          <w:numId w:val="24"/>
        </w:numPr>
        <w:rPr>
          <w:rFonts w:ascii="Arial" w:cs="Arial" w:eastAsia="Arial" w:hAnsi="Arial"/>
          <w:sz w:val="13"/>
          <w:szCs w:val="13"/>
          <w:color w:val="auto"/>
        </w:rPr>
      </w:pPr>
      <w:r>
        <w:rPr>
          <w:rFonts w:ascii="Arial" w:cs="Arial" w:eastAsia="Arial" w:hAnsi="Arial"/>
          <w:sz w:val="13"/>
          <w:szCs w:val="13"/>
          <w:color w:val="auto"/>
        </w:rPr>
        <w:t>At March 31, 2026, AIG's interest in Corebridge changed from being recognized as an equity method investment in Other invested assets to an equity security, at fair value. On May 7, 2026, AIG sold its remaining interest in Corebridge.</w:t>
      </w:r>
    </w:p>
    <w:p>
      <w:pPr>
        <w:spacing w:after="0" w:line="35" w:lineRule="exact"/>
        <w:rPr>
          <w:rFonts w:ascii="Arial" w:cs="Arial" w:eastAsia="Arial" w:hAnsi="Arial"/>
          <w:sz w:val="13"/>
          <w:szCs w:val="13"/>
          <w:color w:val="auto"/>
        </w:rPr>
      </w:pPr>
    </w:p>
    <w:p>
      <w:pPr>
        <w:ind w:left="220" w:right="400" w:hanging="212"/>
        <w:spacing w:after="0" w:line="286" w:lineRule="auto"/>
        <w:tabs>
          <w:tab w:leader="none" w:pos="214" w:val="left"/>
        </w:tabs>
        <w:numPr>
          <w:ilvl w:val="0"/>
          <w:numId w:val="24"/>
        </w:numPr>
        <w:rPr>
          <w:rFonts w:ascii="Arial" w:cs="Arial" w:eastAsia="Arial" w:hAnsi="Arial"/>
          <w:sz w:val="13"/>
          <w:szCs w:val="13"/>
          <w:color w:val="auto"/>
        </w:rPr>
      </w:pPr>
      <w:r>
        <w:rPr>
          <w:rFonts w:ascii="Arial" w:cs="Arial" w:eastAsia="Arial" w:hAnsi="Arial"/>
          <w:sz w:val="13"/>
          <w:szCs w:val="13"/>
          <w:color w:val="auto"/>
        </w:rPr>
        <w:t>All other investments include bank deposits with a maturity greater than one year and investments in joint ventures with strategic partners, including $254 million and $300 million in DaVinciRe Holdings Ltd, Class D, which is recorded as a measurement alternative equity security at September 30, 2026 and December 31, 2025,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NET INVESTMENT INCOME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components of Net investment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Borders>
              <w:top w:val="single" w:sz="8" w:color="1352DE"/>
            </w:tcBorders>
          </w:tcPr>
          <w:p>
            <w:pPr>
              <w:ind w:left="20"/>
              <w:spacing w:after="0"/>
              <w:rPr>
                <w:sz w:val="20"/>
                <w:szCs w:val="20"/>
                <w:color w:val="auto"/>
              </w:rPr>
            </w:pPr>
            <w:r>
              <w:rPr>
                <w:rFonts w:ascii="Arial" w:cs="Arial" w:eastAsia="Arial" w:hAnsi="Arial"/>
                <w:sz w:val="14"/>
                <w:szCs w:val="14"/>
                <w:b w:val="1"/>
                <w:bCs w:val="1"/>
                <w:color w:val="1252DE"/>
              </w:rPr>
              <w:t>Three Months Ended September 30,</w:t>
            </w:r>
          </w:p>
        </w:tc>
        <w:tc>
          <w:tcPr>
            <w:tcW w:w="240" w:type="dxa"/>
            <w:vAlign w:val="bottom"/>
            <w:tcBorders>
              <w:top w:val="single" w:sz="8" w:color="1352DE"/>
              <w:bottom w:val="single" w:sz="8" w:color="1352DE"/>
            </w:tcBorders>
          </w:tcPr>
          <w:p>
            <w:pPr>
              <w:spacing w:after="0"/>
              <w:rPr>
                <w:sz w:val="18"/>
                <w:szCs w:val="18"/>
                <w:color w:val="auto"/>
              </w:rPr>
            </w:pPr>
          </w:p>
        </w:tc>
        <w:tc>
          <w:tcPr>
            <w:tcW w:w="1340" w:type="dxa"/>
            <w:vAlign w:val="bottom"/>
            <w:tcBorders>
              <w:top w:val="single" w:sz="8" w:color="1352DE"/>
              <w:bottom w:val="single" w:sz="8" w:color="1352DE"/>
            </w:tcBorders>
          </w:tcPr>
          <w:p>
            <w:pPr>
              <w:spacing w:after="0"/>
              <w:rPr>
                <w:sz w:val="18"/>
                <w:szCs w:val="18"/>
                <w:color w:val="auto"/>
              </w:rPr>
            </w:pPr>
          </w:p>
        </w:tc>
        <w:tc>
          <w:tcPr>
            <w:tcW w:w="1280" w:type="dxa"/>
            <w:vAlign w:val="bottom"/>
            <w:tcBorders>
              <w:top w:val="single" w:sz="8" w:color="1352DE"/>
              <w:bottom w:val="single" w:sz="8" w:color="1352DE"/>
            </w:tcBorders>
            <w:gridSpan w:val="2"/>
          </w:tcPr>
          <w:p>
            <w:pPr>
              <w:jc w:val="right"/>
              <w:ind w:right="808"/>
              <w:spacing w:after="0"/>
              <w:rPr>
                <w:sz w:val="20"/>
                <w:szCs w:val="20"/>
                <w:color w:val="auto"/>
              </w:rPr>
            </w:pPr>
            <w:r>
              <w:rPr>
                <w:rFonts w:ascii="Arial" w:cs="Arial" w:eastAsia="Arial" w:hAnsi="Arial"/>
                <w:sz w:val="14"/>
                <w:szCs w:val="14"/>
                <w:b w:val="1"/>
                <w:bCs w:val="1"/>
                <w:color w:val="1252DE"/>
              </w:rPr>
              <w:t>2026</w:t>
            </w:r>
          </w:p>
        </w:tc>
        <w:tc>
          <w:tcPr>
            <w:tcW w:w="240" w:type="dxa"/>
            <w:vAlign w:val="bottom"/>
            <w:tcBorders>
              <w:top w:val="single" w:sz="8" w:color="1352DE"/>
              <w:bottom w:val="single" w:sz="8" w:color="1352DE"/>
            </w:tcBorders>
          </w:tcPr>
          <w:p>
            <w:pPr>
              <w:spacing w:after="0"/>
              <w:rPr>
                <w:sz w:val="18"/>
                <w:szCs w:val="18"/>
                <w:color w:val="auto"/>
              </w:rPr>
            </w:pPr>
          </w:p>
        </w:tc>
        <w:tc>
          <w:tcPr>
            <w:tcW w:w="540" w:type="dxa"/>
            <w:vAlign w:val="bottom"/>
            <w:tcBorders>
              <w:top w:val="single" w:sz="8" w:color="1352DE"/>
              <w:bottom w:val="single" w:sz="8" w:color="1352DE"/>
            </w:tcBorders>
          </w:tcPr>
          <w:p>
            <w:pPr>
              <w:spacing w:after="0"/>
              <w:rPr>
                <w:sz w:val="18"/>
                <w:szCs w:val="18"/>
                <w:color w:val="auto"/>
              </w:rPr>
            </w:pPr>
          </w:p>
        </w:tc>
        <w:tc>
          <w:tcPr>
            <w:tcW w:w="140" w:type="dxa"/>
            <w:vAlign w:val="bottom"/>
            <w:tcBorders>
              <w:top w:val="single" w:sz="8" w:color="1352DE"/>
            </w:tcBorders>
          </w:tcPr>
          <w:p>
            <w:pPr>
              <w:spacing w:after="0"/>
              <w:rPr>
                <w:sz w:val="18"/>
                <w:szCs w:val="18"/>
                <w:color w:val="auto"/>
              </w:rPr>
            </w:pPr>
          </w:p>
        </w:tc>
        <w:tc>
          <w:tcPr>
            <w:tcW w:w="240" w:type="dxa"/>
            <w:vAlign w:val="bottom"/>
            <w:tcBorders>
              <w:top w:val="single" w:sz="8" w:color="1352DE"/>
              <w:bottom w:val="single" w:sz="8" w:color="1352DE"/>
            </w:tcBorders>
          </w:tcPr>
          <w:p>
            <w:pPr>
              <w:spacing w:after="0"/>
              <w:rPr>
                <w:sz w:val="18"/>
                <w:szCs w:val="18"/>
                <w:color w:val="auto"/>
              </w:rPr>
            </w:pPr>
          </w:p>
        </w:tc>
        <w:tc>
          <w:tcPr>
            <w:tcW w:w="1360" w:type="dxa"/>
            <w:vAlign w:val="bottom"/>
            <w:tcBorders>
              <w:top w:val="single" w:sz="8" w:color="1352DE"/>
              <w:bottom w:val="single" w:sz="8" w:color="1352DE"/>
            </w:tcBorders>
          </w:tcPr>
          <w:p>
            <w:pPr>
              <w:spacing w:after="0"/>
              <w:rPr>
                <w:sz w:val="18"/>
                <w:szCs w:val="18"/>
                <w:color w:val="auto"/>
              </w:rPr>
            </w:pPr>
          </w:p>
        </w:tc>
        <w:tc>
          <w:tcPr>
            <w:tcW w:w="1280" w:type="dxa"/>
            <w:vAlign w:val="bottom"/>
            <w:tcBorders>
              <w:top w:val="single" w:sz="8" w:color="1352DE"/>
              <w:bottom w:val="single" w:sz="8" w:color="1352DE"/>
            </w:tcBorders>
            <w:gridSpan w:val="2"/>
          </w:tcPr>
          <w:p>
            <w:pPr>
              <w:ind w:left="60"/>
              <w:spacing w:after="0"/>
              <w:rPr>
                <w:sz w:val="20"/>
                <w:szCs w:val="20"/>
                <w:color w:val="auto"/>
              </w:rPr>
            </w:pPr>
            <w:r>
              <w:rPr>
                <w:rFonts w:ascii="Arial" w:cs="Arial" w:eastAsia="Arial" w:hAnsi="Arial"/>
                <w:sz w:val="14"/>
                <w:szCs w:val="14"/>
                <w:color w:val="1252DE"/>
              </w:rPr>
              <w:t>2025</w:t>
            </w:r>
          </w:p>
        </w:tc>
        <w:tc>
          <w:tcPr>
            <w:tcW w:w="240" w:type="dxa"/>
            <w:vAlign w:val="bottom"/>
            <w:tcBorders>
              <w:top w:val="single" w:sz="8" w:color="1352DE"/>
              <w:bottom w:val="single" w:sz="8" w:color="1352DE"/>
            </w:tcBorders>
          </w:tcPr>
          <w:p>
            <w:pPr>
              <w:spacing w:after="0"/>
              <w:rPr>
                <w:sz w:val="18"/>
                <w:szCs w:val="18"/>
                <w:color w:val="auto"/>
              </w:rPr>
            </w:pPr>
          </w:p>
        </w:tc>
        <w:tc>
          <w:tcPr>
            <w:tcW w:w="54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1252DE"/>
              </w:rPr>
              <w:t>Excluding Fortitude</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252DE"/>
              </w:rPr>
              <w:t>Fortitude Re</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1252DE"/>
              </w:rPr>
              <w:t>Excluding Fortitude</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252DE"/>
              </w:rPr>
              <w:t>Fortitude Re</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1252DE"/>
              </w:rPr>
              <w:t>Re Funds</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252DE"/>
              </w:rPr>
              <w:t>Funds Withheld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1252DE"/>
              </w:rPr>
              <w:t>Re Funds</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252DE"/>
              </w:rPr>
              <w:t>Funds Withheld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5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40" w:type="dxa"/>
            <w:vAlign w:val="bottom"/>
            <w:tcBorders>
              <w:bottom w:val="single" w:sz="8" w:color="1352DE"/>
            </w:tcBorders>
          </w:tcPr>
          <w:p>
            <w:pPr>
              <w:spacing w:after="0"/>
              <w:rPr>
                <w:sz w:val="18"/>
                <w:szCs w:val="18"/>
                <w:color w:val="auto"/>
              </w:rPr>
            </w:pPr>
          </w:p>
        </w:tc>
        <w:tc>
          <w:tcPr>
            <w:tcW w:w="13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Withheld Assets</w:t>
            </w:r>
          </w:p>
        </w:tc>
        <w:tc>
          <w:tcPr>
            <w:tcW w:w="180" w:type="dxa"/>
            <w:vAlign w:val="bottom"/>
            <w:tcBorders>
              <w:bottom w:val="single" w:sz="8" w:color="1352DE"/>
            </w:tcBorders>
          </w:tcPr>
          <w:p>
            <w:pPr>
              <w:spacing w:after="0"/>
              <w:rPr>
                <w:sz w:val="18"/>
                <w:szCs w:val="18"/>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Assets</w:t>
            </w:r>
          </w:p>
        </w:tc>
        <w:tc>
          <w:tcPr>
            <w:tcW w:w="240" w:type="dxa"/>
            <w:vAlign w:val="bottom"/>
            <w:tcBorders>
              <w:bottom w:val="single" w:sz="8" w:color="1352DE"/>
            </w:tcBorders>
          </w:tcPr>
          <w:p>
            <w:pPr>
              <w:spacing w:after="0"/>
              <w:rPr>
                <w:sz w:val="18"/>
                <w:szCs w:val="18"/>
                <w:color w:val="auto"/>
              </w:rPr>
            </w:pPr>
          </w:p>
        </w:tc>
        <w:tc>
          <w:tcPr>
            <w:tcW w:w="680" w:type="dxa"/>
            <w:vAlign w:val="bottom"/>
            <w:tcBorders>
              <w:bottom w:val="single" w:sz="8" w:color="1352DE"/>
            </w:tcBorders>
            <w:gridSpan w:val="2"/>
          </w:tcPr>
          <w:p>
            <w:pPr>
              <w:ind w:left="220"/>
              <w:spacing w:after="0"/>
              <w:rPr>
                <w:sz w:val="20"/>
                <w:szCs w:val="20"/>
                <w:color w:val="auto"/>
              </w:rPr>
            </w:pPr>
            <w:r>
              <w:rPr>
                <w:rFonts w:ascii="Arial" w:cs="Arial" w:eastAsia="Arial" w:hAnsi="Arial"/>
                <w:sz w:val="14"/>
                <w:szCs w:val="14"/>
                <w:color w:val="1252DE"/>
              </w:rPr>
              <w:t>Total</w:t>
            </w:r>
          </w:p>
        </w:tc>
        <w:tc>
          <w:tcPr>
            <w:tcW w:w="240" w:type="dxa"/>
            <w:vAlign w:val="bottom"/>
            <w:tcBorders>
              <w:bottom w:val="single" w:sz="8" w:color="1352DE"/>
            </w:tcBorders>
          </w:tcPr>
          <w:p>
            <w:pPr>
              <w:spacing w:after="0"/>
              <w:rPr>
                <w:sz w:val="18"/>
                <w:szCs w:val="18"/>
                <w:color w:val="auto"/>
              </w:rPr>
            </w:pPr>
          </w:p>
        </w:tc>
        <w:tc>
          <w:tcPr>
            <w:tcW w:w="1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Withheld Assets</w:t>
            </w:r>
          </w:p>
        </w:tc>
        <w:tc>
          <w:tcPr>
            <w:tcW w:w="180" w:type="dxa"/>
            <w:vAlign w:val="bottom"/>
            <w:tcBorders>
              <w:bottom w:val="single" w:sz="8" w:color="1352DE"/>
            </w:tcBorders>
          </w:tcPr>
          <w:p>
            <w:pPr>
              <w:spacing w:after="0"/>
              <w:rPr>
                <w:sz w:val="18"/>
                <w:szCs w:val="18"/>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Assets</w:t>
            </w:r>
          </w:p>
        </w:tc>
        <w:tc>
          <w:tcPr>
            <w:tcW w:w="24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c>
          <w:tcPr>
            <w:tcW w:w="0" w:type="dxa"/>
            <w:vAlign w:val="bottom"/>
          </w:tcPr>
          <w:p>
            <w:pPr>
              <w:spacing w:after="0"/>
              <w:rPr>
                <w:sz w:val="1"/>
                <w:szCs w:val="1"/>
                <w:color w:val="auto"/>
              </w:rPr>
            </w:pPr>
          </w:p>
        </w:tc>
      </w:tr>
      <w:tr>
        <w:trPr>
          <w:trHeight w:val="146"/>
        </w:trPr>
        <w:tc>
          <w:tcPr>
            <w:tcW w:w="3580" w:type="dxa"/>
            <w:vAlign w:val="bottom"/>
          </w:tcPr>
          <w:p>
            <w:pPr>
              <w:ind w:left="20"/>
              <w:spacing w:after="0" w:line="146" w:lineRule="exact"/>
              <w:rPr>
                <w:sz w:val="20"/>
                <w:szCs w:val="20"/>
                <w:color w:val="auto"/>
              </w:rPr>
            </w:pPr>
            <w:r>
              <w:rPr>
                <w:rFonts w:ascii="Arial" w:cs="Arial" w:eastAsia="Arial" w:hAnsi="Arial"/>
                <w:sz w:val="14"/>
                <w:szCs w:val="14"/>
                <w:color w:val="auto"/>
              </w:rPr>
              <w:t>Available for sale fixed maturity securities, including</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1252DE"/>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252DE"/>
              </w:rPr>
              <w:t>939</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1252DE"/>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252DE"/>
              </w:rPr>
              <w:t>20</w:t>
            </w: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252DE"/>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1252DE"/>
              </w:rPr>
              <w:t>959</w:t>
            </w:r>
          </w:p>
        </w:tc>
        <w:tc>
          <w:tcPr>
            <w:tcW w:w="1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873</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90"/>
        </w:trPr>
        <w:tc>
          <w:tcPr>
            <w:tcW w:w="358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2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Arial" w:cs="Arial" w:eastAsia="Arial" w:hAnsi="Arial"/>
                <w:sz w:val="14"/>
                <w:szCs w:val="14"/>
                <w:color w:val="auto"/>
              </w:rPr>
              <w:t>Other fixed maturity securities</w:t>
            </w:r>
          </w:p>
        </w:tc>
        <w:tc>
          <w:tcPr>
            <w:tcW w:w="24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1252DE"/>
              </w:rPr>
              <w:t>(8)</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9"/>
        </w:trPr>
        <w:tc>
          <w:tcPr>
            <w:tcW w:w="3580" w:type="dxa"/>
            <w:vAlign w:val="bottom"/>
          </w:tcPr>
          <w:p>
            <w:pPr>
              <w:ind w:left="4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8"/>
                <w:szCs w:val="18"/>
                <w:color w:val="auto"/>
                <w:vertAlign w:val="superscript"/>
              </w:rPr>
              <w:t>(a)</w:t>
            </w:r>
          </w:p>
        </w:tc>
        <w:tc>
          <w:tcPr>
            <w:tcW w:w="24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2</w:t>
            </w:r>
          </w:p>
        </w:tc>
        <w:tc>
          <w:tcPr>
            <w:tcW w:w="18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4"/>
                <w:szCs w:val="14"/>
                <w:color w:val="auto"/>
              </w:rPr>
              <w:t>Interest on mortgage and other loans</w:t>
            </w:r>
          </w:p>
        </w:tc>
        <w:tc>
          <w:tcPr>
            <w:tcW w:w="24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27</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4</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31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6"/>
        </w:trPr>
        <w:tc>
          <w:tcPr>
            <w:tcW w:w="3580" w:type="dxa"/>
            <w:vAlign w:val="bottom"/>
          </w:tcPr>
          <w:p>
            <w:pPr>
              <w:ind w:left="20"/>
              <w:spacing w:after="0"/>
              <w:rPr>
                <w:sz w:val="20"/>
                <w:szCs w:val="20"/>
                <w:color w:val="auto"/>
              </w:rPr>
            </w:pPr>
            <w:r>
              <w:rPr>
                <w:rFonts w:ascii="Arial" w:cs="Arial" w:eastAsia="Arial" w:hAnsi="Arial"/>
                <w:sz w:val="14"/>
                <w:szCs w:val="14"/>
                <w:color w:val="auto"/>
              </w:rPr>
              <w:t>Alternative investments</w:t>
            </w:r>
            <w:r>
              <w:rPr>
                <w:rFonts w:ascii="Arial" w:cs="Arial" w:eastAsia="Arial" w:hAnsi="Arial"/>
                <w:sz w:val="18"/>
                <w:szCs w:val="18"/>
                <w:color w:val="auto"/>
                <w:vertAlign w:val="superscript"/>
              </w:rPr>
              <w:t>(b)</w:t>
            </w:r>
          </w:p>
        </w:tc>
        <w:tc>
          <w:tcPr>
            <w:tcW w:w="24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92</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92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1"/>
        </w:trPr>
        <w:tc>
          <w:tcPr>
            <w:tcW w:w="3580" w:type="dxa"/>
            <w:vAlign w:val="bottom"/>
            <w:tcBorders>
              <w:bottom w:val="single" w:sz="8" w:color="1352DE"/>
            </w:tcBorders>
          </w:tcPr>
          <w:p>
            <w:pPr>
              <w:ind w:left="20"/>
              <w:spacing w:after="0" w:line="201" w:lineRule="exact"/>
              <w:rPr>
                <w:sz w:val="20"/>
                <w:szCs w:val="20"/>
                <w:color w:val="auto"/>
              </w:rPr>
            </w:pPr>
            <w:r>
              <w:rPr>
                <w:rFonts w:ascii="Arial" w:cs="Arial" w:eastAsia="Arial" w:hAnsi="Arial"/>
                <w:sz w:val="14"/>
                <w:szCs w:val="14"/>
                <w:color w:val="auto"/>
              </w:rPr>
              <w:t>Other investments</w:t>
            </w:r>
            <w:r>
              <w:rPr>
                <w:rFonts w:ascii="Arial" w:cs="Arial" w:eastAsia="Arial" w:hAnsi="Arial"/>
                <w:sz w:val="18"/>
                <w:szCs w:val="18"/>
                <w:color w:val="auto"/>
                <w:vertAlign w:val="superscript"/>
              </w:rPr>
              <w:t>(c)</w:t>
            </w:r>
          </w:p>
        </w:tc>
        <w:tc>
          <w:tcPr>
            <w:tcW w:w="240" w:type="dxa"/>
            <w:vAlign w:val="bottom"/>
            <w:tcBorders>
              <w:bottom w:val="single" w:sz="8" w:color="1352DE"/>
            </w:tcBorders>
          </w:tcPr>
          <w:p>
            <w:pPr>
              <w:spacing w:after="0"/>
              <w:rPr>
                <w:sz w:val="17"/>
                <w:szCs w:val="17"/>
                <w:color w:val="auto"/>
              </w:rPr>
            </w:pPr>
          </w:p>
        </w:tc>
        <w:tc>
          <w:tcPr>
            <w:tcW w:w="13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67</w:t>
            </w:r>
          </w:p>
        </w:tc>
        <w:tc>
          <w:tcPr>
            <w:tcW w:w="18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2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67</w:t>
            </w:r>
          </w:p>
        </w:tc>
        <w:tc>
          <w:tcPr>
            <w:tcW w:w="14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1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(331)</w:t>
            </w:r>
          </w:p>
        </w:tc>
        <w:tc>
          <w:tcPr>
            <w:tcW w:w="18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Arial" w:cs="Arial" w:eastAsia="Arial" w:hAnsi="Arial"/>
                <w:sz w:val="14"/>
                <w:szCs w:val="14"/>
                <w:b w:val="1"/>
                <w:bCs w:val="1"/>
                <w:color w:val="1252DE"/>
              </w:rPr>
              <w:t>Total investment income</w:t>
            </w:r>
          </w:p>
        </w:tc>
        <w:tc>
          <w:tcPr>
            <w:tcW w:w="2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1,127</w:t>
            </w:r>
          </w:p>
        </w:tc>
        <w:tc>
          <w:tcPr>
            <w:tcW w:w="1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16</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1,143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781</w:t>
            </w:r>
          </w:p>
        </w:tc>
        <w:tc>
          <w:tcPr>
            <w:tcW w:w="1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Investment expenses</w:t>
            </w:r>
          </w:p>
        </w:tc>
        <w:tc>
          <w:tcPr>
            <w:tcW w:w="240" w:type="dxa"/>
            <w:vAlign w:val="bottom"/>
            <w:tcBorders>
              <w:bottom w:val="single" w:sz="8" w:color="1352DE"/>
            </w:tcBorders>
          </w:tcPr>
          <w:p>
            <w:pPr>
              <w:spacing w:after="0"/>
              <w:rPr>
                <w:sz w:val="17"/>
                <w:szCs w:val="17"/>
                <w:color w:val="auto"/>
              </w:rPr>
            </w:pPr>
          </w:p>
        </w:tc>
        <w:tc>
          <w:tcPr>
            <w:tcW w:w="13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43</w:t>
            </w:r>
          </w:p>
        </w:tc>
        <w:tc>
          <w:tcPr>
            <w:tcW w:w="18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2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43</w:t>
            </w:r>
          </w:p>
        </w:tc>
        <w:tc>
          <w:tcPr>
            <w:tcW w:w="14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13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38</w:t>
            </w:r>
          </w:p>
        </w:tc>
        <w:tc>
          <w:tcPr>
            <w:tcW w:w="18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Net investment income</w:t>
            </w:r>
          </w:p>
        </w:tc>
        <w:tc>
          <w:tcPr>
            <w:tcW w:w="24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w:t>
            </w:r>
          </w:p>
        </w:tc>
        <w:tc>
          <w:tcPr>
            <w:tcW w:w="13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b w:val="1"/>
                <w:bCs w:val="1"/>
                <w:color w:val="1252DE"/>
              </w:rPr>
              <w:t>1,084</w:t>
            </w: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w:t>
            </w:r>
          </w:p>
        </w:tc>
        <w:tc>
          <w:tcPr>
            <w:tcW w:w="110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b w:val="1"/>
                <w:bCs w:val="1"/>
                <w:color w:val="1252DE"/>
              </w:rPr>
              <w:t>16</w:t>
            </w:r>
          </w:p>
        </w:tc>
        <w:tc>
          <w:tcPr>
            <w:tcW w:w="2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54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1,100</w:t>
            </w:r>
          </w:p>
        </w:tc>
        <w:tc>
          <w:tcPr>
            <w:tcW w:w="140" w:type="dxa"/>
            <w:vAlign w:val="bottom"/>
            <w:tcBorders>
              <w:bottom w:val="single" w:sz="8" w:color="3051F2"/>
            </w:tcBorders>
          </w:tcPr>
          <w:p>
            <w:pPr>
              <w:spacing w:after="0"/>
              <w:rPr>
                <w:sz w:val="17"/>
                <w:szCs w:val="17"/>
                <w:color w:val="auto"/>
              </w:rPr>
            </w:pPr>
          </w:p>
        </w:tc>
        <w:tc>
          <w:tcPr>
            <w:tcW w:w="24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color w:val="auto"/>
              </w:rPr>
              <w:t>743</w:t>
            </w:r>
          </w:p>
        </w:tc>
        <w:tc>
          <w:tcPr>
            <w:tcW w:w="180" w:type="dxa"/>
            <w:vAlign w:val="bottom"/>
            <w:tcBorders>
              <w:bottom w:val="single" w:sz="8" w:color="3051F2"/>
            </w:tcBorders>
          </w:tcPr>
          <w:p>
            <w:pPr>
              <w:ind w:left="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03"/>
        </w:trPr>
        <w:tc>
          <w:tcPr>
            <w:tcW w:w="3580" w:type="dxa"/>
            <w:vAlign w:val="bottom"/>
            <w:tcBorders>
              <w:bottom w:val="single" w:sz="8" w:color="1352DE"/>
            </w:tcBorders>
          </w:tcPr>
          <w:p>
            <w:pPr>
              <w:spacing w:after="0"/>
              <w:rPr>
                <w:sz w:val="8"/>
                <w:szCs w:val="8"/>
                <w:color w:val="auto"/>
              </w:rPr>
            </w:pPr>
          </w:p>
        </w:tc>
        <w:tc>
          <w:tcPr>
            <w:tcW w:w="240" w:type="dxa"/>
            <w:vAlign w:val="bottom"/>
            <w:tcBorders>
              <w:bottom w:val="single" w:sz="8" w:color="1352DE"/>
            </w:tcBorders>
          </w:tcPr>
          <w:p>
            <w:pPr>
              <w:spacing w:after="0"/>
              <w:rPr>
                <w:sz w:val="8"/>
                <w:szCs w:val="8"/>
                <w:color w:val="auto"/>
              </w:rPr>
            </w:pPr>
          </w:p>
        </w:tc>
        <w:tc>
          <w:tcPr>
            <w:tcW w:w="1340" w:type="dxa"/>
            <w:vAlign w:val="bottom"/>
            <w:tcBorders>
              <w:bottom w:val="single" w:sz="8" w:color="1352DE"/>
            </w:tcBorders>
          </w:tcPr>
          <w:p>
            <w:pPr>
              <w:spacing w:after="0"/>
              <w:rPr>
                <w:sz w:val="8"/>
                <w:szCs w:val="8"/>
                <w:color w:val="auto"/>
              </w:rPr>
            </w:pPr>
          </w:p>
        </w:tc>
        <w:tc>
          <w:tcPr>
            <w:tcW w:w="1280" w:type="dxa"/>
            <w:vAlign w:val="bottom"/>
            <w:tcBorders>
              <w:bottom w:val="single" w:sz="8" w:color="1352DE"/>
            </w:tcBorders>
            <w:gridSpan w:val="2"/>
          </w:tcPr>
          <w:p>
            <w:pPr>
              <w:spacing w:after="0"/>
              <w:rPr>
                <w:sz w:val="8"/>
                <w:szCs w:val="8"/>
                <w:color w:val="auto"/>
              </w:rPr>
            </w:pPr>
          </w:p>
        </w:tc>
        <w:tc>
          <w:tcPr>
            <w:tcW w:w="240" w:type="dxa"/>
            <w:vAlign w:val="bottom"/>
            <w:tcBorders>
              <w:bottom w:val="single" w:sz="8" w:color="1352DE"/>
            </w:tcBorders>
          </w:tcPr>
          <w:p>
            <w:pPr>
              <w:spacing w:after="0"/>
              <w:rPr>
                <w:sz w:val="8"/>
                <w:szCs w:val="8"/>
                <w:color w:val="auto"/>
              </w:rPr>
            </w:pPr>
          </w:p>
        </w:tc>
        <w:tc>
          <w:tcPr>
            <w:tcW w:w="540" w:type="dxa"/>
            <w:vAlign w:val="bottom"/>
            <w:tcBorders>
              <w:bottom w:val="single" w:sz="8" w:color="1352DE"/>
            </w:tcBorders>
          </w:tcPr>
          <w:p>
            <w:pPr>
              <w:spacing w:after="0"/>
              <w:rPr>
                <w:sz w:val="8"/>
                <w:szCs w:val="8"/>
                <w:color w:val="auto"/>
              </w:rPr>
            </w:pPr>
          </w:p>
        </w:tc>
        <w:tc>
          <w:tcPr>
            <w:tcW w:w="140" w:type="dxa"/>
            <w:vAlign w:val="bottom"/>
            <w:tcBorders>
              <w:bottom w:val="single" w:sz="8" w:color="1352DE"/>
            </w:tcBorders>
          </w:tcPr>
          <w:p>
            <w:pPr>
              <w:spacing w:after="0"/>
              <w:rPr>
                <w:sz w:val="8"/>
                <w:szCs w:val="8"/>
                <w:color w:val="auto"/>
              </w:rPr>
            </w:pPr>
          </w:p>
        </w:tc>
        <w:tc>
          <w:tcPr>
            <w:tcW w:w="240" w:type="dxa"/>
            <w:vAlign w:val="bottom"/>
            <w:tcBorders>
              <w:bottom w:val="single" w:sz="8" w:color="1352DE"/>
            </w:tcBorders>
          </w:tcPr>
          <w:p>
            <w:pPr>
              <w:spacing w:after="0"/>
              <w:rPr>
                <w:sz w:val="8"/>
                <w:szCs w:val="8"/>
                <w:color w:val="auto"/>
              </w:rPr>
            </w:pPr>
          </w:p>
        </w:tc>
        <w:tc>
          <w:tcPr>
            <w:tcW w:w="1360" w:type="dxa"/>
            <w:vAlign w:val="bottom"/>
            <w:tcBorders>
              <w:bottom w:val="single" w:sz="8" w:color="1352DE"/>
            </w:tcBorders>
          </w:tcPr>
          <w:p>
            <w:pPr>
              <w:spacing w:after="0"/>
              <w:rPr>
                <w:sz w:val="8"/>
                <w:szCs w:val="8"/>
                <w:color w:val="auto"/>
              </w:rPr>
            </w:pPr>
          </w:p>
        </w:tc>
        <w:tc>
          <w:tcPr>
            <w:tcW w:w="1280" w:type="dxa"/>
            <w:vAlign w:val="bottom"/>
            <w:tcBorders>
              <w:bottom w:val="single" w:sz="8" w:color="1352DE"/>
            </w:tcBorders>
            <w:gridSpan w:val="2"/>
          </w:tcPr>
          <w:p>
            <w:pPr>
              <w:spacing w:after="0"/>
              <w:rPr>
                <w:sz w:val="8"/>
                <w:szCs w:val="8"/>
                <w:color w:val="auto"/>
              </w:rPr>
            </w:pPr>
          </w:p>
        </w:tc>
        <w:tc>
          <w:tcPr>
            <w:tcW w:w="240" w:type="dxa"/>
            <w:vAlign w:val="bottom"/>
            <w:tcBorders>
              <w:bottom w:val="single" w:sz="8" w:color="1352DE"/>
            </w:tcBorders>
          </w:tcPr>
          <w:p>
            <w:pPr>
              <w:spacing w:after="0"/>
              <w:rPr>
                <w:sz w:val="8"/>
                <w:szCs w:val="8"/>
                <w:color w:val="auto"/>
              </w:rPr>
            </w:pPr>
          </w:p>
        </w:tc>
        <w:tc>
          <w:tcPr>
            <w:tcW w:w="540" w:type="dxa"/>
            <w:vAlign w:val="bottom"/>
            <w:tcBorders>
              <w:bottom w:val="single" w:sz="8" w:color="1352DE"/>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4"/>
                <w:szCs w:val="14"/>
                <w:b w:val="1"/>
                <w:bCs w:val="1"/>
                <w:color w:val="1252DE"/>
              </w:rPr>
              <w:t>Nine Months Ended September 30,</w:t>
            </w:r>
          </w:p>
        </w:tc>
        <w:tc>
          <w:tcPr>
            <w:tcW w:w="240" w:type="dxa"/>
            <w:vAlign w:val="bottom"/>
            <w:tcBorders>
              <w:bottom w:val="single" w:sz="8" w:color="1352DE"/>
            </w:tcBorders>
          </w:tcPr>
          <w:p>
            <w:pPr>
              <w:spacing w:after="0"/>
              <w:rPr>
                <w:sz w:val="16"/>
                <w:szCs w:val="16"/>
                <w:color w:val="auto"/>
              </w:rPr>
            </w:pPr>
          </w:p>
        </w:tc>
        <w:tc>
          <w:tcPr>
            <w:tcW w:w="1340" w:type="dxa"/>
            <w:vAlign w:val="bottom"/>
            <w:tcBorders>
              <w:bottom w:val="single" w:sz="8" w:color="1352DE"/>
            </w:tcBorders>
          </w:tcPr>
          <w:p>
            <w:pPr>
              <w:spacing w:after="0"/>
              <w:rPr>
                <w:sz w:val="16"/>
                <w:szCs w:val="16"/>
                <w:color w:val="auto"/>
              </w:rPr>
            </w:pPr>
          </w:p>
        </w:tc>
        <w:tc>
          <w:tcPr>
            <w:tcW w:w="1280" w:type="dxa"/>
            <w:vAlign w:val="bottom"/>
            <w:tcBorders>
              <w:bottom w:val="single" w:sz="8" w:color="1352DE"/>
            </w:tcBorders>
            <w:gridSpan w:val="2"/>
          </w:tcPr>
          <w:p>
            <w:pPr>
              <w:jc w:val="right"/>
              <w:ind w:right="808"/>
              <w:spacing w:after="0"/>
              <w:rPr>
                <w:sz w:val="20"/>
                <w:szCs w:val="20"/>
                <w:color w:val="auto"/>
              </w:rPr>
            </w:pPr>
            <w:r>
              <w:rPr>
                <w:rFonts w:ascii="Arial" w:cs="Arial" w:eastAsia="Arial" w:hAnsi="Arial"/>
                <w:sz w:val="14"/>
                <w:szCs w:val="14"/>
                <w:b w:val="1"/>
                <w:bCs w:val="1"/>
                <w:color w:val="1252DE"/>
              </w:rPr>
              <w:t>2026</w:t>
            </w:r>
          </w:p>
        </w:tc>
        <w:tc>
          <w:tcPr>
            <w:tcW w:w="240" w:type="dxa"/>
            <w:vAlign w:val="bottom"/>
            <w:tcBorders>
              <w:bottom w:val="single" w:sz="8" w:color="1352DE"/>
            </w:tcBorders>
          </w:tcPr>
          <w:p>
            <w:pPr>
              <w:spacing w:after="0"/>
              <w:rPr>
                <w:sz w:val="16"/>
                <w:szCs w:val="16"/>
                <w:color w:val="auto"/>
              </w:rPr>
            </w:pPr>
          </w:p>
        </w:tc>
        <w:tc>
          <w:tcPr>
            <w:tcW w:w="540" w:type="dxa"/>
            <w:vAlign w:val="bottom"/>
            <w:tcBorders>
              <w:bottom w:val="single" w:sz="8" w:color="1352DE"/>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1360" w:type="dxa"/>
            <w:vAlign w:val="bottom"/>
            <w:tcBorders>
              <w:bottom w:val="single" w:sz="8" w:color="1352DE"/>
            </w:tcBorders>
          </w:tcPr>
          <w:p>
            <w:pPr>
              <w:spacing w:after="0"/>
              <w:rPr>
                <w:sz w:val="16"/>
                <w:szCs w:val="16"/>
                <w:color w:val="auto"/>
              </w:rPr>
            </w:pPr>
          </w:p>
        </w:tc>
        <w:tc>
          <w:tcPr>
            <w:tcW w:w="1280" w:type="dxa"/>
            <w:vAlign w:val="bottom"/>
            <w:tcBorders>
              <w:bottom w:val="single" w:sz="8" w:color="1352DE"/>
            </w:tcBorders>
            <w:gridSpan w:val="2"/>
          </w:tcPr>
          <w:p>
            <w:pPr>
              <w:ind w:left="60"/>
              <w:spacing w:after="0"/>
              <w:rPr>
                <w:sz w:val="20"/>
                <w:szCs w:val="20"/>
                <w:color w:val="auto"/>
              </w:rPr>
            </w:pPr>
            <w:r>
              <w:rPr>
                <w:rFonts w:ascii="Arial" w:cs="Arial" w:eastAsia="Arial" w:hAnsi="Arial"/>
                <w:sz w:val="14"/>
                <w:szCs w:val="14"/>
                <w:color w:val="1252DE"/>
              </w:rPr>
              <w:t>2025</w:t>
            </w:r>
          </w:p>
        </w:tc>
        <w:tc>
          <w:tcPr>
            <w:tcW w:w="240" w:type="dxa"/>
            <w:vAlign w:val="bottom"/>
            <w:tcBorders>
              <w:bottom w:val="single" w:sz="8" w:color="1352DE"/>
            </w:tcBorders>
          </w:tcPr>
          <w:p>
            <w:pPr>
              <w:spacing w:after="0"/>
              <w:rPr>
                <w:sz w:val="16"/>
                <w:szCs w:val="16"/>
                <w:color w:val="auto"/>
              </w:rPr>
            </w:pPr>
          </w:p>
        </w:tc>
        <w:tc>
          <w:tcPr>
            <w:tcW w:w="54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4"/>
                <w:szCs w:val="14"/>
                <w:color w:val="1252DE"/>
              </w:rPr>
              <w:t>Excluding Fortitude</w:t>
            </w:r>
          </w:p>
        </w:tc>
        <w:tc>
          <w:tcPr>
            <w:tcW w:w="18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Arial" w:cs="Arial" w:eastAsia="Arial" w:hAnsi="Arial"/>
                <w:sz w:val="14"/>
                <w:szCs w:val="14"/>
                <w:color w:val="1252DE"/>
              </w:rPr>
              <w:t>Fortitude Re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line="147" w:lineRule="exact"/>
              <w:rPr>
                <w:sz w:val="20"/>
                <w:szCs w:val="20"/>
                <w:color w:val="auto"/>
              </w:rPr>
            </w:pPr>
            <w:r>
              <w:rPr>
                <w:rFonts w:ascii="Arial" w:cs="Arial" w:eastAsia="Arial" w:hAnsi="Arial"/>
                <w:sz w:val="14"/>
                <w:szCs w:val="14"/>
                <w:color w:val="1252DE"/>
              </w:rPr>
              <w:t>Excluding Fortitude</w:t>
            </w:r>
          </w:p>
        </w:tc>
        <w:tc>
          <w:tcPr>
            <w:tcW w:w="18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Arial" w:cs="Arial" w:eastAsia="Arial" w:hAnsi="Arial"/>
                <w:sz w:val="14"/>
                <w:szCs w:val="14"/>
                <w:color w:val="1252DE"/>
              </w:rPr>
              <w:t>Fortitude Re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1252DE"/>
              </w:rPr>
              <w:t>Re Funds</w:t>
            </w: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1252DE"/>
              </w:rPr>
              <w:t>Funds Withheld</w:t>
            </w:r>
          </w:p>
        </w:tc>
        <w:tc>
          <w:tcPr>
            <w:tcW w:w="24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4"/>
                <w:szCs w:val="14"/>
                <w:color w:val="1252DE"/>
              </w:rPr>
              <w:t>Total</w:t>
            </w:r>
          </w:p>
        </w:tc>
        <w:tc>
          <w:tcPr>
            <w:tcW w:w="24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1252DE"/>
              </w:rPr>
              <w:t>Re Funds</w:t>
            </w: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1252DE"/>
              </w:rPr>
              <w:t>Funds Withheld</w:t>
            </w:r>
          </w:p>
        </w:tc>
        <w:tc>
          <w:tcPr>
            <w:tcW w:w="2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1252DE"/>
              </w:rPr>
              <w:t>Total</w:t>
            </w:r>
          </w:p>
        </w:tc>
        <w:tc>
          <w:tcPr>
            <w:tcW w:w="0" w:type="dxa"/>
            <w:vAlign w:val="bottom"/>
          </w:tcPr>
          <w:p>
            <w:pPr>
              <w:spacing w:after="0"/>
              <w:rPr>
                <w:sz w:val="1"/>
                <w:szCs w:val="1"/>
                <w:color w:val="auto"/>
              </w:rPr>
            </w:pPr>
          </w:p>
        </w:tc>
      </w:tr>
      <w:tr>
        <w:trPr>
          <w:trHeight w:val="185"/>
        </w:trPr>
        <w:tc>
          <w:tcPr>
            <w:tcW w:w="35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40" w:type="dxa"/>
            <w:vAlign w:val="bottom"/>
            <w:tcBorders>
              <w:bottom w:val="single" w:sz="8" w:color="1352DE"/>
            </w:tcBorders>
          </w:tcPr>
          <w:p>
            <w:pPr>
              <w:spacing w:after="0"/>
              <w:rPr>
                <w:sz w:val="16"/>
                <w:szCs w:val="16"/>
                <w:color w:val="auto"/>
              </w:rPr>
            </w:pPr>
          </w:p>
        </w:tc>
        <w:tc>
          <w:tcPr>
            <w:tcW w:w="13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Withheld Assets</w:t>
            </w:r>
          </w:p>
        </w:tc>
        <w:tc>
          <w:tcPr>
            <w:tcW w:w="180" w:type="dxa"/>
            <w:vAlign w:val="bottom"/>
            <w:tcBorders>
              <w:bottom w:val="single" w:sz="8" w:color="1352DE"/>
            </w:tcBorders>
          </w:tcPr>
          <w:p>
            <w:pPr>
              <w:spacing w:after="0"/>
              <w:rPr>
                <w:sz w:val="16"/>
                <w:szCs w:val="16"/>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Assets</w:t>
            </w:r>
          </w:p>
        </w:tc>
        <w:tc>
          <w:tcPr>
            <w:tcW w:w="24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gridSpan w:val="2"/>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1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Withheld Assets</w:t>
            </w:r>
          </w:p>
        </w:tc>
        <w:tc>
          <w:tcPr>
            <w:tcW w:w="180" w:type="dxa"/>
            <w:vAlign w:val="bottom"/>
            <w:tcBorders>
              <w:bottom w:val="single" w:sz="8" w:color="1352DE"/>
            </w:tcBorders>
          </w:tcPr>
          <w:p>
            <w:pPr>
              <w:spacing w:after="0"/>
              <w:rPr>
                <w:sz w:val="16"/>
                <w:szCs w:val="16"/>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Assets</w:t>
            </w:r>
          </w:p>
        </w:tc>
        <w:tc>
          <w:tcPr>
            <w:tcW w:w="240" w:type="dxa"/>
            <w:vAlign w:val="bottom"/>
            <w:tcBorders>
              <w:bottom w:val="single" w:sz="8" w:color="1352DE"/>
            </w:tcBorders>
          </w:tcPr>
          <w:p>
            <w:pPr>
              <w:spacing w:after="0"/>
              <w:rPr>
                <w:sz w:val="16"/>
                <w:szCs w:val="16"/>
                <w:color w:val="auto"/>
              </w:rPr>
            </w:pPr>
          </w:p>
        </w:tc>
        <w:tc>
          <w:tcPr>
            <w:tcW w:w="54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80" w:type="dxa"/>
            <w:vAlign w:val="bottom"/>
          </w:tcPr>
          <w:p>
            <w:pPr>
              <w:ind w:left="20"/>
              <w:spacing w:after="0" w:line="147" w:lineRule="exact"/>
              <w:rPr>
                <w:sz w:val="20"/>
                <w:szCs w:val="20"/>
                <w:color w:val="auto"/>
              </w:rPr>
            </w:pPr>
            <w:r>
              <w:rPr>
                <w:rFonts w:ascii="Arial" w:cs="Arial" w:eastAsia="Arial" w:hAnsi="Arial"/>
                <w:sz w:val="14"/>
                <w:szCs w:val="14"/>
                <w:color w:val="auto"/>
              </w:rPr>
              <w:t>Available for sale fixed maturity securities, including</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1252DE"/>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252DE"/>
              </w:rPr>
              <w:t>2,735</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1252DE"/>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252DE"/>
              </w:rPr>
              <w:t>60</w:t>
            </w: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252DE"/>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1252DE"/>
              </w:rPr>
              <w:t>2,795</w:t>
            </w:r>
          </w:p>
        </w:tc>
        <w:tc>
          <w:tcPr>
            <w:tcW w:w="1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2,539</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w:t>
            </w: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2,590</w:t>
            </w:r>
          </w:p>
        </w:tc>
        <w:tc>
          <w:tcPr>
            <w:tcW w:w="0" w:type="dxa"/>
            <w:vAlign w:val="bottom"/>
          </w:tcPr>
          <w:p>
            <w:pPr>
              <w:spacing w:after="0"/>
              <w:rPr>
                <w:sz w:val="1"/>
                <w:szCs w:val="1"/>
                <w:color w:val="auto"/>
              </w:rPr>
            </w:pPr>
          </w:p>
        </w:tc>
      </w:tr>
      <w:tr>
        <w:trPr>
          <w:trHeight w:val="189"/>
        </w:trPr>
        <w:tc>
          <w:tcPr>
            <w:tcW w:w="358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2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4"/>
                <w:szCs w:val="14"/>
                <w:color w:val="auto"/>
              </w:rPr>
              <w:t>Other fixed maturity securities</w:t>
            </w:r>
          </w:p>
        </w:tc>
        <w:tc>
          <w:tcPr>
            <w:tcW w:w="24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1</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1</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3"/>
        </w:trPr>
        <w:tc>
          <w:tcPr>
            <w:tcW w:w="3580" w:type="dxa"/>
            <w:vAlign w:val="bottom"/>
          </w:tcPr>
          <w:p>
            <w:pPr>
              <w:ind w:left="4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9"/>
                <w:szCs w:val="9"/>
                <w:color w:val="auto"/>
              </w:rPr>
              <w:t>(a)</w:t>
            </w:r>
          </w:p>
        </w:tc>
        <w:tc>
          <w:tcPr>
            <w:tcW w:w="24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99</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99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4"/>
                <w:szCs w:val="14"/>
                <w:color w:val="auto"/>
              </w:rPr>
              <w:t>Interest on mortgage and other loans</w:t>
            </w:r>
          </w:p>
        </w:tc>
        <w:tc>
          <w:tcPr>
            <w:tcW w:w="24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89</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13</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102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378460</wp:posOffset>
            </wp:positionV>
            <wp:extent cx="23317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 |</w:t>
      </w:r>
      <w:r>
        <w:rPr>
          <w:rFonts w:ascii="Arial" w:cs="Arial" w:eastAsia="Arial" w:hAnsi="Arial"/>
          <w:sz w:val="13"/>
          <w:szCs w:val="13"/>
          <w:color w:val="auto"/>
        </w:rPr>
        <w:t xml:space="preserve"> </w:t>
      </w:r>
      <w:r>
        <w:rPr>
          <w:rFonts w:ascii="Arial" w:cs="Arial" w:eastAsia="Arial" w:hAnsi="Arial"/>
          <w:sz w:val="13"/>
          <w:szCs w:val="13"/>
          <w:b w:val="1"/>
          <w:bCs w:val="1"/>
          <w:color w:val="001770"/>
        </w:rPr>
        <w:t>5. Investments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Borders>
              <w:top w:val="single" w:sz="8" w:color="1352DE"/>
            </w:tcBorders>
          </w:tcPr>
          <w:p>
            <w:pPr>
              <w:ind w:left="20"/>
              <w:spacing w:after="0"/>
              <w:rPr>
                <w:sz w:val="20"/>
                <w:szCs w:val="20"/>
                <w:color w:val="auto"/>
              </w:rPr>
            </w:pPr>
            <w:r>
              <w:rPr>
                <w:rFonts w:ascii="Arial" w:cs="Arial" w:eastAsia="Arial" w:hAnsi="Arial"/>
                <w:sz w:val="14"/>
                <w:szCs w:val="14"/>
                <w:b w:val="1"/>
                <w:bCs w:val="1"/>
                <w:color w:val="1252DE"/>
              </w:rPr>
              <w:t>Nine Months Ended September 30,</w:t>
            </w:r>
          </w:p>
        </w:tc>
        <w:tc>
          <w:tcPr>
            <w:tcW w:w="240" w:type="dxa"/>
            <w:vAlign w:val="bottom"/>
            <w:tcBorders>
              <w:top w:val="single" w:sz="8" w:color="1352DE"/>
              <w:bottom w:val="single" w:sz="8" w:color="1352DE"/>
            </w:tcBorders>
          </w:tcPr>
          <w:p>
            <w:pPr>
              <w:spacing w:after="0"/>
              <w:rPr>
                <w:sz w:val="18"/>
                <w:szCs w:val="18"/>
                <w:color w:val="auto"/>
              </w:rPr>
            </w:pPr>
          </w:p>
        </w:tc>
        <w:tc>
          <w:tcPr>
            <w:tcW w:w="1340" w:type="dxa"/>
            <w:vAlign w:val="bottom"/>
            <w:tcBorders>
              <w:top w:val="single" w:sz="8" w:color="1352DE"/>
              <w:bottom w:val="single" w:sz="8" w:color="1352DE"/>
            </w:tcBorders>
          </w:tcPr>
          <w:p>
            <w:pPr>
              <w:spacing w:after="0"/>
              <w:rPr>
                <w:sz w:val="18"/>
                <w:szCs w:val="18"/>
                <w:color w:val="auto"/>
              </w:rPr>
            </w:pPr>
          </w:p>
        </w:tc>
        <w:tc>
          <w:tcPr>
            <w:tcW w:w="1280" w:type="dxa"/>
            <w:vAlign w:val="bottom"/>
            <w:tcBorders>
              <w:top w:val="single" w:sz="8" w:color="1352DE"/>
              <w:bottom w:val="single" w:sz="8" w:color="1352DE"/>
            </w:tcBorders>
            <w:gridSpan w:val="2"/>
          </w:tcPr>
          <w:p>
            <w:pPr>
              <w:jc w:val="right"/>
              <w:ind w:right="808"/>
              <w:spacing w:after="0"/>
              <w:rPr>
                <w:sz w:val="20"/>
                <w:szCs w:val="20"/>
                <w:color w:val="auto"/>
              </w:rPr>
            </w:pPr>
            <w:r>
              <w:rPr>
                <w:rFonts w:ascii="Arial" w:cs="Arial" w:eastAsia="Arial" w:hAnsi="Arial"/>
                <w:sz w:val="14"/>
                <w:szCs w:val="14"/>
                <w:b w:val="1"/>
                <w:bCs w:val="1"/>
                <w:color w:val="1252DE"/>
              </w:rPr>
              <w:t>2026</w:t>
            </w:r>
          </w:p>
        </w:tc>
        <w:tc>
          <w:tcPr>
            <w:tcW w:w="240" w:type="dxa"/>
            <w:vAlign w:val="bottom"/>
            <w:tcBorders>
              <w:top w:val="single" w:sz="8" w:color="1352DE"/>
              <w:bottom w:val="single" w:sz="8" w:color="1352DE"/>
            </w:tcBorders>
          </w:tcPr>
          <w:p>
            <w:pPr>
              <w:spacing w:after="0"/>
              <w:rPr>
                <w:sz w:val="18"/>
                <w:szCs w:val="18"/>
                <w:color w:val="auto"/>
              </w:rPr>
            </w:pPr>
          </w:p>
        </w:tc>
        <w:tc>
          <w:tcPr>
            <w:tcW w:w="540" w:type="dxa"/>
            <w:vAlign w:val="bottom"/>
            <w:tcBorders>
              <w:top w:val="single" w:sz="8" w:color="1352DE"/>
              <w:bottom w:val="single" w:sz="8" w:color="1352DE"/>
            </w:tcBorders>
          </w:tcPr>
          <w:p>
            <w:pPr>
              <w:spacing w:after="0"/>
              <w:rPr>
                <w:sz w:val="18"/>
                <w:szCs w:val="18"/>
                <w:color w:val="auto"/>
              </w:rPr>
            </w:pPr>
          </w:p>
        </w:tc>
        <w:tc>
          <w:tcPr>
            <w:tcW w:w="140" w:type="dxa"/>
            <w:vAlign w:val="bottom"/>
            <w:tcBorders>
              <w:top w:val="single" w:sz="8" w:color="1352DE"/>
            </w:tcBorders>
          </w:tcPr>
          <w:p>
            <w:pPr>
              <w:spacing w:after="0"/>
              <w:rPr>
                <w:sz w:val="18"/>
                <w:szCs w:val="18"/>
                <w:color w:val="auto"/>
              </w:rPr>
            </w:pPr>
          </w:p>
        </w:tc>
        <w:tc>
          <w:tcPr>
            <w:tcW w:w="240" w:type="dxa"/>
            <w:vAlign w:val="bottom"/>
            <w:tcBorders>
              <w:top w:val="single" w:sz="8" w:color="1352DE"/>
              <w:bottom w:val="single" w:sz="8" w:color="1352DE"/>
            </w:tcBorders>
          </w:tcPr>
          <w:p>
            <w:pPr>
              <w:spacing w:after="0"/>
              <w:rPr>
                <w:sz w:val="18"/>
                <w:szCs w:val="18"/>
                <w:color w:val="auto"/>
              </w:rPr>
            </w:pPr>
          </w:p>
        </w:tc>
        <w:tc>
          <w:tcPr>
            <w:tcW w:w="1360" w:type="dxa"/>
            <w:vAlign w:val="bottom"/>
            <w:tcBorders>
              <w:top w:val="single" w:sz="8" w:color="1352DE"/>
              <w:bottom w:val="single" w:sz="8" w:color="1352DE"/>
            </w:tcBorders>
          </w:tcPr>
          <w:p>
            <w:pPr>
              <w:spacing w:after="0"/>
              <w:rPr>
                <w:sz w:val="18"/>
                <w:szCs w:val="18"/>
                <w:color w:val="auto"/>
              </w:rPr>
            </w:pPr>
          </w:p>
        </w:tc>
        <w:tc>
          <w:tcPr>
            <w:tcW w:w="1280" w:type="dxa"/>
            <w:vAlign w:val="bottom"/>
            <w:tcBorders>
              <w:top w:val="single" w:sz="8" w:color="1352DE"/>
              <w:bottom w:val="single" w:sz="8" w:color="1352DE"/>
            </w:tcBorders>
            <w:gridSpan w:val="2"/>
          </w:tcPr>
          <w:p>
            <w:pPr>
              <w:ind w:left="60"/>
              <w:spacing w:after="0"/>
              <w:rPr>
                <w:sz w:val="20"/>
                <w:szCs w:val="20"/>
                <w:color w:val="auto"/>
              </w:rPr>
            </w:pPr>
            <w:r>
              <w:rPr>
                <w:rFonts w:ascii="Arial" w:cs="Arial" w:eastAsia="Arial" w:hAnsi="Arial"/>
                <w:sz w:val="14"/>
                <w:szCs w:val="14"/>
                <w:color w:val="1252DE"/>
              </w:rPr>
              <w:t>2025</w:t>
            </w:r>
          </w:p>
        </w:tc>
        <w:tc>
          <w:tcPr>
            <w:tcW w:w="240" w:type="dxa"/>
            <w:vAlign w:val="bottom"/>
            <w:tcBorders>
              <w:top w:val="single" w:sz="8" w:color="1352DE"/>
              <w:bottom w:val="single" w:sz="8" w:color="1352DE"/>
            </w:tcBorders>
          </w:tcPr>
          <w:p>
            <w:pPr>
              <w:spacing w:after="0"/>
              <w:rPr>
                <w:sz w:val="18"/>
                <w:szCs w:val="18"/>
                <w:color w:val="auto"/>
              </w:rPr>
            </w:pPr>
          </w:p>
        </w:tc>
        <w:tc>
          <w:tcPr>
            <w:tcW w:w="54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3" w:lineRule="exact"/>
              <w:rPr>
                <w:sz w:val="20"/>
                <w:szCs w:val="20"/>
                <w:color w:val="auto"/>
              </w:rPr>
            </w:pPr>
            <w:r>
              <w:rPr>
                <w:rFonts w:ascii="Arial" w:cs="Arial" w:eastAsia="Arial" w:hAnsi="Arial"/>
                <w:sz w:val="14"/>
                <w:szCs w:val="14"/>
                <w:color w:val="1252DE"/>
              </w:rPr>
              <w:t>Excluding Fortitude</w:t>
            </w:r>
          </w:p>
        </w:tc>
        <w:tc>
          <w:tcPr>
            <w:tcW w:w="18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1252DE"/>
              </w:rPr>
              <w:t>Fortitude Re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Arial" w:cs="Arial" w:eastAsia="Arial" w:hAnsi="Arial"/>
                <w:sz w:val="14"/>
                <w:szCs w:val="14"/>
                <w:color w:val="1252DE"/>
              </w:rPr>
              <w:t>Excluding Fortitude</w:t>
            </w:r>
          </w:p>
        </w:tc>
        <w:tc>
          <w:tcPr>
            <w:tcW w:w="18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1252DE"/>
              </w:rPr>
              <w:t>Fortitude Re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39" w:lineRule="exact"/>
              <w:rPr>
                <w:sz w:val="20"/>
                <w:szCs w:val="20"/>
                <w:color w:val="auto"/>
              </w:rPr>
            </w:pPr>
            <w:r>
              <w:rPr>
                <w:rFonts w:ascii="Arial" w:cs="Arial" w:eastAsia="Arial" w:hAnsi="Arial"/>
                <w:sz w:val="14"/>
                <w:szCs w:val="14"/>
                <w:color w:val="1252DE"/>
              </w:rPr>
              <w:t>Re Funds</w:t>
            </w:r>
          </w:p>
        </w:tc>
        <w:tc>
          <w:tcPr>
            <w:tcW w:w="180" w:type="dxa"/>
            <w:vAlign w:val="bottom"/>
          </w:tcPr>
          <w:p>
            <w:pPr>
              <w:spacing w:after="0"/>
              <w:rPr>
                <w:sz w:val="12"/>
                <w:szCs w:val="12"/>
                <w:color w:val="auto"/>
              </w:rPr>
            </w:pPr>
          </w:p>
        </w:tc>
        <w:tc>
          <w:tcPr>
            <w:tcW w:w="1100" w:type="dxa"/>
            <w:vAlign w:val="bottom"/>
          </w:tcPr>
          <w:p>
            <w:pPr>
              <w:jc w:val="right"/>
              <w:spacing w:after="0" w:line="139" w:lineRule="exact"/>
              <w:rPr>
                <w:sz w:val="20"/>
                <w:szCs w:val="20"/>
                <w:color w:val="auto"/>
              </w:rPr>
            </w:pPr>
            <w:r>
              <w:rPr>
                <w:rFonts w:ascii="Arial" w:cs="Arial" w:eastAsia="Arial" w:hAnsi="Arial"/>
                <w:sz w:val="14"/>
                <w:szCs w:val="14"/>
                <w:color w:val="1252DE"/>
              </w:rPr>
              <w:t>Funds Withheld</w:t>
            </w:r>
          </w:p>
        </w:tc>
        <w:tc>
          <w:tcPr>
            <w:tcW w:w="24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4"/>
                <w:szCs w:val="14"/>
                <w:color w:val="1252DE"/>
              </w:rPr>
              <w:t>Total</w:t>
            </w:r>
          </w:p>
        </w:tc>
        <w:tc>
          <w:tcPr>
            <w:tcW w:w="240" w:type="dxa"/>
            <w:vAlign w:val="bottom"/>
          </w:tcPr>
          <w:p>
            <w:pPr>
              <w:spacing w:after="0"/>
              <w:rPr>
                <w:sz w:val="12"/>
                <w:szCs w:val="12"/>
                <w:color w:val="auto"/>
              </w:rPr>
            </w:pPr>
          </w:p>
        </w:tc>
        <w:tc>
          <w:tcPr>
            <w:tcW w:w="1360" w:type="dxa"/>
            <w:vAlign w:val="bottom"/>
          </w:tcPr>
          <w:p>
            <w:pPr>
              <w:jc w:val="right"/>
              <w:spacing w:after="0" w:line="139" w:lineRule="exact"/>
              <w:rPr>
                <w:sz w:val="20"/>
                <w:szCs w:val="20"/>
                <w:color w:val="auto"/>
              </w:rPr>
            </w:pPr>
            <w:r>
              <w:rPr>
                <w:rFonts w:ascii="Arial" w:cs="Arial" w:eastAsia="Arial" w:hAnsi="Arial"/>
                <w:sz w:val="14"/>
                <w:szCs w:val="14"/>
                <w:color w:val="1252DE"/>
              </w:rPr>
              <w:t>Re Funds</w:t>
            </w:r>
          </w:p>
        </w:tc>
        <w:tc>
          <w:tcPr>
            <w:tcW w:w="180" w:type="dxa"/>
            <w:vAlign w:val="bottom"/>
          </w:tcPr>
          <w:p>
            <w:pPr>
              <w:spacing w:after="0"/>
              <w:rPr>
                <w:sz w:val="12"/>
                <w:szCs w:val="12"/>
                <w:color w:val="auto"/>
              </w:rPr>
            </w:pPr>
          </w:p>
        </w:tc>
        <w:tc>
          <w:tcPr>
            <w:tcW w:w="1100" w:type="dxa"/>
            <w:vAlign w:val="bottom"/>
          </w:tcPr>
          <w:p>
            <w:pPr>
              <w:jc w:val="right"/>
              <w:spacing w:after="0" w:line="139" w:lineRule="exact"/>
              <w:rPr>
                <w:sz w:val="20"/>
                <w:szCs w:val="20"/>
                <w:color w:val="auto"/>
              </w:rPr>
            </w:pPr>
            <w:r>
              <w:rPr>
                <w:rFonts w:ascii="Arial" w:cs="Arial" w:eastAsia="Arial" w:hAnsi="Arial"/>
                <w:sz w:val="14"/>
                <w:szCs w:val="14"/>
                <w:color w:val="1252DE"/>
              </w:rPr>
              <w:t>Funds Withheld</w:t>
            </w:r>
          </w:p>
        </w:tc>
        <w:tc>
          <w:tcPr>
            <w:tcW w:w="2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1252DE"/>
              </w:rPr>
              <w:t>Total</w:t>
            </w:r>
          </w:p>
        </w:tc>
        <w:tc>
          <w:tcPr>
            <w:tcW w:w="0" w:type="dxa"/>
            <w:vAlign w:val="bottom"/>
          </w:tcPr>
          <w:p>
            <w:pPr>
              <w:spacing w:after="0"/>
              <w:rPr>
                <w:sz w:val="1"/>
                <w:szCs w:val="1"/>
                <w:color w:val="auto"/>
              </w:rPr>
            </w:pPr>
          </w:p>
        </w:tc>
      </w:tr>
      <w:tr>
        <w:trPr>
          <w:trHeight w:val="194"/>
        </w:trPr>
        <w:tc>
          <w:tcPr>
            <w:tcW w:w="35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40" w:type="dxa"/>
            <w:vAlign w:val="bottom"/>
            <w:tcBorders>
              <w:bottom w:val="single" w:sz="8" w:color="1352DE"/>
            </w:tcBorders>
          </w:tcPr>
          <w:p>
            <w:pPr>
              <w:spacing w:after="0"/>
              <w:rPr>
                <w:sz w:val="16"/>
                <w:szCs w:val="16"/>
                <w:color w:val="auto"/>
              </w:rPr>
            </w:pPr>
          </w:p>
        </w:tc>
        <w:tc>
          <w:tcPr>
            <w:tcW w:w="13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Withheld Assets</w:t>
            </w:r>
          </w:p>
        </w:tc>
        <w:tc>
          <w:tcPr>
            <w:tcW w:w="180" w:type="dxa"/>
            <w:vAlign w:val="bottom"/>
            <w:tcBorders>
              <w:bottom w:val="single" w:sz="8" w:color="1352DE"/>
            </w:tcBorders>
          </w:tcPr>
          <w:p>
            <w:pPr>
              <w:spacing w:after="0"/>
              <w:rPr>
                <w:sz w:val="16"/>
                <w:szCs w:val="16"/>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Assets</w:t>
            </w:r>
          </w:p>
        </w:tc>
        <w:tc>
          <w:tcPr>
            <w:tcW w:w="24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gridSpan w:val="2"/>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1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Withheld Assets</w:t>
            </w:r>
          </w:p>
        </w:tc>
        <w:tc>
          <w:tcPr>
            <w:tcW w:w="180" w:type="dxa"/>
            <w:vAlign w:val="bottom"/>
            <w:tcBorders>
              <w:bottom w:val="single" w:sz="8" w:color="1352DE"/>
            </w:tcBorders>
          </w:tcPr>
          <w:p>
            <w:pPr>
              <w:spacing w:after="0"/>
              <w:rPr>
                <w:sz w:val="16"/>
                <w:szCs w:val="16"/>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Assets</w:t>
            </w:r>
          </w:p>
        </w:tc>
        <w:tc>
          <w:tcPr>
            <w:tcW w:w="240" w:type="dxa"/>
            <w:vAlign w:val="bottom"/>
            <w:tcBorders>
              <w:bottom w:val="single" w:sz="8" w:color="1352DE"/>
            </w:tcBorders>
          </w:tcPr>
          <w:p>
            <w:pPr>
              <w:spacing w:after="0"/>
              <w:rPr>
                <w:sz w:val="16"/>
                <w:szCs w:val="16"/>
                <w:color w:val="auto"/>
              </w:rPr>
            </w:pPr>
          </w:p>
        </w:tc>
        <w:tc>
          <w:tcPr>
            <w:tcW w:w="54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line="202" w:lineRule="exact"/>
              <w:rPr>
                <w:sz w:val="20"/>
                <w:szCs w:val="20"/>
                <w:color w:val="auto"/>
              </w:rPr>
            </w:pPr>
            <w:r>
              <w:rPr>
                <w:rFonts w:ascii="Arial" w:cs="Arial" w:eastAsia="Arial" w:hAnsi="Arial"/>
                <w:sz w:val="14"/>
                <w:szCs w:val="14"/>
                <w:color w:val="auto"/>
              </w:rPr>
              <w:t>Alternative investments</w:t>
            </w:r>
            <w:r>
              <w:rPr>
                <w:rFonts w:ascii="Arial" w:cs="Arial" w:eastAsia="Arial" w:hAnsi="Arial"/>
                <w:sz w:val="18"/>
                <w:szCs w:val="18"/>
                <w:color w:val="auto"/>
                <w:vertAlign w:val="superscript"/>
              </w:rPr>
              <w:t>(b)</w:t>
            </w:r>
          </w:p>
        </w:tc>
        <w:tc>
          <w:tcPr>
            <w:tcW w:w="24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115</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115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1"/>
        </w:trPr>
        <w:tc>
          <w:tcPr>
            <w:tcW w:w="3580" w:type="dxa"/>
            <w:vAlign w:val="bottom"/>
            <w:tcBorders>
              <w:bottom w:val="single" w:sz="8" w:color="1352DE"/>
            </w:tcBorders>
          </w:tcPr>
          <w:p>
            <w:pPr>
              <w:ind w:left="20"/>
              <w:spacing w:after="0" w:line="201" w:lineRule="exact"/>
              <w:rPr>
                <w:sz w:val="20"/>
                <w:szCs w:val="20"/>
                <w:color w:val="auto"/>
              </w:rPr>
            </w:pPr>
            <w:r>
              <w:rPr>
                <w:rFonts w:ascii="Arial" w:cs="Arial" w:eastAsia="Arial" w:hAnsi="Arial"/>
                <w:sz w:val="14"/>
                <w:szCs w:val="14"/>
                <w:color w:val="auto"/>
              </w:rPr>
              <w:t>Other investments</w:t>
            </w:r>
            <w:r>
              <w:rPr>
                <w:rFonts w:ascii="Arial" w:cs="Arial" w:eastAsia="Arial" w:hAnsi="Arial"/>
                <w:sz w:val="18"/>
                <w:szCs w:val="18"/>
                <w:color w:val="auto"/>
                <w:vertAlign w:val="superscript"/>
              </w:rPr>
              <w:t>(c)</w:t>
            </w:r>
          </w:p>
        </w:tc>
        <w:tc>
          <w:tcPr>
            <w:tcW w:w="240" w:type="dxa"/>
            <w:vAlign w:val="bottom"/>
            <w:tcBorders>
              <w:bottom w:val="single" w:sz="8" w:color="1352DE"/>
            </w:tcBorders>
          </w:tcPr>
          <w:p>
            <w:pPr>
              <w:spacing w:after="0"/>
              <w:rPr>
                <w:sz w:val="17"/>
                <w:szCs w:val="17"/>
                <w:color w:val="auto"/>
              </w:rPr>
            </w:pPr>
          </w:p>
        </w:tc>
        <w:tc>
          <w:tcPr>
            <w:tcW w:w="13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(50)</w:t>
            </w:r>
          </w:p>
        </w:tc>
        <w:tc>
          <w:tcPr>
            <w:tcW w:w="18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w:t>
            </w:r>
          </w:p>
        </w:tc>
        <w:tc>
          <w:tcPr>
            <w:tcW w:w="2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(49)</w:t>
            </w:r>
          </w:p>
        </w:tc>
        <w:tc>
          <w:tcPr>
            <w:tcW w:w="14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13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368</w:t>
            </w:r>
          </w:p>
        </w:tc>
        <w:tc>
          <w:tcPr>
            <w:tcW w:w="18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Arial" w:cs="Arial" w:eastAsia="Arial" w:hAnsi="Arial"/>
                <w:sz w:val="14"/>
                <w:szCs w:val="14"/>
                <w:b w:val="1"/>
                <w:bCs w:val="1"/>
                <w:color w:val="1252DE"/>
              </w:rPr>
              <w:t>Total investment income</w:t>
            </w:r>
          </w:p>
        </w:tc>
        <w:tc>
          <w:tcPr>
            <w:tcW w:w="2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1252DE"/>
              </w:rPr>
              <w:t>2,989</w:t>
            </w:r>
          </w:p>
        </w:tc>
        <w:tc>
          <w:tcPr>
            <w:tcW w:w="1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1252DE"/>
              </w:rPr>
              <w:t>75</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252DE"/>
              </w:rPr>
              <w:t>3,064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3,350</w:t>
            </w:r>
          </w:p>
        </w:tc>
        <w:tc>
          <w:tcPr>
            <w:tcW w:w="1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rPr>
                <w:sz w:val="1"/>
                <w:szCs w:val="1"/>
                <w:color w:val="auto"/>
              </w:rPr>
            </w:pPr>
          </w:p>
        </w:tc>
      </w:tr>
      <w:tr>
        <w:trPr>
          <w:trHeight w:val="204"/>
        </w:trPr>
        <w:tc>
          <w:tcPr>
            <w:tcW w:w="358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Investment expenses</w:t>
            </w:r>
          </w:p>
        </w:tc>
        <w:tc>
          <w:tcPr>
            <w:tcW w:w="240" w:type="dxa"/>
            <w:vAlign w:val="bottom"/>
            <w:tcBorders>
              <w:bottom w:val="single" w:sz="8" w:color="1352DE"/>
            </w:tcBorders>
          </w:tcPr>
          <w:p>
            <w:pPr>
              <w:spacing w:after="0"/>
              <w:rPr>
                <w:sz w:val="17"/>
                <w:szCs w:val="17"/>
                <w:color w:val="auto"/>
              </w:rPr>
            </w:pPr>
          </w:p>
        </w:tc>
        <w:tc>
          <w:tcPr>
            <w:tcW w:w="13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125</w:t>
            </w:r>
          </w:p>
        </w:tc>
        <w:tc>
          <w:tcPr>
            <w:tcW w:w="18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2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125</w:t>
            </w:r>
          </w:p>
        </w:tc>
        <w:tc>
          <w:tcPr>
            <w:tcW w:w="14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13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115</w:t>
            </w:r>
          </w:p>
        </w:tc>
        <w:tc>
          <w:tcPr>
            <w:tcW w:w="18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Net investment income</w:t>
            </w:r>
          </w:p>
        </w:tc>
        <w:tc>
          <w:tcPr>
            <w:tcW w:w="2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3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2,864</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75</w:t>
            </w:r>
          </w:p>
        </w:tc>
        <w:tc>
          <w:tcPr>
            <w:tcW w:w="2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2,939</w:t>
            </w:r>
          </w:p>
        </w:tc>
        <w:tc>
          <w:tcPr>
            <w:tcW w:w="14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3,235</w:t>
            </w:r>
          </w:p>
        </w:tc>
        <w:tc>
          <w:tcPr>
            <w:tcW w:w="180" w:type="dxa"/>
            <w:vAlign w:val="bottom"/>
            <w:tcBorders>
              <w:bottom w:val="single" w:sz="8" w:color="1352DE"/>
            </w:tcBorders>
          </w:tcPr>
          <w:p>
            <w:pPr>
              <w:ind w:left="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108</w:t>
            </w:r>
          </w:p>
        </w:tc>
        <w:tc>
          <w:tcPr>
            <w:tcW w:w="2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gain/loss on sale of AIG's remaining interest in Corebridge of $103 million for the nine months ended September 30, 2026.</w:t>
      </w:r>
    </w:p>
    <w:p>
      <w:pPr>
        <w:spacing w:after="0" w:line="80" w:lineRule="exact"/>
        <w:rPr>
          <w:rFonts w:ascii="Arial" w:cs="Arial" w:eastAsia="Arial" w:hAnsi="Arial"/>
          <w:sz w:val="13"/>
          <w:szCs w:val="13"/>
          <w:color w:val="auto"/>
        </w:rPr>
      </w:pPr>
    </w:p>
    <w:p>
      <w:pPr>
        <w:ind w:left="220" w:right="180" w:hanging="212"/>
        <w:spacing w:after="0" w:line="264" w:lineRule="auto"/>
        <w:tabs>
          <w:tab w:leader="none" w:pos="208"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income from hedge funds, private equity funds and real estate investments. Hedge funds are generally reported on a one-month lag. Private equity funds are generally reported on a one-quarter lag.</w:t>
      </w:r>
    </w:p>
    <w:p>
      <w:pPr>
        <w:spacing w:after="0" w:line="49" w:lineRule="exact"/>
        <w:rPr>
          <w:rFonts w:ascii="Arial" w:cs="Arial" w:eastAsia="Arial" w:hAnsi="Arial"/>
          <w:sz w:val="13"/>
          <w:szCs w:val="13"/>
          <w:color w:val="auto"/>
        </w:rPr>
      </w:pPr>
    </w:p>
    <w:p>
      <w:pPr>
        <w:ind w:left="220" w:right="120" w:hanging="212"/>
        <w:spacing w:after="0" w:line="284" w:lineRule="auto"/>
        <w:tabs>
          <w:tab w:leader="none" w:pos="214"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AIG's share of Convex's net income less amortization of intangible asset basis differences. Additionally, includes dividends received from Corebridge and changes in the fair value of AIG's investment in Corebridge of $6 million and $(154) million, respectively, for the three months ended March 31, 2026, $20 million and $(348) million, respectively, for the three months ended September 30, 2025, and $78 million and $316 million, respectively, for the nine months ended September 30, 2025.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NET REALIZED GAINS AND LOSSES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components of Net realized gains (losses):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Borders>
              <w:top w:val="single" w:sz="8" w:color="1352DE"/>
            </w:tcBorders>
          </w:tcPr>
          <w:p>
            <w:pPr>
              <w:ind w:left="20"/>
              <w:spacing w:after="0"/>
              <w:rPr>
                <w:sz w:val="20"/>
                <w:szCs w:val="20"/>
                <w:color w:val="auto"/>
              </w:rPr>
            </w:pPr>
            <w:r>
              <w:rPr>
                <w:rFonts w:ascii="Arial" w:cs="Arial" w:eastAsia="Arial" w:hAnsi="Arial"/>
                <w:sz w:val="14"/>
                <w:szCs w:val="14"/>
                <w:b w:val="1"/>
                <w:bCs w:val="1"/>
                <w:color w:val="1252DE"/>
              </w:rPr>
              <w:t>Three Months Ended September 30,</w:t>
            </w:r>
          </w:p>
        </w:tc>
        <w:tc>
          <w:tcPr>
            <w:tcW w:w="220" w:type="dxa"/>
            <w:vAlign w:val="bottom"/>
            <w:tcBorders>
              <w:top w:val="single" w:sz="8" w:color="1352DE"/>
              <w:bottom w:val="single" w:sz="8" w:color="1352DE"/>
            </w:tcBorders>
          </w:tcPr>
          <w:p>
            <w:pPr>
              <w:spacing w:after="0"/>
              <w:rPr>
                <w:sz w:val="18"/>
                <w:szCs w:val="18"/>
                <w:color w:val="auto"/>
              </w:rPr>
            </w:pPr>
          </w:p>
        </w:tc>
        <w:tc>
          <w:tcPr>
            <w:tcW w:w="700" w:type="dxa"/>
            <w:vAlign w:val="bottom"/>
            <w:tcBorders>
              <w:top w:val="single" w:sz="8" w:color="1352DE"/>
              <w:bottom w:val="single" w:sz="8" w:color="1352DE"/>
            </w:tcBorders>
          </w:tcPr>
          <w:p>
            <w:pPr>
              <w:spacing w:after="0"/>
              <w:rPr>
                <w:sz w:val="18"/>
                <w:szCs w:val="18"/>
                <w:color w:val="auto"/>
              </w:rPr>
            </w:pPr>
          </w:p>
        </w:tc>
        <w:tc>
          <w:tcPr>
            <w:tcW w:w="180" w:type="dxa"/>
            <w:vAlign w:val="bottom"/>
            <w:tcBorders>
              <w:top w:val="single" w:sz="8" w:color="1352DE"/>
              <w:bottom w:val="single" w:sz="8" w:color="1352DE"/>
            </w:tcBorders>
          </w:tcPr>
          <w:p>
            <w:pPr>
              <w:spacing w:after="0"/>
              <w:rPr>
                <w:sz w:val="18"/>
                <w:szCs w:val="18"/>
                <w:color w:val="auto"/>
              </w:rPr>
            </w:pPr>
          </w:p>
        </w:tc>
        <w:tc>
          <w:tcPr>
            <w:tcW w:w="680" w:type="dxa"/>
            <w:vAlign w:val="bottom"/>
            <w:tcBorders>
              <w:top w:val="single" w:sz="8" w:color="1352DE"/>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2026</w:t>
            </w:r>
          </w:p>
        </w:tc>
        <w:tc>
          <w:tcPr>
            <w:tcW w:w="300" w:type="dxa"/>
            <w:vAlign w:val="bottom"/>
            <w:tcBorders>
              <w:top w:val="single" w:sz="8" w:color="1352DE"/>
              <w:bottom w:val="single" w:sz="8" w:color="1352DE"/>
            </w:tcBorders>
          </w:tcPr>
          <w:p>
            <w:pPr>
              <w:spacing w:after="0"/>
              <w:rPr>
                <w:sz w:val="18"/>
                <w:szCs w:val="18"/>
                <w:color w:val="auto"/>
              </w:rPr>
            </w:pPr>
          </w:p>
        </w:tc>
        <w:tc>
          <w:tcPr>
            <w:tcW w:w="500" w:type="dxa"/>
            <w:vAlign w:val="bottom"/>
            <w:tcBorders>
              <w:top w:val="single" w:sz="8" w:color="1352DE"/>
              <w:bottom w:val="single" w:sz="8" w:color="1352DE"/>
            </w:tcBorders>
          </w:tcPr>
          <w:p>
            <w:pPr>
              <w:spacing w:after="0"/>
              <w:rPr>
                <w:sz w:val="18"/>
                <w:szCs w:val="18"/>
                <w:color w:val="auto"/>
              </w:rPr>
            </w:pPr>
          </w:p>
        </w:tc>
        <w:tc>
          <w:tcPr>
            <w:tcW w:w="160" w:type="dxa"/>
            <w:vAlign w:val="bottom"/>
            <w:tcBorders>
              <w:top w:val="single" w:sz="8" w:color="1352DE"/>
            </w:tcBorders>
          </w:tcPr>
          <w:p>
            <w:pPr>
              <w:spacing w:after="0"/>
              <w:rPr>
                <w:sz w:val="18"/>
                <w:szCs w:val="18"/>
                <w:color w:val="auto"/>
              </w:rPr>
            </w:pPr>
          </w:p>
        </w:tc>
        <w:tc>
          <w:tcPr>
            <w:tcW w:w="220" w:type="dxa"/>
            <w:vAlign w:val="bottom"/>
            <w:tcBorders>
              <w:top w:val="single" w:sz="8" w:color="1352DE"/>
              <w:bottom w:val="single" w:sz="8" w:color="1352DE"/>
            </w:tcBorders>
          </w:tcPr>
          <w:p>
            <w:pPr>
              <w:spacing w:after="0"/>
              <w:rPr>
                <w:sz w:val="18"/>
                <w:szCs w:val="18"/>
                <w:color w:val="auto"/>
              </w:rPr>
            </w:pPr>
          </w:p>
        </w:tc>
        <w:tc>
          <w:tcPr>
            <w:tcW w:w="700" w:type="dxa"/>
            <w:vAlign w:val="bottom"/>
            <w:tcBorders>
              <w:top w:val="single" w:sz="8" w:color="1352DE"/>
              <w:bottom w:val="single" w:sz="8" w:color="1352DE"/>
            </w:tcBorders>
          </w:tcPr>
          <w:p>
            <w:pPr>
              <w:spacing w:after="0"/>
              <w:rPr>
                <w:sz w:val="18"/>
                <w:szCs w:val="18"/>
                <w:color w:val="auto"/>
              </w:rPr>
            </w:pPr>
          </w:p>
        </w:tc>
        <w:tc>
          <w:tcPr>
            <w:tcW w:w="180" w:type="dxa"/>
            <w:vAlign w:val="bottom"/>
            <w:tcBorders>
              <w:top w:val="single" w:sz="8" w:color="1352DE"/>
              <w:bottom w:val="single" w:sz="8" w:color="1352DE"/>
            </w:tcBorders>
          </w:tcPr>
          <w:p>
            <w:pPr>
              <w:spacing w:after="0"/>
              <w:rPr>
                <w:sz w:val="18"/>
                <w:szCs w:val="18"/>
                <w:color w:val="auto"/>
              </w:rPr>
            </w:pPr>
          </w:p>
        </w:tc>
        <w:tc>
          <w:tcPr>
            <w:tcW w:w="680" w:type="dxa"/>
            <w:vAlign w:val="bottom"/>
            <w:tcBorders>
              <w:top w:val="single" w:sz="8" w:color="1352DE"/>
              <w:bottom w:val="single" w:sz="8" w:color="1352DE"/>
            </w:tcBorders>
          </w:tcPr>
          <w:p>
            <w:pPr>
              <w:jc w:val="right"/>
              <w:ind w:right="148"/>
              <w:spacing w:after="0"/>
              <w:rPr>
                <w:sz w:val="20"/>
                <w:szCs w:val="20"/>
                <w:color w:val="auto"/>
              </w:rPr>
            </w:pPr>
            <w:r>
              <w:rPr>
                <w:rFonts w:ascii="Arial" w:cs="Arial" w:eastAsia="Arial" w:hAnsi="Arial"/>
                <w:sz w:val="14"/>
                <w:szCs w:val="14"/>
                <w:color w:val="1252DE"/>
              </w:rPr>
              <w:t>2025</w:t>
            </w:r>
          </w:p>
        </w:tc>
        <w:tc>
          <w:tcPr>
            <w:tcW w:w="300" w:type="dxa"/>
            <w:vAlign w:val="bottom"/>
            <w:tcBorders>
              <w:top w:val="single" w:sz="8" w:color="1352DE"/>
              <w:bottom w:val="single" w:sz="8" w:color="1352DE"/>
            </w:tcBorders>
          </w:tcPr>
          <w:p>
            <w:pPr>
              <w:spacing w:after="0"/>
              <w:rPr>
                <w:sz w:val="18"/>
                <w:szCs w:val="18"/>
                <w:color w:val="auto"/>
              </w:rPr>
            </w:pPr>
          </w:p>
        </w:tc>
        <w:tc>
          <w:tcPr>
            <w:tcW w:w="50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1352DE"/>
                <w:w w:val="98"/>
              </w:rPr>
              <w:t>Excluding</w:t>
            </w:r>
          </w:p>
        </w:tc>
        <w:tc>
          <w:tcPr>
            <w:tcW w:w="180" w:type="dxa"/>
            <w:vAlign w:val="bottom"/>
          </w:tcPr>
          <w:p>
            <w:pPr>
              <w:spacing w:after="0"/>
              <w:rPr>
                <w:sz w:val="12"/>
                <w:szCs w:val="12"/>
                <w:color w:val="auto"/>
              </w:rPr>
            </w:pPr>
          </w:p>
        </w:tc>
        <w:tc>
          <w:tcPr>
            <w:tcW w:w="680" w:type="dxa"/>
            <w:vAlign w:val="bottom"/>
          </w:tcPr>
          <w:p>
            <w:pPr>
              <w:jc w:val="right"/>
              <w:ind w:right="8"/>
              <w:spacing w:after="0" w:line="147" w:lineRule="exact"/>
              <w:rPr>
                <w:sz w:val="20"/>
                <w:szCs w:val="20"/>
                <w:color w:val="auto"/>
              </w:rPr>
            </w:pPr>
            <w:r>
              <w:rPr>
                <w:rFonts w:ascii="Arial" w:cs="Arial" w:eastAsia="Arial" w:hAnsi="Arial"/>
                <w:sz w:val="14"/>
                <w:szCs w:val="14"/>
                <w:color w:val="1352DE"/>
              </w:rPr>
              <w:t>Fortitude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1352DE"/>
                <w:w w:val="98"/>
              </w:rPr>
              <w:t>Excluding</w:t>
            </w:r>
          </w:p>
        </w:tc>
        <w:tc>
          <w:tcPr>
            <w:tcW w:w="180" w:type="dxa"/>
            <w:vAlign w:val="bottom"/>
          </w:tcPr>
          <w:p>
            <w:pPr>
              <w:spacing w:after="0"/>
              <w:rPr>
                <w:sz w:val="12"/>
                <w:szCs w:val="12"/>
                <w:color w:val="auto"/>
              </w:rPr>
            </w:pPr>
          </w:p>
        </w:tc>
        <w:tc>
          <w:tcPr>
            <w:tcW w:w="680" w:type="dxa"/>
            <w:vAlign w:val="bottom"/>
          </w:tcPr>
          <w:p>
            <w:pPr>
              <w:jc w:val="right"/>
              <w:ind w:right="8"/>
              <w:spacing w:after="0" w:line="147" w:lineRule="exact"/>
              <w:rPr>
                <w:sz w:val="20"/>
                <w:szCs w:val="20"/>
                <w:color w:val="auto"/>
              </w:rPr>
            </w:pPr>
            <w:r>
              <w:rPr>
                <w:rFonts w:ascii="Arial" w:cs="Arial" w:eastAsia="Arial" w:hAnsi="Arial"/>
                <w:sz w:val="14"/>
                <w:szCs w:val="14"/>
                <w:color w:val="1352DE"/>
              </w:rPr>
              <w:t>Fortitude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Fortitude</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Fortitude</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1352DE"/>
                <w:w w:val="98"/>
              </w:rPr>
              <w:t>Re Funds</w:t>
            </w:r>
          </w:p>
        </w:tc>
        <w:tc>
          <w:tcPr>
            <w:tcW w:w="180" w:type="dxa"/>
            <w:vAlign w:val="bottom"/>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Funds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1352DE"/>
                <w:w w:val="98"/>
              </w:rPr>
              <w:t>Re Funds</w:t>
            </w:r>
          </w:p>
        </w:tc>
        <w:tc>
          <w:tcPr>
            <w:tcW w:w="180" w:type="dxa"/>
            <w:vAlign w:val="bottom"/>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Funds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Withheld</w:t>
            </w:r>
          </w:p>
        </w:tc>
        <w:tc>
          <w:tcPr>
            <w:tcW w:w="180" w:type="dxa"/>
            <w:vAlign w:val="bottom"/>
          </w:tcPr>
          <w:p>
            <w:pPr>
              <w:spacing w:after="0"/>
              <w:rPr>
                <w:sz w:val="12"/>
                <w:szCs w:val="12"/>
                <w:color w:val="auto"/>
              </w:rPr>
            </w:pPr>
          </w:p>
        </w:tc>
        <w:tc>
          <w:tcPr>
            <w:tcW w:w="68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Withheld</w:t>
            </w:r>
          </w:p>
        </w:tc>
        <w:tc>
          <w:tcPr>
            <w:tcW w:w="300" w:type="dxa"/>
            <w:vAlign w:val="bottom"/>
          </w:tcPr>
          <w:p>
            <w:pPr>
              <w:spacing w:after="0"/>
              <w:rPr>
                <w:sz w:val="12"/>
                <w:szCs w:val="1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1352DE"/>
              </w:rPr>
              <w:t>Total</w:t>
            </w:r>
          </w:p>
        </w:tc>
        <w:tc>
          <w:tcPr>
            <w:tcW w:w="220" w:type="dxa"/>
            <w:vAlign w:val="bottom"/>
          </w:tcPr>
          <w:p>
            <w:pPr>
              <w:spacing w:after="0"/>
              <w:rPr>
                <w:sz w:val="12"/>
                <w:szCs w:val="12"/>
                <w:color w:val="auto"/>
              </w:rPr>
            </w:pPr>
          </w:p>
        </w:tc>
        <w:tc>
          <w:tcPr>
            <w:tcW w:w="70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Withheld</w:t>
            </w:r>
          </w:p>
        </w:tc>
        <w:tc>
          <w:tcPr>
            <w:tcW w:w="180" w:type="dxa"/>
            <w:vAlign w:val="bottom"/>
          </w:tcPr>
          <w:p>
            <w:pPr>
              <w:spacing w:after="0"/>
              <w:rPr>
                <w:sz w:val="12"/>
                <w:szCs w:val="12"/>
                <w:color w:val="auto"/>
              </w:rPr>
            </w:pPr>
          </w:p>
        </w:tc>
        <w:tc>
          <w:tcPr>
            <w:tcW w:w="68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Withheld</w:t>
            </w:r>
          </w:p>
        </w:tc>
        <w:tc>
          <w:tcPr>
            <w:tcW w:w="3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1352DE"/>
              </w:rPr>
              <w:t>Total</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300" w:type="dxa"/>
            <w:vAlign w:val="bottom"/>
            <w:tcBorders>
              <w:bottom w:val="single" w:sz="8" w:color="1352DE"/>
            </w:tcBorders>
          </w:tcPr>
          <w:p>
            <w:pPr>
              <w:spacing w:after="0"/>
              <w:rPr>
                <w:sz w:val="16"/>
                <w:szCs w:val="16"/>
                <w:color w:val="auto"/>
              </w:rPr>
            </w:pPr>
          </w:p>
        </w:tc>
        <w:tc>
          <w:tcPr>
            <w:tcW w:w="660" w:type="dxa"/>
            <w:vAlign w:val="bottom"/>
            <w:tcBorders>
              <w:bottom w:val="single" w:sz="8" w:color="1352DE"/>
            </w:tcBorders>
            <w:gridSpan w:val="2"/>
            <w:vMerge w:val="continue"/>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30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0"/>
              <w:spacing w:after="0"/>
              <w:rPr>
                <w:sz w:val="20"/>
                <w:szCs w:val="20"/>
                <w:color w:val="auto"/>
              </w:rPr>
            </w:pPr>
            <w:r>
              <w:rPr>
                <w:rFonts w:ascii="Arial" w:cs="Arial" w:eastAsia="Arial" w:hAnsi="Arial"/>
                <w:sz w:val="14"/>
                <w:szCs w:val="14"/>
                <w:color w:val="auto"/>
              </w:rPr>
              <w:t>Sales and impairments of fixed maturity securities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(202)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(29)</w:t>
            </w: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1252DE"/>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(231)</w:t>
            </w: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Change in allowance for credit losses on fixed maturity securities</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11</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Change in allowance for credit losses on loans</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(10)</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4"/>
                <w:szCs w:val="14"/>
                <w:color w:val="auto"/>
              </w:rPr>
              <w:t>Foreign exchange transactions</w:t>
            </w: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(12)</w:t>
            </w:r>
          </w:p>
        </w:tc>
        <w:tc>
          <w:tcPr>
            <w:tcW w:w="1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2"/>
        </w:trPr>
        <w:tc>
          <w:tcPr>
            <w:tcW w:w="5900" w:type="dxa"/>
            <w:vAlign w:val="bottom"/>
          </w:tcPr>
          <w:p>
            <w:pPr>
              <w:ind w:left="20"/>
              <w:spacing w:after="0"/>
              <w:rPr>
                <w:sz w:val="20"/>
                <w:szCs w:val="20"/>
                <w:color w:val="auto"/>
              </w:rPr>
            </w:pPr>
            <w:r>
              <w:rPr>
                <w:rFonts w:ascii="Arial" w:cs="Arial" w:eastAsia="Arial" w:hAnsi="Arial"/>
                <w:sz w:val="14"/>
                <w:szCs w:val="14"/>
                <w:color w:val="auto"/>
              </w:rPr>
              <w:t>Derivatives and hedge accounting</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22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1</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Sales of alternative investments</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(11)</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35</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35</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(262)</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4"/>
                <w:szCs w:val="14"/>
                <w:b w:val="1"/>
                <w:bCs w:val="1"/>
                <w:color w:val="1252DE"/>
              </w:rPr>
              <w:t>Net realized losses – excluding Fortitude Re funds withheld embedded derivative</w:t>
            </w: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(167)</w:t>
            </w: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(28)</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(431)</w:t>
            </w: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04"/>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Net realized gains (losses) on Fortitude Re funds withheld embedded derivative</w:t>
            </w: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85</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85</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(54)</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4"/>
        </w:trPr>
        <w:tc>
          <w:tcPr>
            <w:tcW w:w="590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Net realized gains (losses)</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(167)</w:t>
            </w: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w:t>
            </w:r>
          </w:p>
        </w:tc>
        <w:tc>
          <w:tcPr>
            <w:tcW w:w="68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b w:val="1"/>
                <w:bCs w:val="1"/>
                <w:color w:val="1252DE"/>
              </w:rPr>
              <w:t>57</w:t>
            </w:r>
          </w:p>
        </w:tc>
        <w:tc>
          <w:tcPr>
            <w:tcW w:w="300" w:type="dxa"/>
            <w:vAlign w:val="bottom"/>
            <w:tcBorders>
              <w:bottom w:val="single" w:sz="8" w:color="3051F2"/>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50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(110)</w:t>
            </w:r>
          </w:p>
        </w:tc>
        <w:tc>
          <w:tcPr>
            <w:tcW w:w="160" w:type="dxa"/>
            <w:vAlign w:val="bottom"/>
            <w:tcBorders>
              <w:bottom w:val="single" w:sz="8" w:color="3051F2"/>
            </w:tcBorders>
          </w:tcPr>
          <w:p>
            <w:pPr>
              <w:spacing w:after="0"/>
              <w:rPr>
                <w:sz w:val="17"/>
                <w:szCs w:val="17"/>
                <w:color w:val="auto"/>
              </w:rPr>
            </w:pP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(431)</w:t>
            </w: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(59)</w:t>
            </w:r>
          </w:p>
        </w:tc>
        <w:tc>
          <w:tcPr>
            <w:tcW w:w="300" w:type="dxa"/>
            <w:vAlign w:val="bottom"/>
            <w:tcBorders>
              <w:bottom w:val="single" w:sz="8" w:color="3051F2"/>
            </w:tcBorders>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21"/>
        </w:trPr>
        <w:tc>
          <w:tcPr>
            <w:tcW w:w="590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700" w:type="dxa"/>
            <w:vAlign w:val="bottom"/>
            <w:tcBorders>
              <w:bottom w:val="single" w:sz="8" w:color="1352DE"/>
            </w:tcBorders>
          </w:tcPr>
          <w:p>
            <w:pPr>
              <w:spacing w:after="0"/>
              <w:rPr>
                <w:sz w:val="10"/>
                <w:szCs w:val="10"/>
                <w:color w:val="auto"/>
              </w:rPr>
            </w:pPr>
          </w:p>
        </w:tc>
        <w:tc>
          <w:tcPr>
            <w:tcW w:w="180" w:type="dxa"/>
            <w:vAlign w:val="bottom"/>
            <w:tcBorders>
              <w:bottom w:val="single" w:sz="8" w:color="1352DE"/>
            </w:tcBorders>
          </w:tcPr>
          <w:p>
            <w:pPr>
              <w:spacing w:after="0"/>
              <w:rPr>
                <w:sz w:val="10"/>
                <w:szCs w:val="10"/>
                <w:color w:val="auto"/>
              </w:rPr>
            </w:pPr>
          </w:p>
        </w:tc>
        <w:tc>
          <w:tcPr>
            <w:tcW w:w="680" w:type="dxa"/>
            <w:vAlign w:val="bottom"/>
            <w:tcBorders>
              <w:bottom w:val="single" w:sz="8" w:color="1352DE"/>
            </w:tcBorders>
          </w:tcPr>
          <w:p>
            <w:pPr>
              <w:spacing w:after="0"/>
              <w:rPr>
                <w:sz w:val="10"/>
                <w:szCs w:val="10"/>
                <w:color w:val="auto"/>
              </w:rPr>
            </w:pPr>
          </w:p>
        </w:tc>
        <w:tc>
          <w:tcPr>
            <w:tcW w:w="300" w:type="dxa"/>
            <w:vAlign w:val="bottom"/>
            <w:tcBorders>
              <w:bottom w:val="single" w:sz="8" w:color="1352DE"/>
            </w:tcBorders>
          </w:tcPr>
          <w:p>
            <w:pPr>
              <w:spacing w:after="0"/>
              <w:rPr>
                <w:sz w:val="10"/>
                <w:szCs w:val="10"/>
                <w:color w:val="auto"/>
              </w:rPr>
            </w:pPr>
          </w:p>
        </w:tc>
        <w:tc>
          <w:tcPr>
            <w:tcW w:w="500" w:type="dxa"/>
            <w:vAlign w:val="bottom"/>
            <w:tcBorders>
              <w:bottom w:val="single" w:sz="8" w:color="1352DE"/>
            </w:tcBorders>
          </w:tcPr>
          <w:p>
            <w:pPr>
              <w:spacing w:after="0"/>
              <w:rPr>
                <w:sz w:val="10"/>
                <w:szCs w:val="10"/>
                <w:color w:val="auto"/>
              </w:rPr>
            </w:pPr>
          </w:p>
        </w:tc>
        <w:tc>
          <w:tcPr>
            <w:tcW w:w="16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700" w:type="dxa"/>
            <w:vAlign w:val="bottom"/>
            <w:tcBorders>
              <w:bottom w:val="single" w:sz="8" w:color="1352DE"/>
            </w:tcBorders>
          </w:tcPr>
          <w:p>
            <w:pPr>
              <w:spacing w:after="0"/>
              <w:rPr>
                <w:sz w:val="10"/>
                <w:szCs w:val="10"/>
                <w:color w:val="auto"/>
              </w:rPr>
            </w:pPr>
          </w:p>
        </w:tc>
        <w:tc>
          <w:tcPr>
            <w:tcW w:w="180" w:type="dxa"/>
            <w:vAlign w:val="bottom"/>
            <w:tcBorders>
              <w:bottom w:val="single" w:sz="8" w:color="1352DE"/>
            </w:tcBorders>
          </w:tcPr>
          <w:p>
            <w:pPr>
              <w:spacing w:after="0"/>
              <w:rPr>
                <w:sz w:val="10"/>
                <w:szCs w:val="10"/>
                <w:color w:val="auto"/>
              </w:rPr>
            </w:pPr>
          </w:p>
        </w:tc>
        <w:tc>
          <w:tcPr>
            <w:tcW w:w="680" w:type="dxa"/>
            <w:vAlign w:val="bottom"/>
            <w:tcBorders>
              <w:bottom w:val="single" w:sz="8" w:color="1352DE"/>
            </w:tcBorders>
          </w:tcPr>
          <w:p>
            <w:pPr>
              <w:spacing w:after="0"/>
              <w:rPr>
                <w:sz w:val="10"/>
                <w:szCs w:val="10"/>
                <w:color w:val="auto"/>
              </w:rPr>
            </w:pPr>
          </w:p>
        </w:tc>
        <w:tc>
          <w:tcPr>
            <w:tcW w:w="300" w:type="dxa"/>
            <w:vAlign w:val="bottom"/>
            <w:tcBorders>
              <w:bottom w:val="single" w:sz="8" w:color="1352DE"/>
            </w:tcBorders>
          </w:tcPr>
          <w:p>
            <w:pPr>
              <w:spacing w:after="0"/>
              <w:rPr>
                <w:sz w:val="10"/>
                <w:szCs w:val="10"/>
                <w:color w:val="auto"/>
              </w:rPr>
            </w:pPr>
          </w:p>
        </w:tc>
        <w:tc>
          <w:tcPr>
            <w:tcW w:w="500" w:type="dxa"/>
            <w:vAlign w:val="bottom"/>
            <w:tcBorders>
              <w:bottom w:val="single" w:sz="8" w:color="1352DE"/>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900" w:type="dxa"/>
            <w:vAlign w:val="bottom"/>
          </w:tcPr>
          <w:p>
            <w:pPr>
              <w:ind w:left="20"/>
              <w:spacing w:after="0"/>
              <w:rPr>
                <w:sz w:val="20"/>
                <w:szCs w:val="20"/>
                <w:color w:val="auto"/>
              </w:rPr>
            </w:pPr>
            <w:r>
              <w:rPr>
                <w:rFonts w:ascii="Arial" w:cs="Arial" w:eastAsia="Arial" w:hAnsi="Arial"/>
                <w:sz w:val="14"/>
                <w:szCs w:val="14"/>
                <w:b w:val="1"/>
                <w:bCs w:val="1"/>
                <w:color w:val="1252DE"/>
              </w:rPr>
              <w:t>Nine Months Ended September 30,</w:t>
            </w: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b w:val="1"/>
                <w:bCs w:val="1"/>
                <w:color w:val="1252DE"/>
              </w:rPr>
              <w:t>2026</w:t>
            </w:r>
          </w:p>
        </w:tc>
        <w:tc>
          <w:tcPr>
            <w:tcW w:w="30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color w:val="1252DE"/>
              </w:rPr>
              <w:t>2025</w:t>
            </w:r>
          </w:p>
        </w:tc>
        <w:tc>
          <w:tcPr>
            <w:tcW w:w="30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1352DE"/>
                <w:w w:val="98"/>
              </w:rPr>
              <w:t>Excluding</w:t>
            </w:r>
          </w:p>
        </w:tc>
        <w:tc>
          <w:tcPr>
            <w:tcW w:w="180" w:type="dxa"/>
            <w:vAlign w:val="bottom"/>
          </w:tcPr>
          <w:p>
            <w:pPr>
              <w:spacing w:after="0"/>
              <w:rPr>
                <w:sz w:val="12"/>
                <w:szCs w:val="12"/>
                <w:color w:val="auto"/>
              </w:rPr>
            </w:pPr>
          </w:p>
        </w:tc>
        <w:tc>
          <w:tcPr>
            <w:tcW w:w="680" w:type="dxa"/>
            <w:vAlign w:val="bottom"/>
          </w:tcPr>
          <w:p>
            <w:pPr>
              <w:jc w:val="right"/>
              <w:ind w:right="8"/>
              <w:spacing w:after="0" w:line="147" w:lineRule="exact"/>
              <w:rPr>
                <w:sz w:val="20"/>
                <w:szCs w:val="20"/>
                <w:color w:val="auto"/>
              </w:rPr>
            </w:pPr>
            <w:r>
              <w:rPr>
                <w:rFonts w:ascii="Arial" w:cs="Arial" w:eastAsia="Arial" w:hAnsi="Arial"/>
                <w:sz w:val="14"/>
                <w:szCs w:val="14"/>
                <w:color w:val="1352DE"/>
              </w:rPr>
              <w:t>Fortitude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1352DE"/>
                <w:w w:val="98"/>
              </w:rPr>
              <w:t>Excluding</w:t>
            </w:r>
          </w:p>
        </w:tc>
        <w:tc>
          <w:tcPr>
            <w:tcW w:w="180" w:type="dxa"/>
            <w:vAlign w:val="bottom"/>
          </w:tcPr>
          <w:p>
            <w:pPr>
              <w:spacing w:after="0"/>
              <w:rPr>
                <w:sz w:val="12"/>
                <w:szCs w:val="12"/>
                <w:color w:val="auto"/>
              </w:rPr>
            </w:pPr>
          </w:p>
        </w:tc>
        <w:tc>
          <w:tcPr>
            <w:tcW w:w="680" w:type="dxa"/>
            <w:vAlign w:val="bottom"/>
          </w:tcPr>
          <w:p>
            <w:pPr>
              <w:jc w:val="right"/>
              <w:ind w:right="8"/>
              <w:spacing w:after="0" w:line="147" w:lineRule="exact"/>
              <w:rPr>
                <w:sz w:val="20"/>
                <w:szCs w:val="20"/>
                <w:color w:val="auto"/>
              </w:rPr>
            </w:pPr>
            <w:r>
              <w:rPr>
                <w:rFonts w:ascii="Arial" w:cs="Arial" w:eastAsia="Arial" w:hAnsi="Arial"/>
                <w:sz w:val="14"/>
                <w:szCs w:val="14"/>
                <w:color w:val="1352DE"/>
              </w:rPr>
              <w:t>Fortitude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Fortitude</w:t>
            </w:r>
          </w:p>
        </w:tc>
        <w:tc>
          <w:tcPr>
            <w:tcW w:w="180" w:type="dxa"/>
            <w:vAlign w:val="bottom"/>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Fortitude</w:t>
            </w:r>
          </w:p>
        </w:tc>
        <w:tc>
          <w:tcPr>
            <w:tcW w:w="180" w:type="dxa"/>
            <w:vAlign w:val="bottom"/>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39" w:lineRule="exact"/>
              <w:rPr>
                <w:sz w:val="20"/>
                <w:szCs w:val="20"/>
                <w:color w:val="auto"/>
              </w:rPr>
            </w:pPr>
            <w:r>
              <w:rPr>
                <w:rFonts w:ascii="Arial" w:cs="Arial" w:eastAsia="Arial" w:hAnsi="Arial"/>
                <w:sz w:val="14"/>
                <w:szCs w:val="14"/>
                <w:color w:val="1352DE"/>
                <w:w w:val="98"/>
              </w:rPr>
              <w:t>Re Funds</w:t>
            </w:r>
          </w:p>
        </w:tc>
        <w:tc>
          <w:tcPr>
            <w:tcW w:w="180" w:type="dxa"/>
            <w:vAlign w:val="bottom"/>
          </w:tcPr>
          <w:p>
            <w:pPr>
              <w:spacing w:after="0"/>
              <w:rPr>
                <w:sz w:val="12"/>
                <w:szCs w:val="12"/>
                <w:color w:val="auto"/>
              </w:rPr>
            </w:pPr>
          </w:p>
        </w:tc>
        <w:tc>
          <w:tcPr>
            <w:tcW w:w="68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Funds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39" w:lineRule="exact"/>
              <w:rPr>
                <w:sz w:val="20"/>
                <w:szCs w:val="20"/>
                <w:color w:val="auto"/>
              </w:rPr>
            </w:pPr>
            <w:r>
              <w:rPr>
                <w:rFonts w:ascii="Arial" w:cs="Arial" w:eastAsia="Arial" w:hAnsi="Arial"/>
                <w:sz w:val="14"/>
                <w:szCs w:val="14"/>
                <w:color w:val="1352DE"/>
                <w:w w:val="98"/>
              </w:rPr>
              <w:t>Re Funds</w:t>
            </w:r>
          </w:p>
        </w:tc>
        <w:tc>
          <w:tcPr>
            <w:tcW w:w="180" w:type="dxa"/>
            <w:vAlign w:val="bottom"/>
          </w:tcPr>
          <w:p>
            <w:pPr>
              <w:spacing w:after="0"/>
              <w:rPr>
                <w:sz w:val="12"/>
                <w:szCs w:val="12"/>
                <w:color w:val="auto"/>
              </w:rPr>
            </w:pPr>
          </w:p>
        </w:tc>
        <w:tc>
          <w:tcPr>
            <w:tcW w:w="68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Funds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Withheld</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Withheld</w:t>
            </w:r>
          </w:p>
        </w:tc>
        <w:tc>
          <w:tcPr>
            <w:tcW w:w="300" w:type="dxa"/>
            <w:vAlign w:val="bottom"/>
          </w:tcPr>
          <w:p>
            <w:pPr>
              <w:spacing w:after="0"/>
              <w:rPr>
                <w:sz w:val="12"/>
                <w:szCs w:val="1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1352DE"/>
              </w:rPr>
              <w:t>Total</w:t>
            </w: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Withheld</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Withheld</w:t>
            </w:r>
          </w:p>
        </w:tc>
        <w:tc>
          <w:tcPr>
            <w:tcW w:w="3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1352DE"/>
              </w:rPr>
              <w:t>Total</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300" w:type="dxa"/>
            <w:vAlign w:val="bottom"/>
            <w:tcBorders>
              <w:bottom w:val="single" w:sz="8" w:color="1352DE"/>
            </w:tcBorders>
          </w:tcPr>
          <w:p>
            <w:pPr>
              <w:spacing w:after="0"/>
              <w:rPr>
                <w:sz w:val="16"/>
                <w:szCs w:val="16"/>
                <w:color w:val="auto"/>
              </w:rPr>
            </w:pPr>
          </w:p>
        </w:tc>
        <w:tc>
          <w:tcPr>
            <w:tcW w:w="660" w:type="dxa"/>
            <w:vAlign w:val="bottom"/>
            <w:tcBorders>
              <w:bottom w:val="single" w:sz="8" w:color="1352DE"/>
            </w:tcBorders>
            <w:gridSpan w:val="2"/>
            <w:vMerge w:val="continue"/>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30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0"/>
              <w:spacing w:after="0"/>
              <w:rPr>
                <w:sz w:val="20"/>
                <w:szCs w:val="20"/>
                <w:color w:val="auto"/>
              </w:rPr>
            </w:pPr>
            <w:r>
              <w:rPr>
                <w:rFonts w:ascii="Arial" w:cs="Arial" w:eastAsia="Arial" w:hAnsi="Arial"/>
                <w:sz w:val="14"/>
                <w:szCs w:val="14"/>
                <w:color w:val="auto"/>
              </w:rPr>
              <w:t>Sales and impairments of fixed maturity securities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(376)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(48)</w:t>
            </w: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1252DE"/>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(424)</w:t>
            </w: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(453)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4"/>
                <w:szCs w:val="14"/>
                <w:color w:val="auto"/>
              </w:rPr>
              <w:t>Change in allowance for credit losses on fixed maturity securities</w:t>
            </w:r>
          </w:p>
        </w:tc>
        <w:tc>
          <w:tcPr>
            <w:tcW w:w="2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12</w:t>
            </w:r>
          </w:p>
        </w:tc>
        <w:tc>
          <w:tcPr>
            <w:tcW w:w="1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Change in allowance for credit losses on loans</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22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1</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Foreign exchange transactions</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(39)</w:t>
            </w: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(2)</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(41)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Derivatives and hedge accounting</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4</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3</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Sales of alternative investments</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(27)</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(27)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(103)</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(105)</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(270)</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95"/>
        </w:trPr>
        <w:tc>
          <w:tcPr>
            <w:tcW w:w="5900" w:type="dxa"/>
            <w:vAlign w:val="bottom"/>
          </w:tcPr>
          <w:p>
            <w:pPr>
              <w:ind w:left="20"/>
              <w:spacing w:after="0"/>
              <w:rPr>
                <w:sz w:val="20"/>
                <w:szCs w:val="20"/>
                <w:color w:val="auto"/>
              </w:rPr>
            </w:pPr>
            <w:r>
              <w:rPr>
                <w:rFonts w:ascii="Arial" w:cs="Arial" w:eastAsia="Arial" w:hAnsi="Arial"/>
                <w:sz w:val="14"/>
                <w:szCs w:val="14"/>
                <w:b w:val="1"/>
                <w:bCs w:val="1"/>
                <w:color w:val="1252DE"/>
              </w:rPr>
              <w:t>Net realized losses – excluding Fortitude Re funds withheld embedded derivative</w:t>
            </w:r>
          </w:p>
        </w:tc>
        <w:tc>
          <w:tcPr>
            <w:tcW w:w="2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(507)</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(47)</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(554)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Net realized gains (losses) on Fortitude Re funds withheld embedded derivative</w:t>
            </w: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44</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44</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(109)</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6"/>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Net realized losses</w:t>
            </w: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(507)</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(3)</w:t>
            </w:r>
          </w:p>
        </w:tc>
        <w:tc>
          <w:tcPr>
            <w:tcW w:w="30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(510)</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(683)</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(168)</w:t>
            </w:r>
          </w:p>
        </w:tc>
        <w:tc>
          <w:tcPr>
            <w:tcW w:w="30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Other includes impairments on investments in private equity and real estate funds.</w:t>
      </w:r>
    </w:p>
    <w:p>
      <w:pPr>
        <w:spacing w:after="0" w:line="124"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For the three and nine months ended September 30, 2026, the aggregate fair value of available for sale securities sold was $3.3 billion and $9.8 billion, respectively, which resulted in gross realized gains of $18 million and $56 million and gross realized losses of $249 million and $480 million, respectively.</w:t>
      </w:r>
    </w:p>
    <w:p>
      <w:pPr>
        <w:spacing w:after="0" w:line="48"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For the three and nine months ended September 30, 2025, the aggregate fair value of available for sale securities sold was $2.5 billion and $9.9 billion, respectively, which resulted in gross realized gains of $15 million and $45 million and gross realized losses of $117 million and $560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4771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760" w:hanging="734"/>
        <w:spacing w:after="0"/>
        <w:tabs>
          <w:tab w:leader="none" w:pos="760" w:val="left"/>
        </w:tabs>
        <w:numPr>
          <w:ilvl w:val="0"/>
          <w:numId w:val="27"/>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 |</w:t>
      </w:r>
      <w:r>
        <w:rPr>
          <w:rFonts w:ascii="Arial" w:cs="Arial" w:eastAsia="Arial" w:hAnsi="Arial"/>
          <w:sz w:val="13"/>
          <w:szCs w:val="13"/>
          <w:color w:val="auto"/>
        </w:rPr>
        <w:t xml:space="preserve"> </w:t>
      </w:r>
      <w:r>
        <w:rPr>
          <w:rFonts w:ascii="Arial" w:cs="Arial" w:eastAsia="Arial" w:hAnsi="Arial"/>
          <w:sz w:val="13"/>
          <w:szCs w:val="13"/>
          <w:b w:val="1"/>
          <w:bCs w:val="1"/>
          <w:color w:val="001770"/>
        </w:rPr>
        <w:t>5. Investments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CHANGE IN UNREALIZED APPRECIATION (DEPRECIATION) OF INVESTMENTS</w:t>
      </w:r>
    </w:p>
    <w:p>
      <w:pPr>
        <w:spacing w:after="0" w:line="225" w:lineRule="exact"/>
        <w:rPr>
          <w:sz w:val="20"/>
          <w:szCs w:val="20"/>
          <w:color w:val="auto"/>
        </w:rPr>
      </w:pPr>
    </w:p>
    <w:p>
      <w:pPr>
        <w:ind w:right="600"/>
        <w:spacing w:after="0" w:line="367" w:lineRule="auto"/>
        <w:rPr>
          <w:sz w:val="20"/>
          <w:szCs w:val="20"/>
          <w:color w:val="auto"/>
        </w:rPr>
      </w:pPr>
      <w:r>
        <w:rPr>
          <w:rFonts w:ascii="Arial" w:cs="Arial" w:eastAsia="Arial" w:hAnsi="Arial"/>
          <w:sz w:val="16"/>
          <w:szCs w:val="16"/>
          <w:b w:val="1"/>
          <w:bCs w:val="1"/>
          <w:color w:val="1352DE"/>
        </w:rPr>
        <w:t>The following table presents the increase (decrease) in unrealized appreciation (depreciation) of our available for sale securities and other investments: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940" w:type="dxa"/>
            <w:vAlign w:val="bottom"/>
            <w:tcBorders>
              <w:top w:val="single" w:sz="8" w:color="1352DE"/>
            </w:tcBorders>
          </w:tcPr>
          <w:p>
            <w:pPr>
              <w:spacing w:after="0"/>
              <w:rPr>
                <w:sz w:val="14"/>
                <w:szCs w:val="14"/>
                <w:color w:val="auto"/>
              </w:rPr>
            </w:pPr>
          </w:p>
        </w:tc>
        <w:tc>
          <w:tcPr>
            <w:tcW w:w="280" w:type="dxa"/>
            <w:vAlign w:val="bottom"/>
            <w:tcBorders>
              <w:top w:val="single" w:sz="8" w:color="1352DE"/>
            </w:tcBorders>
          </w:tcPr>
          <w:p>
            <w:pPr>
              <w:spacing w:after="0"/>
              <w:rPr>
                <w:sz w:val="14"/>
                <w:szCs w:val="14"/>
                <w:color w:val="auto"/>
              </w:rPr>
            </w:pPr>
          </w:p>
        </w:tc>
        <w:tc>
          <w:tcPr>
            <w:tcW w:w="1440" w:type="dxa"/>
            <w:vAlign w:val="bottom"/>
            <w:tcBorders>
              <w:top w:val="single" w:sz="8" w:color="1352DE"/>
            </w:tcBorders>
            <w:gridSpan w:val="2"/>
          </w:tcPr>
          <w:p>
            <w:pPr>
              <w:jc w:val="right"/>
              <w:spacing w:after="0"/>
              <w:rPr>
                <w:sz w:val="20"/>
                <w:szCs w:val="20"/>
                <w:color w:val="auto"/>
              </w:rPr>
            </w:pPr>
            <w:r>
              <w:rPr>
                <w:rFonts w:ascii="Arial" w:cs="Arial" w:eastAsia="Arial" w:hAnsi="Arial"/>
                <w:sz w:val="14"/>
                <w:szCs w:val="14"/>
                <w:color w:val="1252DE"/>
              </w:rPr>
              <w:t>Three Months Ended</w:t>
            </w:r>
          </w:p>
        </w:tc>
        <w:tc>
          <w:tcPr>
            <w:tcW w:w="340" w:type="dxa"/>
            <w:vAlign w:val="bottom"/>
            <w:tcBorders>
              <w:top w:val="single" w:sz="8" w:color="1352DE"/>
            </w:tcBorders>
          </w:tcPr>
          <w:p>
            <w:pPr>
              <w:spacing w:after="0"/>
              <w:rPr>
                <w:sz w:val="14"/>
                <w:szCs w:val="14"/>
                <w:color w:val="auto"/>
              </w:rPr>
            </w:pPr>
          </w:p>
        </w:tc>
        <w:tc>
          <w:tcPr>
            <w:tcW w:w="200" w:type="dxa"/>
            <w:vAlign w:val="bottom"/>
            <w:tcBorders>
              <w:top w:val="single" w:sz="8" w:color="1352DE"/>
            </w:tcBorders>
          </w:tcPr>
          <w:p>
            <w:pPr>
              <w:spacing w:after="0"/>
              <w:rPr>
                <w:sz w:val="14"/>
                <w:szCs w:val="14"/>
                <w:color w:val="auto"/>
              </w:rPr>
            </w:pPr>
          </w:p>
        </w:tc>
        <w:tc>
          <w:tcPr>
            <w:tcW w:w="280" w:type="dxa"/>
            <w:vAlign w:val="bottom"/>
            <w:tcBorders>
              <w:top w:val="single" w:sz="8" w:color="1352DE"/>
            </w:tcBorders>
          </w:tcPr>
          <w:p>
            <w:pPr>
              <w:spacing w:after="0"/>
              <w:rPr>
                <w:sz w:val="14"/>
                <w:szCs w:val="14"/>
                <w:color w:val="auto"/>
              </w:rPr>
            </w:pPr>
          </w:p>
        </w:tc>
        <w:tc>
          <w:tcPr>
            <w:tcW w:w="1740" w:type="dxa"/>
            <w:vAlign w:val="bottom"/>
            <w:tcBorders>
              <w:top w:val="single" w:sz="8" w:color="1352DE"/>
            </w:tcBorders>
            <w:gridSpan w:val="3"/>
          </w:tcPr>
          <w:p>
            <w:pPr>
              <w:jc w:val="right"/>
              <w:ind w:right="308"/>
              <w:spacing w:after="0"/>
              <w:rPr>
                <w:sz w:val="20"/>
                <w:szCs w:val="20"/>
                <w:color w:val="auto"/>
              </w:rPr>
            </w:pPr>
            <w:r>
              <w:rPr>
                <w:rFonts w:ascii="Arial" w:cs="Arial" w:eastAsia="Arial" w:hAnsi="Arial"/>
                <w:sz w:val="14"/>
                <w:szCs w:val="14"/>
                <w:color w:val="1252DE"/>
              </w:rPr>
              <w:t>Nine Months Ended</w:t>
            </w:r>
          </w:p>
        </w:tc>
      </w:tr>
      <w:tr>
        <w:trPr>
          <w:trHeight w:val="185"/>
        </w:trPr>
        <w:tc>
          <w:tcPr>
            <w:tcW w:w="6940" w:type="dxa"/>
            <w:vAlign w:val="bottom"/>
          </w:tcPr>
          <w:p>
            <w:pPr>
              <w:spacing w:after="0"/>
              <w:rPr>
                <w:sz w:val="16"/>
                <w:szCs w:val="16"/>
                <w:color w:val="auto"/>
              </w:rPr>
            </w:pPr>
          </w:p>
        </w:tc>
        <w:tc>
          <w:tcPr>
            <w:tcW w:w="280" w:type="dxa"/>
            <w:vAlign w:val="bottom"/>
            <w:tcBorders>
              <w:bottom w:val="single" w:sz="8" w:color="1352DE"/>
            </w:tcBorders>
          </w:tcPr>
          <w:p>
            <w:pPr>
              <w:spacing w:after="0"/>
              <w:rPr>
                <w:sz w:val="16"/>
                <w:szCs w:val="16"/>
                <w:color w:val="auto"/>
              </w:rPr>
            </w:pPr>
          </w:p>
        </w:tc>
        <w:tc>
          <w:tcPr>
            <w:tcW w:w="1440" w:type="dxa"/>
            <w:vAlign w:val="bottom"/>
            <w:tcBorders>
              <w:bottom w:val="single" w:sz="8" w:color="1352DE"/>
            </w:tcBorders>
            <w:gridSpan w:val="2"/>
          </w:tcPr>
          <w:p>
            <w:pPr>
              <w:jc w:val="right"/>
              <w:ind w:right="148"/>
              <w:spacing w:after="0"/>
              <w:rPr>
                <w:sz w:val="20"/>
                <w:szCs w:val="20"/>
                <w:color w:val="auto"/>
              </w:rPr>
            </w:pPr>
            <w:r>
              <w:rPr>
                <w:rFonts w:ascii="Arial" w:cs="Arial" w:eastAsia="Arial" w:hAnsi="Arial"/>
                <w:sz w:val="14"/>
                <w:szCs w:val="14"/>
                <w:color w:val="1252DE"/>
              </w:rPr>
              <w:t>September 30,</w:t>
            </w:r>
          </w:p>
        </w:tc>
        <w:tc>
          <w:tcPr>
            <w:tcW w:w="340" w:type="dxa"/>
            <w:vAlign w:val="bottom"/>
            <w:tcBorders>
              <w:bottom w:val="single" w:sz="8" w:color="1352DE"/>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1352DE"/>
            </w:tcBorders>
          </w:tcPr>
          <w:p>
            <w:pPr>
              <w:spacing w:after="0"/>
              <w:rPr>
                <w:sz w:val="16"/>
                <w:szCs w:val="16"/>
                <w:color w:val="auto"/>
              </w:rPr>
            </w:pPr>
          </w:p>
        </w:tc>
        <w:tc>
          <w:tcPr>
            <w:tcW w:w="126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1252DE"/>
              </w:rPr>
              <w:t>September 30,</w:t>
            </w:r>
          </w:p>
        </w:tc>
        <w:tc>
          <w:tcPr>
            <w:tcW w:w="480" w:type="dxa"/>
            <w:vAlign w:val="bottom"/>
            <w:tcBorders>
              <w:bottom w:val="single" w:sz="8" w:color="1352DE"/>
            </w:tcBorders>
          </w:tcPr>
          <w:p>
            <w:pPr>
              <w:spacing w:after="0"/>
              <w:rPr>
                <w:sz w:val="16"/>
                <w:szCs w:val="16"/>
                <w:color w:val="auto"/>
              </w:rPr>
            </w:pPr>
          </w:p>
        </w:tc>
      </w:tr>
      <w:tr>
        <w:trPr>
          <w:trHeight w:val="195"/>
        </w:trPr>
        <w:tc>
          <w:tcPr>
            <w:tcW w:w="69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80" w:type="dxa"/>
            <w:vAlign w:val="bottom"/>
            <w:tcBorders>
              <w:bottom w:val="single" w:sz="8" w:color="1352DE"/>
            </w:tcBorders>
          </w:tcPr>
          <w:p>
            <w:pPr>
              <w:spacing w:after="0"/>
              <w:rPr>
                <w:sz w:val="16"/>
                <w:szCs w:val="16"/>
                <w:color w:val="auto"/>
              </w:rPr>
            </w:pPr>
          </w:p>
        </w:tc>
        <w:tc>
          <w:tcPr>
            <w:tcW w:w="8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2026</w:t>
            </w:r>
          </w:p>
        </w:tc>
        <w:tc>
          <w:tcPr>
            <w:tcW w:w="640" w:type="dxa"/>
            <w:vAlign w:val="bottom"/>
            <w:tcBorders>
              <w:bottom w:val="single" w:sz="8" w:color="1352DE"/>
            </w:tcBorders>
          </w:tcPr>
          <w:p>
            <w:pPr>
              <w:spacing w:after="0"/>
              <w:rPr>
                <w:sz w:val="16"/>
                <w:szCs w:val="16"/>
                <w:color w:val="auto"/>
              </w:rPr>
            </w:pPr>
          </w:p>
        </w:tc>
        <w:tc>
          <w:tcPr>
            <w:tcW w:w="3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w w:val="96"/>
              </w:rPr>
              <w:t>2025</w:t>
            </w:r>
          </w:p>
        </w:tc>
        <w:tc>
          <w:tcPr>
            <w:tcW w:w="200" w:type="dxa"/>
            <w:vAlign w:val="bottom"/>
            <w:tcBorders>
              <w:bottom w:val="single" w:sz="8" w:color="1352DE"/>
            </w:tcBorders>
          </w:tcPr>
          <w:p>
            <w:pPr>
              <w:spacing w:after="0"/>
              <w:rPr>
                <w:sz w:val="16"/>
                <w:szCs w:val="16"/>
                <w:color w:val="auto"/>
              </w:rPr>
            </w:pPr>
          </w:p>
        </w:tc>
        <w:tc>
          <w:tcPr>
            <w:tcW w:w="28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2026</w:t>
            </w:r>
          </w:p>
        </w:tc>
        <w:tc>
          <w:tcPr>
            <w:tcW w:w="480" w:type="dxa"/>
            <w:vAlign w:val="bottom"/>
            <w:tcBorders>
              <w:bottom w:val="single" w:sz="8" w:color="1352DE"/>
            </w:tcBorders>
          </w:tcPr>
          <w:p>
            <w:pPr>
              <w:spacing w:after="0"/>
              <w:rPr>
                <w:sz w:val="16"/>
                <w:szCs w:val="16"/>
                <w:color w:val="auto"/>
              </w:rPr>
            </w:pP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r>
      <w:tr>
        <w:trPr>
          <w:trHeight w:val="195"/>
        </w:trPr>
        <w:tc>
          <w:tcPr>
            <w:tcW w:w="6940" w:type="dxa"/>
            <w:vAlign w:val="bottom"/>
          </w:tcPr>
          <w:p>
            <w:pPr>
              <w:ind w:left="20"/>
              <w:spacing w:after="0"/>
              <w:rPr>
                <w:sz w:val="20"/>
                <w:szCs w:val="20"/>
                <w:color w:val="auto"/>
              </w:rPr>
            </w:pPr>
            <w:r>
              <w:rPr>
                <w:rFonts w:ascii="Arial" w:cs="Arial" w:eastAsia="Arial" w:hAnsi="Arial"/>
                <w:sz w:val="14"/>
                <w:szCs w:val="14"/>
                <w:b w:val="1"/>
                <w:bCs w:val="1"/>
                <w:color w:val="1252DE"/>
              </w:rPr>
              <w:t>Increase (decrease) in unrealized appreciation (depreciation) of investments:</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9"/>
        </w:trPr>
        <w:tc>
          <w:tcPr>
            <w:tcW w:w="694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1252DE"/>
              </w:rPr>
              <w:t>(1,989)</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543</w:t>
            </w:r>
          </w:p>
        </w:tc>
        <w:tc>
          <w:tcPr>
            <w:tcW w:w="200" w:type="dxa"/>
            <w:vAlign w:val="bottom"/>
          </w:tcPr>
          <w:p>
            <w:pPr>
              <w:spacing w:after="0"/>
              <w:rPr>
                <w:sz w:val="18"/>
                <w:szCs w:val="18"/>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1252DE"/>
              </w:rPr>
              <w:t>(2,489)</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1,370</w:t>
            </w:r>
          </w:p>
        </w:tc>
      </w:tr>
      <w:tr>
        <w:trPr>
          <w:trHeight w:val="197"/>
        </w:trPr>
        <w:tc>
          <w:tcPr>
            <w:tcW w:w="694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Other investments</w:t>
            </w:r>
          </w:p>
        </w:tc>
        <w:tc>
          <w:tcPr>
            <w:tcW w:w="28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64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(38)</w:t>
            </w:r>
          </w:p>
        </w:tc>
        <w:tc>
          <w:tcPr>
            <w:tcW w:w="480" w:type="dxa"/>
            <w:vAlign w:val="bottom"/>
            <w:tcBorders>
              <w:bottom w:val="single" w:sz="8" w:color="1352DE"/>
            </w:tcBorders>
          </w:tcPr>
          <w:p>
            <w:pPr>
              <w:spacing w:after="0"/>
              <w:rPr>
                <w:sz w:val="17"/>
                <w:szCs w:val="17"/>
                <w:color w:val="auto"/>
              </w:rPr>
            </w:pP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9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increase (decrease) in unrealized appreciation (depreciation) of investments</w:t>
            </w:r>
          </w:p>
        </w:tc>
        <w:tc>
          <w:tcPr>
            <w:tcW w:w="2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8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(1,989)</w:t>
            </w:r>
          </w:p>
        </w:tc>
        <w:tc>
          <w:tcPr>
            <w:tcW w:w="640" w:type="dxa"/>
            <w:vAlign w:val="bottom"/>
            <w:tcBorders>
              <w:bottom w:val="single" w:sz="8" w:color="1352DE"/>
            </w:tcBorders>
          </w:tcPr>
          <w:p>
            <w:pPr>
              <w:jc w:val="right"/>
              <w:ind w:right="4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543</w:t>
            </w:r>
          </w:p>
        </w:tc>
        <w:tc>
          <w:tcPr>
            <w:tcW w:w="20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7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(2,527)</w:t>
            </w:r>
          </w:p>
        </w:tc>
        <w:tc>
          <w:tcPr>
            <w:tcW w:w="48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1,370</w:t>
            </w:r>
          </w:p>
        </w:tc>
      </w:tr>
    </w:tbl>
    <w:p>
      <w:pPr>
        <w:spacing w:after="0" w:line="310" w:lineRule="exact"/>
        <w:rPr>
          <w:sz w:val="20"/>
          <w:szCs w:val="20"/>
          <w:color w:val="auto"/>
        </w:rPr>
      </w:pPr>
    </w:p>
    <w:p>
      <w:pPr>
        <w:ind w:right="500"/>
        <w:spacing w:after="0" w:line="349" w:lineRule="auto"/>
        <w:rPr>
          <w:sz w:val="20"/>
          <w:szCs w:val="20"/>
          <w:color w:val="auto"/>
        </w:rPr>
      </w:pPr>
      <w:r>
        <w:rPr>
          <w:rFonts w:ascii="Arial" w:cs="Arial" w:eastAsia="Arial" w:hAnsi="Arial"/>
          <w:sz w:val="16"/>
          <w:szCs w:val="16"/>
          <w:b w:val="1"/>
          <w:bCs w:val="1"/>
          <w:color w:val="1352DE"/>
        </w:rPr>
        <w:t>The following table summarizes the unrealized gains and losses recognized in Net investment income during the reporting period on equity securities and other investments still held at the reporting date: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Borders>
              <w:top w:val="single" w:sz="8" w:color="1352DE"/>
            </w:tcBorders>
          </w:tcPr>
          <w:p>
            <w:pPr>
              <w:ind w:left="20"/>
              <w:spacing w:after="0"/>
              <w:rPr>
                <w:sz w:val="20"/>
                <w:szCs w:val="20"/>
                <w:color w:val="auto"/>
              </w:rPr>
            </w:pPr>
            <w:r>
              <w:rPr>
                <w:rFonts w:ascii="Arial" w:cs="Arial" w:eastAsia="Arial" w:hAnsi="Arial"/>
                <w:sz w:val="13"/>
                <w:szCs w:val="13"/>
                <w:b w:val="1"/>
                <w:bCs w:val="1"/>
                <w:color w:val="1252DE"/>
              </w:rPr>
              <w:t>Three Months Ended September 30,</w:t>
            </w:r>
          </w:p>
        </w:tc>
        <w:tc>
          <w:tcPr>
            <w:tcW w:w="160" w:type="dxa"/>
            <w:vAlign w:val="bottom"/>
            <w:tcBorders>
              <w:top w:val="single" w:sz="8" w:color="1352DE"/>
              <w:bottom w:val="single" w:sz="8" w:color="1352DE"/>
            </w:tcBorders>
          </w:tcPr>
          <w:p>
            <w:pPr>
              <w:spacing w:after="0"/>
              <w:rPr>
                <w:sz w:val="17"/>
                <w:szCs w:val="17"/>
                <w:color w:val="auto"/>
              </w:rPr>
            </w:pPr>
          </w:p>
        </w:tc>
        <w:tc>
          <w:tcPr>
            <w:tcW w:w="640" w:type="dxa"/>
            <w:vAlign w:val="bottom"/>
            <w:tcBorders>
              <w:top w:val="single" w:sz="8" w:color="1352DE"/>
              <w:bottom w:val="single" w:sz="8" w:color="1352DE"/>
            </w:tcBorders>
          </w:tcPr>
          <w:p>
            <w:pPr>
              <w:spacing w:after="0"/>
              <w:rPr>
                <w:sz w:val="17"/>
                <w:szCs w:val="17"/>
                <w:color w:val="auto"/>
              </w:rPr>
            </w:pPr>
          </w:p>
        </w:tc>
        <w:tc>
          <w:tcPr>
            <w:tcW w:w="260" w:type="dxa"/>
            <w:vAlign w:val="bottom"/>
            <w:tcBorders>
              <w:top w:val="single" w:sz="8" w:color="1352DE"/>
              <w:bottom w:val="single" w:sz="8" w:color="1352DE"/>
            </w:tcBorders>
          </w:tcPr>
          <w:p>
            <w:pPr>
              <w:spacing w:after="0"/>
              <w:rPr>
                <w:sz w:val="17"/>
                <w:szCs w:val="17"/>
                <w:color w:val="auto"/>
              </w:rPr>
            </w:pPr>
          </w:p>
        </w:tc>
        <w:tc>
          <w:tcPr>
            <w:tcW w:w="860" w:type="dxa"/>
            <w:vAlign w:val="bottom"/>
            <w:tcBorders>
              <w:top w:val="single" w:sz="8" w:color="1352DE"/>
              <w:bottom w:val="single" w:sz="8" w:color="1352DE"/>
            </w:tcBorders>
          </w:tcPr>
          <w:p>
            <w:pPr>
              <w:jc w:val="right"/>
              <w:ind w:right="413"/>
              <w:spacing w:after="0"/>
              <w:rPr>
                <w:sz w:val="20"/>
                <w:szCs w:val="20"/>
                <w:color w:val="auto"/>
              </w:rPr>
            </w:pPr>
            <w:r>
              <w:rPr>
                <w:rFonts w:ascii="Arial" w:cs="Arial" w:eastAsia="Arial" w:hAnsi="Arial"/>
                <w:sz w:val="13"/>
                <w:szCs w:val="13"/>
                <w:b w:val="1"/>
                <w:bCs w:val="1"/>
                <w:color w:val="1252DE"/>
              </w:rPr>
              <w:t>2026</w:t>
            </w:r>
          </w:p>
        </w:tc>
        <w:tc>
          <w:tcPr>
            <w:tcW w:w="240" w:type="dxa"/>
            <w:vAlign w:val="bottom"/>
            <w:tcBorders>
              <w:top w:val="single" w:sz="8" w:color="1352DE"/>
              <w:bottom w:val="single" w:sz="8" w:color="1352DE"/>
            </w:tcBorders>
          </w:tcPr>
          <w:p>
            <w:pPr>
              <w:spacing w:after="0"/>
              <w:rPr>
                <w:sz w:val="17"/>
                <w:szCs w:val="17"/>
                <w:color w:val="auto"/>
              </w:rPr>
            </w:pPr>
          </w:p>
        </w:tc>
        <w:tc>
          <w:tcPr>
            <w:tcW w:w="420" w:type="dxa"/>
            <w:vAlign w:val="bottom"/>
            <w:tcBorders>
              <w:top w:val="single" w:sz="8" w:color="1352DE"/>
              <w:bottom w:val="single" w:sz="8" w:color="1352DE"/>
            </w:tcBorders>
          </w:tcPr>
          <w:p>
            <w:pPr>
              <w:spacing w:after="0"/>
              <w:rPr>
                <w:sz w:val="17"/>
                <w:szCs w:val="17"/>
                <w:color w:val="auto"/>
              </w:rPr>
            </w:pPr>
          </w:p>
        </w:tc>
        <w:tc>
          <w:tcPr>
            <w:tcW w:w="160" w:type="dxa"/>
            <w:vAlign w:val="bottom"/>
            <w:tcBorders>
              <w:top w:val="single" w:sz="8" w:color="1352DE"/>
            </w:tcBorders>
          </w:tcPr>
          <w:p>
            <w:pPr>
              <w:spacing w:after="0"/>
              <w:rPr>
                <w:sz w:val="17"/>
                <w:szCs w:val="17"/>
                <w:color w:val="auto"/>
              </w:rPr>
            </w:pPr>
          </w:p>
        </w:tc>
        <w:tc>
          <w:tcPr>
            <w:tcW w:w="140" w:type="dxa"/>
            <w:vAlign w:val="bottom"/>
            <w:tcBorders>
              <w:top w:val="single" w:sz="8" w:color="1352DE"/>
              <w:bottom w:val="single" w:sz="8" w:color="1352DE"/>
            </w:tcBorders>
          </w:tcPr>
          <w:p>
            <w:pPr>
              <w:spacing w:after="0"/>
              <w:rPr>
                <w:sz w:val="17"/>
                <w:szCs w:val="17"/>
                <w:color w:val="auto"/>
              </w:rPr>
            </w:pPr>
          </w:p>
        </w:tc>
        <w:tc>
          <w:tcPr>
            <w:tcW w:w="620" w:type="dxa"/>
            <w:vAlign w:val="bottom"/>
            <w:tcBorders>
              <w:top w:val="single" w:sz="8" w:color="1352DE"/>
              <w:bottom w:val="single" w:sz="8" w:color="1352DE"/>
            </w:tcBorders>
          </w:tcPr>
          <w:p>
            <w:pPr>
              <w:spacing w:after="0"/>
              <w:rPr>
                <w:sz w:val="17"/>
                <w:szCs w:val="17"/>
                <w:color w:val="auto"/>
              </w:rPr>
            </w:pPr>
          </w:p>
        </w:tc>
        <w:tc>
          <w:tcPr>
            <w:tcW w:w="260" w:type="dxa"/>
            <w:vAlign w:val="bottom"/>
            <w:tcBorders>
              <w:top w:val="single" w:sz="8" w:color="1352DE"/>
              <w:bottom w:val="single" w:sz="8" w:color="1352DE"/>
            </w:tcBorders>
          </w:tcPr>
          <w:p>
            <w:pPr>
              <w:spacing w:after="0"/>
              <w:rPr>
                <w:sz w:val="17"/>
                <w:szCs w:val="17"/>
                <w:color w:val="auto"/>
              </w:rPr>
            </w:pPr>
          </w:p>
        </w:tc>
        <w:tc>
          <w:tcPr>
            <w:tcW w:w="860" w:type="dxa"/>
            <w:vAlign w:val="bottom"/>
            <w:tcBorders>
              <w:top w:val="single" w:sz="8" w:color="1352DE"/>
              <w:bottom w:val="single" w:sz="8" w:color="1352DE"/>
            </w:tcBorders>
          </w:tcPr>
          <w:p>
            <w:pPr>
              <w:jc w:val="right"/>
              <w:ind w:right="393"/>
              <w:spacing w:after="0"/>
              <w:rPr>
                <w:sz w:val="20"/>
                <w:szCs w:val="20"/>
                <w:color w:val="auto"/>
              </w:rPr>
            </w:pPr>
            <w:r>
              <w:rPr>
                <w:rFonts w:ascii="Arial" w:cs="Arial" w:eastAsia="Arial" w:hAnsi="Arial"/>
                <w:sz w:val="13"/>
                <w:szCs w:val="13"/>
                <w:color w:val="1252DE"/>
              </w:rPr>
              <w:t>2025</w:t>
            </w:r>
          </w:p>
        </w:tc>
        <w:tc>
          <w:tcPr>
            <w:tcW w:w="240" w:type="dxa"/>
            <w:vAlign w:val="bottom"/>
            <w:tcBorders>
              <w:top w:val="single" w:sz="8" w:color="1352DE"/>
              <w:bottom w:val="single" w:sz="8" w:color="1352DE"/>
            </w:tcBorders>
          </w:tcPr>
          <w:p>
            <w:pPr>
              <w:spacing w:after="0"/>
              <w:rPr>
                <w:sz w:val="17"/>
                <w:szCs w:val="17"/>
                <w:color w:val="auto"/>
              </w:rPr>
            </w:pPr>
          </w:p>
        </w:tc>
        <w:tc>
          <w:tcPr>
            <w:tcW w:w="420" w:type="dxa"/>
            <w:vAlign w:val="bottom"/>
            <w:tcBorders>
              <w:top w:val="single" w:sz="8" w:color="1352DE"/>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33"/>
              <w:spacing w:after="0" w:line="131" w:lineRule="exact"/>
              <w:rPr>
                <w:sz w:val="20"/>
                <w:szCs w:val="20"/>
                <w:color w:val="auto"/>
              </w:rPr>
            </w:pPr>
            <w:r>
              <w:rPr>
                <w:rFonts w:ascii="Arial" w:cs="Arial" w:eastAsia="Arial" w:hAnsi="Arial"/>
                <w:sz w:val="13"/>
                <w:szCs w:val="13"/>
                <w:color w:val="1252DE"/>
              </w:rPr>
              <w:t>Other</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33"/>
              <w:spacing w:after="0" w:line="131" w:lineRule="exact"/>
              <w:rPr>
                <w:sz w:val="20"/>
                <w:szCs w:val="20"/>
                <w:color w:val="auto"/>
              </w:rPr>
            </w:pPr>
            <w:r>
              <w:rPr>
                <w:rFonts w:ascii="Arial" w:cs="Arial" w:eastAsia="Arial" w:hAnsi="Arial"/>
                <w:sz w:val="13"/>
                <w:szCs w:val="13"/>
                <w:color w:val="1252DE"/>
              </w:rPr>
              <w:t>Other</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3"/>
                <w:szCs w:val="13"/>
                <w:color w:val="1252DE"/>
              </w:rPr>
              <w:t>Equities</w:t>
            </w:r>
          </w:p>
        </w:tc>
        <w:tc>
          <w:tcPr>
            <w:tcW w:w="260" w:type="dxa"/>
            <w:vAlign w:val="bottom"/>
          </w:tcPr>
          <w:p>
            <w:pPr>
              <w:spacing w:after="0"/>
              <w:rPr>
                <w:sz w:val="11"/>
                <w:szCs w:val="11"/>
                <w:color w:val="auto"/>
              </w:rPr>
            </w:pPr>
          </w:p>
        </w:tc>
        <w:tc>
          <w:tcPr>
            <w:tcW w:w="860" w:type="dxa"/>
            <w:vAlign w:val="bottom"/>
          </w:tcPr>
          <w:p>
            <w:pPr>
              <w:jc w:val="right"/>
              <w:ind w:right="33"/>
              <w:spacing w:after="0" w:line="135" w:lineRule="exact"/>
              <w:rPr>
                <w:sz w:val="20"/>
                <w:szCs w:val="20"/>
                <w:color w:val="auto"/>
              </w:rPr>
            </w:pPr>
            <w:r>
              <w:rPr>
                <w:rFonts w:ascii="Arial" w:cs="Arial" w:eastAsia="Arial" w:hAnsi="Arial"/>
                <w:sz w:val="13"/>
                <w:szCs w:val="13"/>
                <w:color w:val="1252DE"/>
              </w:rPr>
              <w:t>Invested</w:t>
            </w:r>
          </w:p>
        </w:tc>
        <w:tc>
          <w:tcPr>
            <w:tcW w:w="240" w:type="dxa"/>
            <w:vAlign w:val="bottom"/>
          </w:tcPr>
          <w:p>
            <w:pPr>
              <w:spacing w:after="0"/>
              <w:rPr>
                <w:sz w:val="11"/>
                <w:szCs w:val="11"/>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3"/>
                <w:szCs w:val="13"/>
                <w:color w:val="1252DE"/>
              </w:rPr>
              <w:t>Total*</w:t>
            </w:r>
          </w:p>
        </w:tc>
        <w:tc>
          <w:tcPr>
            <w:tcW w:w="140" w:type="dxa"/>
            <w:vAlign w:val="bottom"/>
          </w:tcPr>
          <w:p>
            <w:pPr>
              <w:spacing w:after="0"/>
              <w:rPr>
                <w:sz w:val="11"/>
                <w:szCs w:val="11"/>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3"/>
                <w:szCs w:val="13"/>
                <w:color w:val="1252DE"/>
              </w:rPr>
              <w:t>Equities</w:t>
            </w:r>
          </w:p>
        </w:tc>
        <w:tc>
          <w:tcPr>
            <w:tcW w:w="260" w:type="dxa"/>
            <w:vAlign w:val="bottom"/>
          </w:tcPr>
          <w:p>
            <w:pPr>
              <w:spacing w:after="0"/>
              <w:rPr>
                <w:sz w:val="11"/>
                <w:szCs w:val="11"/>
                <w:color w:val="auto"/>
              </w:rPr>
            </w:pPr>
          </w:p>
        </w:tc>
        <w:tc>
          <w:tcPr>
            <w:tcW w:w="860" w:type="dxa"/>
            <w:vAlign w:val="bottom"/>
          </w:tcPr>
          <w:p>
            <w:pPr>
              <w:jc w:val="right"/>
              <w:ind w:right="33"/>
              <w:spacing w:after="0" w:line="135" w:lineRule="exact"/>
              <w:rPr>
                <w:sz w:val="20"/>
                <w:szCs w:val="20"/>
                <w:color w:val="auto"/>
              </w:rPr>
            </w:pPr>
            <w:r>
              <w:rPr>
                <w:rFonts w:ascii="Arial" w:cs="Arial" w:eastAsia="Arial" w:hAnsi="Arial"/>
                <w:sz w:val="13"/>
                <w:szCs w:val="13"/>
                <w:color w:val="1252DE"/>
              </w:rPr>
              <w:t>Invested</w:t>
            </w:r>
          </w:p>
        </w:tc>
        <w:tc>
          <w:tcPr>
            <w:tcW w:w="240" w:type="dxa"/>
            <w:vAlign w:val="bottom"/>
          </w:tcPr>
          <w:p>
            <w:pPr>
              <w:spacing w:after="0"/>
              <w:rPr>
                <w:sz w:val="11"/>
                <w:szCs w:val="11"/>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color w:val="1252DE"/>
                <w:w w:val="94"/>
              </w:rPr>
              <w:t>Total*</w:t>
            </w:r>
          </w:p>
        </w:tc>
        <w:tc>
          <w:tcPr>
            <w:tcW w:w="0" w:type="dxa"/>
            <w:vAlign w:val="bottom"/>
          </w:tcPr>
          <w:p>
            <w:pPr>
              <w:spacing w:after="0"/>
              <w:rPr>
                <w:sz w:val="1"/>
                <w:szCs w:val="1"/>
                <w:color w:val="auto"/>
              </w:rPr>
            </w:pPr>
          </w:p>
        </w:tc>
      </w:tr>
      <w:tr>
        <w:trPr>
          <w:trHeight w:val="182"/>
        </w:trPr>
        <w:tc>
          <w:tcPr>
            <w:tcW w:w="5940" w:type="dxa"/>
            <w:vAlign w:val="bottom"/>
            <w:tcBorders>
              <w:bottom w:val="single" w:sz="8" w:color="1352DE"/>
            </w:tcBorders>
          </w:tcPr>
          <w:p>
            <w:pPr>
              <w:ind w:left="20"/>
              <w:spacing w:after="0"/>
              <w:rPr>
                <w:sz w:val="20"/>
                <w:szCs w:val="20"/>
                <w:color w:val="auto"/>
              </w:rPr>
            </w:pPr>
            <w:r>
              <w:rPr>
                <w:rFonts w:ascii="Arial" w:cs="Arial" w:eastAsia="Arial" w:hAnsi="Arial"/>
                <w:sz w:val="12"/>
                <w:szCs w:val="12"/>
                <w:i w:val="1"/>
                <w:iCs w:val="1"/>
                <w:color w:val="1252DE"/>
              </w:rPr>
              <w:t>(in millions)</w:t>
            </w:r>
          </w:p>
        </w:tc>
        <w:tc>
          <w:tcPr>
            <w:tcW w:w="16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vMerge w:val="continue"/>
          </w:tcPr>
          <w:p>
            <w:pPr>
              <w:spacing w:after="0"/>
              <w:rPr>
                <w:sz w:val="15"/>
                <w:szCs w:val="15"/>
                <w:color w:val="auto"/>
              </w:rPr>
            </w:pPr>
          </w:p>
        </w:tc>
        <w:tc>
          <w:tcPr>
            <w:tcW w:w="26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1252DE"/>
              </w:rPr>
              <w:t>Assets</w:t>
            </w:r>
          </w:p>
        </w:tc>
        <w:tc>
          <w:tcPr>
            <w:tcW w:w="240" w:type="dxa"/>
            <w:vAlign w:val="bottom"/>
            <w:tcBorders>
              <w:bottom w:val="single" w:sz="8" w:color="1352DE"/>
            </w:tcBorders>
          </w:tcPr>
          <w:p>
            <w:pPr>
              <w:spacing w:after="0"/>
              <w:rPr>
                <w:sz w:val="15"/>
                <w:szCs w:val="15"/>
                <w:color w:val="auto"/>
              </w:rPr>
            </w:pPr>
          </w:p>
        </w:tc>
        <w:tc>
          <w:tcPr>
            <w:tcW w:w="580" w:type="dxa"/>
            <w:vAlign w:val="bottom"/>
            <w:tcBorders>
              <w:bottom w:val="single" w:sz="8" w:color="1352DE"/>
            </w:tcBorders>
            <w:gridSpan w:val="2"/>
            <w:vMerge w:val="continue"/>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vMerge w:val="continue"/>
          </w:tcPr>
          <w:p>
            <w:pPr>
              <w:spacing w:after="0"/>
              <w:rPr>
                <w:sz w:val="15"/>
                <w:szCs w:val="15"/>
                <w:color w:val="auto"/>
              </w:rPr>
            </w:pPr>
          </w:p>
        </w:tc>
        <w:tc>
          <w:tcPr>
            <w:tcW w:w="26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1252DE"/>
              </w:rPr>
              <w:t>Assets</w:t>
            </w:r>
          </w:p>
        </w:tc>
        <w:tc>
          <w:tcPr>
            <w:tcW w:w="24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40" w:type="dxa"/>
            <w:vAlign w:val="bottom"/>
          </w:tcPr>
          <w:p>
            <w:pPr>
              <w:ind w:left="20"/>
              <w:spacing w:after="0"/>
              <w:rPr>
                <w:sz w:val="20"/>
                <w:szCs w:val="20"/>
                <w:color w:val="auto"/>
              </w:rPr>
            </w:pPr>
            <w:r>
              <w:rPr>
                <w:rFonts w:ascii="Arial" w:cs="Arial" w:eastAsia="Arial" w:hAnsi="Arial"/>
                <w:sz w:val="13"/>
                <w:szCs w:val="13"/>
                <w:color w:val="auto"/>
              </w:rPr>
              <w:t>Net gains (losses) recognized during the period on equity securities and other investments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640" w:type="dxa"/>
            <w:vAlign w:val="bottom"/>
          </w:tcPr>
          <w:p>
            <w:pPr>
              <w:jc w:val="right"/>
              <w:ind w:right="33"/>
              <w:spacing w:after="0"/>
              <w:rPr>
                <w:sz w:val="20"/>
                <w:szCs w:val="20"/>
                <w:color w:val="auto"/>
              </w:rPr>
            </w:pPr>
            <w:r>
              <w:rPr>
                <w:rFonts w:ascii="Arial" w:cs="Arial" w:eastAsia="Arial" w:hAnsi="Arial"/>
                <w:sz w:val="13"/>
                <w:szCs w:val="13"/>
                <w:b w:val="1"/>
                <w:bCs w:val="1"/>
                <w:color w:val="1252DE"/>
              </w:rPr>
              <w:t>(4)</w:t>
            </w:r>
          </w:p>
        </w:tc>
        <w:tc>
          <w:tcPr>
            <w:tcW w:w="260" w:type="dxa"/>
            <w:vAlign w:val="bottom"/>
          </w:tcPr>
          <w:p>
            <w:pPr>
              <w:jc w:val="right"/>
              <w:ind w:right="33"/>
              <w:spacing w:after="0"/>
              <w:rPr>
                <w:sz w:val="20"/>
                <w:szCs w:val="20"/>
                <w:color w:val="auto"/>
              </w:rPr>
            </w:pPr>
            <w:r>
              <w:rPr>
                <w:rFonts w:ascii="Arial" w:cs="Arial" w:eastAsia="Arial" w:hAnsi="Arial"/>
                <w:sz w:val="13"/>
                <w:szCs w:val="13"/>
                <w:b w:val="1"/>
                <w:bCs w:val="1"/>
                <w:color w:val="1252DE"/>
              </w:rPr>
              <w:t>$</w:t>
            </w:r>
          </w:p>
        </w:tc>
        <w:tc>
          <w:tcPr>
            <w:tcW w:w="860" w:type="dxa"/>
            <w:vAlign w:val="bottom"/>
          </w:tcPr>
          <w:p>
            <w:pPr>
              <w:jc w:val="right"/>
              <w:ind w:right="73"/>
              <w:spacing w:after="0"/>
              <w:rPr>
                <w:sz w:val="20"/>
                <w:szCs w:val="20"/>
                <w:color w:val="auto"/>
              </w:rPr>
            </w:pPr>
            <w:r>
              <w:rPr>
                <w:rFonts w:ascii="Arial" w:cs="Arial" w:eastAsia="Arial" w:hAnsi="Arial"/>
                <w:sz w:val="13"/>
                <w:szCs w:val="13"/>
                <w:b w:val="1"/>
                <w:bCs w:val="1"/>
                <w:color w:val="1252DE"/>
              </w:rPr>
              <w:t>40</w:t>
            </w:r>
          </w:p>
        </w:tc>
        <w:tc>
          <w:tcPr>
            <w:tcW w:w="240" w:type="dxa"/>
            <w:vAlign w:val="bottom"/>
          </w:tcPr>
          <w:p>
            <w:pPr>
              <w:jc w:val="right"/>
              <w:ind w:right="13"/>
              <w:spacing w:after="0"/>
              <w:rPr>
                <w:sz w:val="20"/>
                <w:szCs w:val="20"/>
                <w:color w:val="auto"/>
              </w:rPr>
            </w:pPr>
            <w:r>
              <w:rPr>
                <w:rFonts w:ascii="Arial" w:cs="Arial" w:eastAsia="Arial" w:hAnsi="Arial"/>
                <w:sz w:val="13"/>
                <w:szCs w:val="13"/>
                <w:b w:val="1"/>
                <w:bCs w:val="1"/>
                <w:color w:val="1252DE"/>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1252DE"/>
              </w:rPr>
              <w:t>36</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3"/>
              <w:spacing w:after="0"/>
              <w:rPr>
                <w:sz w:val="20"/>
                <w:szCs w:val="20"/>
                <w:color w:val="auto"/>
              </w:rPr>
            </w:pPr>
            <w:r>
              <w:rPr>
                <w:rFonts w:ascii="Arial" w:cs="Arial" w:eastAsia="Arial" w:hAnsi="Arial"/>
                <w:sz w:val="13"/>
                <w:szCs w:val="13"/>
                <w:color w:val="auto"/>
              </w:rPr>
              <w:t>62</w:t>
            </w: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(244)</w:t>
            </w:r>
          </w:p>
        </w:tc>
        <w:tc>
          <w:tcPr>
            <w:tcW w:w="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39"/>
        </w:trPr>
        <w:tc>
          <w:tcPr>
            <w:tcW w:w="5940" w:type="dxa"/>
            <w:vAlign w:val="bottom"/>
          </w:tcPr>
          <w:p>
            <w:pPr>
              <w:ind w:left="20"/>
              <w:spacing w:after="0" w:line="139" w:lineRule="exact"/>
              <w:rPr>
                <w:sz w:val="20"/>
                <w:szCs w:val="20"/>
                <w:color w:val="auto"/>
              </w:rPr>
            </w:pPr>
            <w:r>
              <w:rPr>
                <w:rFonts w:ascii="Arial" w:cs="Arial" w:eastAsia="Arial" w:hAnsi="Arial"/>
                <w:sz w:val="13"/>
                <w:szCs w:val="13"/>
                <w:color w:val="auto"/>
              </w:rPr>
              <w:t>Less: Net gains (losses) recognized during the period on equity securities and other investments</w:t>
            </w:r>
          </w:p>
        </w:tc>
        <w:tc>
          <w:tcPr>
            <w:tcW w:w="160" w:type="dxa"/>
            <w:vAlign w:val="bottom"/>
          </w:tcPr>
          <w:p>
            <w:pPr>
              <w:spacing w:after="0"/>
              <w:rPr>
                <w:sz w:val="12"/>
                <w:szCs w:val="12"/>
                <w:color w:val="auto"/>
              </w:rPr>
            </w:pPr>
          </w:p>
        </w:tc>
        <w:tc>
          <w:tcPr>
            <w:tcW w:w="64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29</w:t>
            </w:r>
          </w:p>
        </w:tc>
        <w:tc>
          <w:tcPr>
            <w:tcW w:w="260" w:type="dxa"/>
            <w:vAlign w:val="bottom"/>
          </w:tcPr>
          <w:p>
            <w:pPr>
              <w:spacing w:after="0"/>
              <w:rPr>
                <w:sz w:val="12"/>
                <w:szCs w:val="12"/>
                <w:color w:val="auto"/>
              </w:rPr>
            </w:pP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9</w:t>
            </w:r>
          </w:p>
        </w:tc>
        <w:tc>
          <w:tcPr>
            <w:tcW w:w="2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73"/>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(65)</w:t>
            </w:r>
          </w:p>
        </w:tc>
        <w:tc>
          <w:tcPr>
            <w:tcW w:w="2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86"/>
        </w:trPr>
        <w:tc>
          <w:tcPr>
            <w:tcW w:w="594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sold during the period</w:t>
            </w:r>
          </w:p>
        </w:tc>
        <w:tc>
          <w:tcPr>
            <w:tcW w:w="16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vMerge w:val="continue"/>
          </w:tcPr>
          <w:p>
            <w:pPr>
              <w:spacing w:after="0"/>
              <w:rPr>
                <w:sz w:val="16"/>
                <w:szCs w:val="16"/>
                <w:color w:val="auto"/>
              </w:rPr>
            </w:pPr>
          </w:p>
        </w:tc>
        <w:tc>
          <w:tcPr>
            <w:tcW w:w="26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420" w:type="dxa"/>
            <w:vAlign w:val="bottom"/>
            <w:tcBorders>
              <w:bottom w:val="single" w:sz="8" w:color="1352DE"/>
            </w:tcBorders>
            <w:vMerge w:val="continue"/>
          </w:tcPr>
          <w:p>
            <w:pPr>
              <w:spacing w:after="0"/>
              <w:rPr>
                <w:sz w:val="16"/>
                <w:szCs w:val="16"/>
                <w:color w:val="auto"/>
              </w:rPr>
            </w:pPr>
          </w:p>
        </w:tc>
        <w:tc>
          <w:tcPr>
            <w:tcW w:w="160" w:type="dxa"/>
            <w:vAlign w:val="bottom"/>
            <w:tcBorders>
              <w:bottom w:val="single" w:sz="8" w:color="1352DE"/>
            </w:tcBorders>
          </w:tcPr>
          <w:p>
            <w:pPr>
              <w:spacing w:after="0"/>
              <w:rPr>
                <w:sz w:val="16"/>
                <w:szCs w:val="16"/>
                <w:color w:val="auto"/>
              </w:rPr>
            </w:pPr>
          </w:p>
        </w:tc>
        <w:tc>
          <w:tcPr>
            <w:tcW w:w="140" w:type="dxa"/>
            <w:vAlign w:val="bottom"/>
            <w:tcBorders>
              <w:bottom w:val="single" w:sz="8" w:color="1352DE"/>
            </w:tcBorders>
          </w:tcPr>
          <w:p>
            <w:pPr>
              <w:spacing w:after="0"/>
              <w:rPr>
                <w:sz w:val="16"/>
                <w:szCs w:val="16"/>
                <w:color w:val="auto"/>
              </w:rPr>
            </w:pPr>
          </w:p>
        </w:tc>
        <w:tc>
          <w:tcPr>
            <w:tcW w:w="620" w:type="dxa"/>
            <w:vAlign w:val="bottom"/>
            <w:tcBorders>
              <w:bottom w:val="single" w:sz="8" w:color="1352DE"/>
            </w:tcBorders>
            <w:vMerge w:val="continue"/>
          </w:tcPr>
          <w:p>
            <w:pPr>
              <w:spacing w:after="0"/>
              <w:rPr>
                <w:sz w:val="16"/>
                <w:szCs w:val="16"/>
                <w:color w:val="auto"/>
              </w:rPr>
            </w:pPr>
          </w:p>
        </w:tc>
        <w:tc>
          <w:tcPr>
            <w:tcW w:w="26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42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940" w:type="dxa"/>
            <w:vAlign w:val="bottom"/>
          </w:tcPr>
          <w:p>
            <w:pPr>
              <w:ind w:left="20"/>
              <w:spacing w:after="0" w:line="131" w:lineRule="exact"/>
              <w:rPr>
                <w:sz w:val="20"/>
                <w:szCs w:val="20"/>
                <w:color w:val="auto"/>
              </w:rPr>
            </w:pPr>
            <w:r>
              <w:rPr>
                <w:rFonts w:ascii="Arial" w:cs="Arial" w:eastAsia="Arial" w:hAnsi="Arial"/>
                <w:sz w:val="13"/>
                <w:szCs w:val="13"/>
                <w:b w:val="1"/>
                <w:bCs w:val="1"/>
                <w:color w:val="1252DE"/>
              </w:rPr>
              <w:t>Unrealized gains (losses) recognized during the reporting period on equity securities and</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6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252DE"/>
              </w:rPr>
              <w:t>(33)</w:t>
            </w:r>
          </w:p>
        </w:tc>
        <w:tc>
          <w:tcPr>
            <w:tcW w:w="2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252DE"/>
              </w:rPr>
              <w:t>$</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31</w:t>
            </w:r>
          </w:p>
        </w:tc>
        <w:tc>
          <w:tcPr>
            <w:tcW w:w="2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1252DE"/>
              </w:rPr>
              <w:t>$</w:t>
            </w: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(2)</w:t>
            </w:r>
          </w:p>
        </w:tc>
        <w:tc>
          <w:tcPr>
            <w:tcW w:w="16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ind w:right="73"/>
              <w:spacing w:after="0"/>
              <w:rPr>
                <w:sz w:val="20"/>
                <w:szCs w:val="20"/>
                <w:color w:val="auto"/>
              </w:rPr>
            </w:pPr>
            <w:r>
              <w:rPr>
                <w:rFonts w:ascii="Arial" w:cs="Arial" w:eastAsia="Arial" w:hAnsi="Arial"/>
                <w:sz w:val="13"/>
                <w:szCs w:val="13"/>
                <w:color w:val="auto"/>
              </w:rPr>
              <w:t>60</w:t>
            </w:r>
          </w:p>
        </w:tc>
        <w:tc>
          <w:tcPr>
            <w:tcW w:w="2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(179)</w:t>
            </w:r>
          </w:p>
        </w:tc>
        <w:tc>
          <w:tcPr>
            <w:tcW w:w="2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88"/>
        </w:trPr>
        <w:tc>
          <w:tcPr>
            <w:tcW w:w="5940" w:type="dxa"/>
            <w:vAlign w:val="bottom"/>
            <w:tcBorders>
              <w:bottom w:val="single" w:sz="8" w:color="1352DE"/>
            </w:tcBorders>
          </w:tcPr>
          <w:p>
            <w:pPr>
              <w:ind w:left="140"/>
              <w:spacing w:after="0"/>
              <w:rPr>
                <w:sz w:val="20"/>
                <w:szCs w:val="20"/>
                <w:color w:val="auto"/>
              </w:rPr>
            </w:pPr>
            <w:r>
              <w:rPr>
                <w:rFonts w:ascii="Arial" w:cs="Arial" w:eastAsia="Arial" w:hAnsi="Arial"/>
                <w:sz w:val="13"/>
                <w:szCs w:val="13"/>
                <w:b w:val="1"/>
                <w:bCs w:val="1"/>
                <w:color w:val="1252DE"/>
              </w:rPr>
              <w:t>other investments still held at the reporting date</w:t>
            </w:r>
          </w:p>
        </w:tc>
        <w:tc>
          <w:tcPr>
            <w:tcW w:w="160" w:type="dxa"/>
            <w:vAlign w:val="bottom"/>
            <w:tcBorders>
              <w:bottom w:val="single" w:sz="8" w:color="1352DE"/>
            </w:tcBorders>
            <w:vMerge w:val="continue"/>
          </w:tcPr>
          <w:p>
            <w:pPr>
              <w:spacing w:after="0"/>
              <w:rPr>
                <w:sz w:val="16"/>
                <w:szCs w:val="16"/>
                <w:color w:val="auto"/>
              </w:rPr>
            </w:pPr>
          </w:p>
        </w:tc>
        <w:tc>
          <w:tcPr>
            <w:tcW w:w="640" w:type="dxa"/>
            <w:vAlign w:val="bottom"/>
            <w:tcBorders>
              <w:bottom w:val="single" w:sz="8" w:color="1352DE"/>
            </w:tcBorders>
            <w:vMerge w:val="continue"/>
          </w:tcPr>
          <w:p>
            <w:pPr>
              <w:spacing w:after="0"/>
              <w:rPr>
                <w:sz w:val="16"/>
                <w:szCs w:val="16"/>
                <w:color w:val="auto"/>
              </w:rPr>
            </w:pPr>
          </w:p>
        </w:tc>
        <w:tc>
          <w:tcPr>
            <w:tcW w:w="260" w:type="dxa"/>
            <w:vAlign w:val="bottom"/>
            <w:tcBorders>
              <w:bottom w:val="single" w:sz="8" w:color="1352DE"/>
            </w:tcBorders>
            <w:vMerge w:val="continue"/>
          </w:tcPr>
          <w:p>
            <w:pPr>
              <w:spacing w:after="0"/>
              <w:rPr>
                <w:sz w:val="16"/>
                <w:szCs w:val="16"/>
                <w:color w:val="auto"/>
              </w:rPr>
            </w:pPr>
          </w:p>
        </w:tc>
        <w:tc>
          <w:tcPr>
            <w:tcW w:w="86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vMerge w:val="continue"/>
          </w:tcPr>
          <w:p>
            <w:pPr>
              <w:spacing w:after="0"/>
              <w:rPr>
                <w:sz w:val="16"/>
                <w:szCs w:val="16"/>
                <w:color w:val="auto"/>
              </w:rPr>
            </w:pPr>
          </w:p>
        </w:tc>
        <w:tc>
          <w:tcPr>
            <w:tcW w:w="420" w:type="dxa"/>
            <w:vAlign w:val="bottom"/>
            <w:tcBorders>
              <w:bottom w:val="single" w:sz="8" w:color="1352DE"/>
            </w:tcBorders>
            <w:vMerge w:val="continue"/>
          </w:tcPr>
          <w:p>
            <w:pPr>
              <w:spacing w:after="0"/>
              <w:rPr>
                <w:sz w:val="16"/>
                <w:szCs w:val="16"/>
                <w:color w:val="auto"/>
              </w:rPr>
            </w:pPr>
          </w:p>
        </w:tc>
        <w:tc>
          <w:tcPr>
            <w:tcW w:w="160" w:type="dxa"/>
            <w:vAlign w:val="bottom"/>
            <w:tcBorders>
              <w:bottom w:val="single" w:sz="8" w:color="1352DE"/>
            </w:tcBorders>
          </w:tcPr>
          <w:p>
            <w:pPr>
              <w:spacing w:after="0"/>
              <w:rPr>
                <w:sz w:val="16"/>
                <w:szCs w:val="16"/>
                <w:color w:val="auto"/>
              </w:rPr>
            </w:pPr>
          </w:p>
        </w:tc>
        <w:tc>
          <w:tcPr>
            <w:tcW w:w="140" w:type="dxa"/>
            <w:vAlign w:val="bottom"/>
            <w:tcBorders>
              <w:bottom w:val="single" w:sz="8" w:color="1352DE"/>
            </w:tcBorders>
            <w:vMerge w:val="continue"/>
          </w:tcPr>
          <w:p>
            <w:pPr>
              <w:spacing w:after="0"/>
              <w:rPr>
                <w:sz w:val="16"/>
                <w:szCs w:val="16"/>
                <w:color w:val="auto"/>
              </w:rPr>
            </w:pPr>
          </w:p>
        </w:tc>
        <w:tc>
          <w:tcPr>
            <w:tcW w:w="620" w:type="dxa"/>
            <w:vAlign w:val="bottom"/>
            <w:tcBorders>
              <w:bottom w:val="single" w:sz="8" w:color="1352DE"/>
            </w:tcBorders>
            <w:vMerge w:val="continue"/>
          </w:tcPr>
          <w:p>
            <w:pPr>
              <w:spacing w:after="0"/>
              <w:rPr>
                <w:sz w:val="16"/>
                <w:szCs w:val="16"/>
                <w:color w:val="auto"/>
              </w:rPr>
            </w:pPr>
          </w:p>
        </w:tc>
        <w:tc>
          <w:tcPr>
            <w:tcW w:w="260" w:type="dxa"/>
            <w:vAlign w:val="bottom"/>
            <w:tcBorders>
              <w:bottom w:val="single" w:sz="8" w:color="1352DE"/>
            </w:tcBorders>
            <w:vMerge w:val="continue"/>
          </w:tcPr>
          <w:p>
            <w:pPr>
              <w:spacing w:after="0"/>
              <w:rPr>
                <w:sz w:val="16"/>
                <w:szCs w:val="16"/>
                <w:color w:val="auto"/>
              </w:rPr>
            </w:pPr>
          </w:p>
        </w:tc>
        <w:tc>
          <w:tcPr>
            <w:tcW w:w="86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vMerge w:val="continue"/>
          </w:tcPr>
          <w:p>
            <w:pPr>
              <w:spacing w:after="0"/>
              <w:rPr>
                <w:sz w:val="16"/>
                <w:szCs w:val="16"/>
                <w:color w:val="auto"/>
              </w:rPr>
            </w:pPr>
          </w:p>
        </w:tc>
        <w:tc>
          <w:tcPr>
            <w:tcW w:w="42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940" w:type="dxa"/>
            <w:vAlign w:val="bottom"/>
            <w:tcBorders>
              <w:bottom w:val="single" w:sz="8" w:color="1352DE"/>
            </w:tcBorders>
          </w:tcPr>
          <w:p>
            <w:pPr>
              <w:spacing w:after="0"/>
              <w:rPr>
                <w:sz w:val="8"/>
                <w:szCs w:val="8"/>
                <w:color w:val="auto"/>
              </w:rPr>
            </w:pPr>
          </w:p>
        </w:tc>
        <w:tc>
          <w:tcPr>
            <w:tcW w:w="160" w:type="dxa"/>
            <w:vAlign w:val="bottom"/>
            <w:tcBorders>
              <w:bottom w:val="single" w:sz="8" w:color="1352DE"/>
            </w:tcBorders>
          </w:tcPr>
          <w:p>
            <w:pPr>
              <w:spacing w:after="0"/>
              <w:rPr>
                <w:sz w:val="8"/>
                <w:szCs w:val="8"/>
                <w:color w:val="auto"/>
              </w:rPr>
            </w:pPr>
          </w:p>
        </w:tc>
        <w:tc>
          <w:tcPr>
            <w:tcW w:w="640" w:type="dxa"/>
            <w:vAlign w:val="bottom"/>
            <w:tcBorders>
              <w:bottom w:val="single" w:sz="8" w:color="1352DE"/>
            </w:tcBorders>
          </w:tcPr>
          <w:p>
            <w:pPr>
              <w:spacing w:after="0"/>
              <w:rPr>
                <w:sz w:val="8"/>
                <w:szCs w:val="8"/>
                <w:color w:val="auto"/>
              </w:rPr>
            </w:pPr>
          </w:p>
        </w:tc>
        <w:tc>
          <w:tcPr>
            <w:tcW w:w="260" w:type="dxa"/>
            <w:vAlign w:val="bottom"/>
            <w:tcBorders>
              <w:bottom w:val="single" w:sz="8" w:color="1352DE"/>
            </w:tcBorders>
          </w:tcPr>
          <w:p>
            <w:pPr>
              <w:spacing w:after="0"/>
              <w:rPr>
                <w:sz w:val="8"/>
                <w:szCs w:val="8"/>
                <w:color w:val="auto"/>
              </w:rPr>
            </w:pPr>
          </w:p>
        </w:tc>
        <w:tc>
          <w:tcPr>
            <w:tcW w:w="860" w:type="dxa"/>
            <w:vAlign w:val="bottom"/>
            <w:tcBorders>
              <w:bottom w:val="single" w:sz="8" w:color="1352DE"/>
            </w:tcBorders>
          </w:tcPr>
          <w:p>
            <w:pPr>
              <w:spacing w:after="0"/>
              <w:rPr>
                <w:sz w:val="8"/>
                <w:szCs w:val="8"/>
                <w:color w:val="auto"/>
              </w:rPr>
            </w:pPr>
          </w:p>
        </w:tc>
        <w:tc>
          <w:tcPr>
            <w:tcW w:w="240" w:type="dxa"/>
            <w:vAlign w:val="bottom"/>
            <w:tcBorders>
              <w:bottom w:val="single" w:sz="8" w:color="1352DE"/>
            </w:tcBorders>
          </w:tcPr>
          <w:p>
            <w:pPr>
              <w:spacing w:after="0"/>
              <w:rPr>
                <w:sz w:val="8"/>
                <w:szCs w:val="8"/>
                <w:color w:val="auto"/>
              </w:rPr>
            </w:pPr>
          </w:p>
        </w:tc>
        <w:tc>
          <w:tcPr>
            <w:tcW w:w="420" w:type="dxa"/>
            <w:vAlign w:val="bottom"/>
            <w:tcBorders>
              <w:bottom w:val="single" w:sz="8" w:color="1352DE"/>
            </w:tcBorders>
          </w:tcPr>
          <w:p>
            <w:pPr>
              <w:spacing w:after="0"/>
              <w:rPr>
                <w:sz w:val="8"/>
                <w:szCs w:val="8"/>
                <w:color w:val="auto"/>
              </w:rPr>
            </w:pPr>
          </w:p>
        </w:tc>
        <w:tc>
          <w:tcPr>
            <w:tcW w:w="160" w:type="dxa"/>
            <w:vAlign w:val="bottom"/>
            <w:tcBorders>
              <w:bottom w:val="single" w:sz="8" w:color="1352DE"/>
            </w:tcBorders>
          </w:tcPr>
          <w:p>
            <w:pPr>
              <w:spacing w:after="0"/>
              <w:rPr>
                <w:sz w:val="8"/>
                <w:szCs w:val="8"/>
                <w:color w:val="auto"/>
              </w:rPr>
            </w:pPr>
          </w:p>
        </w:tc>
        <w:tc>
          <w:tcPr>
            <w:tcW w:w="140" w:type="dxa"/>
            <w:vAlign w:val="bottom"/>
            <w:tcBorders>
              <w:bottom w:val="single" w:sz="8" w:color="1352DE"/>
            </w:tcBorders>
          </w:tcPr>
          <w:p>
            <w:pPr>
              <w:spacing w:after="0"/>
              <w:rPr>
                <w:sz w:val="8"/>
                <w:szCs w:val="8"/>
                <w:color w:val="auto"/>
              </w:rPr>
            </w:pPr>
          </w:p>
        </w:tc>
        <w:tc>
          <w:tcPr>
            <w:tcW w:w="620" w:type="dxa"/>
            <w:vAlign w:val="bottom"/>
            <w:tcBorders>
              <w:bottom w:val="single" w:sz="8" w:color="1352DE"/>
            </w:tcBorders>
          </w:tcPr>
          <w:p>
            <w:pPr>
              <w:spacing w:after="0"/>
              <w:rPr>
                <w:sz w:val="8"/>
                <w:szCs w:val="8"/>
                <w:color w:val="auto"/>
              </w:rPr>
            </w:pPr>
          </w:p>
        </w:tc>
        <w:tc>
          <w:tcPr>
            <w:tcW w:w="260" w:type="dxa"/>
            <w:vAlign w:val="bottom"/>
            <w:tcBorders>
              <w:bottom w:val="single" w:sz="8" w:color="1352DE"/>
            </w:tcBorders>
          </w:tcPr>
          <w:p>
            <w:pPr>
              <w:spacing w:after="0"/>
              <w:rPr>
                <w:sz w:val="8"/>
                <w:szCs w:val="8"/>
                <w:color w:val="auto"/>
              </w:rPr>
            </w:pPr>
          </w:p>
        </w:tc>
        <w:tc>
          <w:tcPr>
            <w:tcW w:w="860" w:type="dxa"/>
            <w:vAlign w:val="bottom"/>
            <w:tcBorders>
              <w:bottom w:val="single" w:sz="8" w:color="1352DE"/>
            </w:tcBorders>
          </w:tcPr>
          <w:p>
            <w:pPr>
              <w:spacing w:after="0"/>
              <w:rPr>
                <w:sz w:val="8"/>
                <w:szCs w:val="8"/>
                <w:color w:val="auto"/>
              </w:rPr>
            </w:pPr>
          </w:p>
        </w:tc>
        <w:tc>
          <w:tcPr>
            <w:tcW w:w="240" w:type="dxa"/>
            <w:vAlign w:val="bottom"/>
            <w:tcBorders>
              <w:bottom w:val="single" w:sz="8" w:color="1352DE"/>
            </w:tcBorders>
          </w:tcPr>
          <w:p>
            <w:pPr>
              <w:spacing w:after="0"/>
              <w:rPr>
                <w:sz w:val="8"/>
                <w:szCs w:val="8"/>
                <w:color w:val="auto"/>
              </w:rPr>
            </w:pPr>
          </w:p>
        </w:tc>
        <w:tc>
          <w:tcPr>
            <w:tcW w:w="420" w:type="dxa"/>
            <w:vAlign w:val="bottom"/>
            <w:tcBorders>
              <w:bottom w:val="single" w:sz="8" w:color="1352DE"/>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5940" w:type="dxa"/>
            <w:vAlign w:val="bottom"/>
          </w:tcPr>
          <w:p>
            <w:pPr>
              <w:ind w:left="20"/>
              <w:spacing w:after="0"/>
              <w:rPr>
                <w:sz w:val="20"/>
                <w:szCs w:val="20"/>
                <w:color w:val="auto"/>
              </w:rPr>
            </w:pPr>
            <w:r>
              <w:rPr>
                <w:rFonts w:ascii="Arial" w:cs="Arial" w:eastAsia="Arial" w:hAnsi="Arial"/>
                <w:sz w:val="13"/>
                <w:szCs w:val="13"/>
                <w:b w:val="1"/>
                <w:bCs w:val="1"/>
                <w:color w:val="1252DE"/>
              </w:rPr>
              <w:t>Nine Months Ended September 30,</w:t>
            </w:r>
          </w:p>
        </w:tc>
        <w:tc>
          <w:tcPr>
            <w:tcW w:w="16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spacing w:after="0"/>
              <w:rPr>
                <w:sz w:val="15"/>
                <w:szCs w:val="15"/>
                <w:color w:val="auto"/>
              </w:rPr>
            </w:pPr>
          </w:p>
        </w:tc>
        <w:tc>
          <w:tcPr>
            <w:tcW w:w="26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413"/>
              <w:spacing w:after="0"/>
              <w:rPr>
                <w:sz w:val="20"/>
                <w:szCs w:val="20"/>
                <w:color w:val="auto"/>
              </w:rPr>
            </w:pPr>
            <w:r>
              <w:rPr>
                <w:rFonts w:ascii="Arial" w:cs="Arial" w:eastAsia="Arial" w:hAnsi="Arial"/>
                <w:sz w:val="13"/>
                <w:szCs w:val="13"/>
                <w:b w:val="1"/>
                <w:bCs w:val="1"/>
                <w:color w:val="1252DE"/>
              </w:rPr>
              <w:t>2026</w:t>
            </w:r>
          </w:p>
        </w:tc>
        <w:tc>
          <w:tcPr>
            <w:tcW w:w="24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tcPr>
          <w:p>
            <w:pPr>
              <w:spacing w:after="0"/>
              <w:rPr>
                <w:sz w:val="15"/>
                <w:szCs w:val="15"/>
                <w:color w:val="auto"/>
              </w:rPr>
            </w:pPr>
          </w:p>
        </w:tc>
        <w:tc>
          <w:tcPr>
            <w:tcW w:w="26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393"/>
              <w:spacing w:after="0"/>
              <w:rPr>
                <w:sz w:val="20"/>
                <w:szCs w:val="20"/>
                <w:color w:val="auto"/>
              </w:rPr>
            </w:pPr>
            <w:r>
              <w:rPr>
                <w:rFonts w:ascii="Arial" w:cs="Arial" w:eastAsia="Arial" w:hAnsi="Arial"/>
                <w:sz w:val="13"/>
                <w:szCs w:val="13"/>
                <w:color w:val="1252DE"/>
              </w:rPr>
              <w:t>2025</w:t>
            </w:r>
          </w:p>
        </w:tc>
        <w:tc>
          <w:tcPr>
            <w:tcW w:w="24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33"/>
              <w:spacing w:after="0" w:line="131" w:lineRule="exact"/>
              <w:rPr>
                <w:sz w:val="20"/>
                <w:szCs w:val="20"/>
                <w:color w:val="auto"/>
              </w:rPr>
            </w:pPr>
            <w:r>
              <w:rPr>
                <w:rFonts w:ascii="Arial" w:cs="Arial" w:eastAsia="Arial" w:hAnsi="Arial"/>
                <w:sz w:val="13"/>
                <w:szCs w:val="13"/>
                <w:color w:val="1252DE"/>
              </w:rPr>
              <w:t>Other</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33"/>
              <w:spacing w:after="0" w:line="131" w:lineRule="exact"/>
              <w:rPr>
                <w:sz w:val="20"/>
                <w:szCs w:val="20"/>
                <w:color w:val="auto"/>
              </w:rPr>
            </w:pPr>
            <w:r>
              <w:rPr>
                <w:rFonts w:ascii="Arial" w:cs="Arial" w:eastAsia="Arial" w:hAnsi="Arial"/>
                <w:sz w:val="13"/>
                <w:szCs w:val="13"/>
                <w:color w:val="1252DE"/>
              </w:rPr>
              <w:t>Other</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3"/>
                <w:szCs w:val="13"/>
                <w:color w:val="1252DE"/>
              </w:rPr>
              <w:t>Equities</w:t>
            </w:r>
          </w:p>
        </w:tc>
        <w:tc>
          <w:tcPr>
            <w:tcW w:w="260" w:type="dxa"/>
            <w:vAlign w:val="bottom"/>
          </w:tcPr>
          <w:p>
            <w:pPr>
              <w:spacing w:after="0"/>
              <w:rPr>
                <w:sz w:val="11"/>
                <w:szCs w:val="11"/>
                <w:color w:val="auto"/>
              </w:rPr>
            </w:pPr>
          </w:p>
        </w:tc>
        <w:tc>
          <w:tcPr>
            <w:tcW w:w="860" w:type="dxa"/>
            <w:vAlign w:val="bottom"/>
          </w:tcPr>
          <w:p>
            <w:pPr>
              <w:jc w:val="right"/>
              <w:ind w:right="33"/>
              <w:spacing w:after="0" w:line="135" w:lineRule="exact"/>
              <w:rPr>
                <w:sz w:val="20"/>
                <w:szCs w:val="20"/>
                <w:color w:val="auto"/>
              </w:rPr>
            </w:pPr>
            <w:r>
              <w:rPr>
                <w:rFonts w:ascii="Arial" w:cs="Arial" w:eastAsia="Arial" w:hAnsi="Arial"/>
                <w:sz w:val="13"/>
                <w:szCs w:val="13"/>
                <w:color w:val="1252DE"/>
              </w:rPr>
              <w:t>Invested</w:t>
            </w:r>
          </w:p>
        </w:tc>
        <w:tc>
          <w:tcPr>
            <w:tcW w:w="240" w:type="dxa"/>
            <w:vAlign w:val="bottom"/>
          </w:tcPr>
          <w:p>
            <w:pPr>
              <w:spacing w:after="0"/>
              <w:rPr>
                <w:sz w:val="11"/>
                <w:szCs w:val="11"/>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3"/>
                <w:szCs w:val="13"/>
                <w:color w:val="1252DE"/>
              </w:rPr>
              <w:t>Total*</w:t>
            </w:r>
          </w:p>
        </w:tc>
        <w:tc>
          <w:tcPr>
            <w:tcW w:w="140" w:type="dxa"/>
            <w:vAlign w:val="bottom"/>
          </w:tcPr>
          <w:p>
            <w:pPr>
              <w:spacing w:after="0"/>
              <w:rPr>
                <w:sz w:val="11"/>
                <w:szCs w:val="11"/>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3"/>
                <w:szCs w:val="13"/>
                <w:color w:val="1252DE"/>
              </w:rPr>
              <w:t>Equities</w:t>
            </w:r>
          </w:p>
        </w:tc>
        <w:tc>
          <w:tcPr>
            <w:tcW w:w="260" w:type="dxa"/>
            <w:vAlign w:val="bottom"/>
          </w:tcPr>
          <w:p>
            <w:pPr>
              <w:spacing w:after="0"/>
              <w:rPr>
                <w:sz w:val="11"/>
                <w:szCs w:val="11"/>
                <w:color w:val="auto"/>
              </w:rPr>
            </w:pPr>
          </w:p>
        </w:tc>
        <w:tc>
          <w:tcPr>
            <w:tcW w:w="860" w:type="dxa"/>
            <w:vAlign w:val="bottom"/>
          </w:tcPr>
          <w:p>
            <w:pPr>
              <w:jc w:val="right"/>
              <w:ind w:right="33"/>
              <w:spacing w:after="0" w:line="135" w:lineRule="exact"/>
              <w:rPr>
                <w:sz w:val="20"/>
                <w:szCs w:val="20"/>
                <w:color w:val="auto"/>
              </w:rPr>
            </w:pPr>
            <w:r>
              <w:rPr>
                <w:rFonts w:ascii="Arial" w:cs="Arial" w:eastAsia="Arial" w:hAnsi="Arial"/>
                <w:sz w:val="13"/>
                <w:szCs w:val="13"/>
                <w:color w:val="1252DE"/>
              </w:rPr>
              <w:t>Invested</w:t>
            </w:r>
          </w:p>
        </w:tc>
        <w:tc>
          <w:tcPr>
            <w:tcW w:w="240" w:type="dxa"/>
            <w:vAlign w:val="bottom"/>
          </w:tcPr>
          <w:p>
            <w:pPr>
              <w:spacing w:after="0"/>
              <w:rPr>
                <w:sz w:val="11"/>
                <w:szCs w:val="11"/>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color w:val="1252DE"/>
                <w:w w:val="94"/>
              </w:rPr>
              <w:t>Total*</w:t>
            </w:r>
          </w:p>
        </w:tc>
        <w:tc>
          <w:tcPr>
            <w:tcW w:w="0" w:type="dxa"/>
            <w:vAlign w:val="bottom"/>
          </w:tcPr>
          <w:p>
            <w:pPr>
              <w:spacing w:after="0"/>
              <w:rPr>
                <w:sz w:val="1"/>
                <w:szCs w:val="1"/>
                <w:color w:val="auto"/>
              </w:rPr>
            </w:pPr>
          </w:p>
        </w:tc>
      </w:tr>
      <w:tr>
        <w:trPr>
          <w:trHeight w:val="182"/>
        </w:trPr>
        <w:tc>
          <w:tcPr>
            <w:tcW w:w="5940" w:type="dxa"/>
            <w:vAlign w:val="bottom"/>
            <w:tcBorders>
              <w:bottom w:val="single" w:sz="8" w:color="1352DE"/>
            </w:tcBorders>
          </w:tcPr>
          <w:p>
            <w:pPr>
              <w:ind w:left="20"/>
              <w:spacing w:after="0"/>
              <w:rPr>
                <w:sz w:val="20"/>
                <w:szCs w:val="20"/>
                <w:color w:val="auto"/>
              </w:rPr>
            </w:pPr>
            <w:r>
              <w:rPr>
                <w:rFonts w:ascii="Arial" w:cs="Arial" w:eastAsia="Arial" w:hAnsi="Arial"/>
                <w:sz w:val="12"/>
                <w:szCs w:val="12"/>
                <w:i w:val="1"/>
                <w:iCs w:val="1"/>
                <w:color w:val="1252DE"/>
              </w:rPr>
              <w:t>(in millions)</w:t>
            </w:r>
          </w:p>
        </w:tc>
        <w:tc>
          <w:tcPr>
            <w:tcW w:w="16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vMerge w:val="continue"/>
          </w:tcPr>
          <w:p>
            <w:pPr>
              <w:spacing w:after="0"/>
              <w:rPr>
                <w:sz w:val="15"/>
                <w:szCs w:val="15"/>
                <w:color w:val="auto"/>
              </w:rPr>
            </w:pPr>
          </w:p>
        </w:tc>
        <w:tc>
          <w:tcPr>
            <w:tcW w:w="26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1252DE"/>
              </w:rPr>
              <w:t>Assets</w:t>
            </w:r>
          </w:p>
        </w:tc>
        <w:tc>
          <w:tcPr>
            <w:tcW w:w="240" w:type="dxa"/>
            <w:vAlign w:val="bottom"/>
            <w:tcBorders>
              <w:bottom w:val="single" w:sz="8" w:color="1352DE"/>
            </w:tcBorders>
          </w:tcPr>
          <w:p>
            <w:pPr>
              <w:spacing w:after="0"/>
              <w:rPr>
                <w:sz w:val="15"/>
                <w:szCs w:val="15"/>
                <w:color w:val="auto"/>
              </w:rPr>
            </w:pPr>
          </w:p>
        </w:tc>
        <w:tc>
          <w:tcPr>
            <w:tcW w:w="580" w:type="dxa"/>
            <w:vAlign w:val="bottom"/>
            <w:tcBorders>
              <w:bottom w:val="single" w:sz="8" w:color="1352DE"/>
            </w:tcBorders>
            <w:gridSpan w:val="2"/>
            <w:vMerge w:val="continue"/>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620" w:type="dxa"/>
            <w:vAlign w:val="bottom"/>
            <w:tcBorders>
              <w:bottom w:val="single" w:sz="8" w:color="1352DE"/>
            </w:tcBorders>
            <w:vMerge w:val="continue"/>
          </w:tcPr>
          <w:p>
            <w:pPr>
              <w:spacing w:after="0"/>
              <w:rPr>
                <w:sz w:val="15"/>
                <w:szCs w:val="15"/>
                <w:color w:val="auto"/>
              </w:rPr>
            </w:pPr>
          </w:p>
        </w:tc>
        <w:tc>
          <w:tcPr>
            <w:tcW w:w="26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1252DE"/>
              </w:rPr>
              <w:t>Assets</w:t>
            </w:r>
          </w:p>
        </w:tc>
        <w:tc>
          <w:tcPr>
            <w:tcW w:w="240" w:type="dxa"/>
            <w:vAlign w:val="bottom"/>
            <w:tcBorders>
              <w:bottom w:val="single" w:sz="8" w:color="1352DE"/>
            </w:tcBorders>
          </w:tcPr>
          <w:p>
            <w:pPr>
              <w:spacing w:after="0"/>
              <w:rPr>
                <w:sz w:val="15"/>
                <w:szCs w:val="15"/>
                <w:color w:val="auto"/>
              </w:rPr>
            </w:pPr>
          </w:p>
        </w:tc>
        <w:tc>
          <w:tcPr>
            <w:tcW w:w="420" w:type="dxa"/>
            <w:vAlign w:val="bottom"/>
            <w:tcBorders>
              <w:bottom w:val="single" w:sz="8" w:color="1352D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40" w:type="dxa"/>
            <w:vAlign w:val="bottom"/>
          </w:tcPr>
          <w:p>
            <w:pPr>
              <w:ind w:left="20"/>
              <w:spacing w:after="0"/>
              <w:rPr>
                <w:sz w:val="20"/>
                <w:szCs w:val="20"/>
                <w:color w:val="auto"/>
              </w:rPr>
            </w:pPr>
            <w:r>
              <w:rPr>
                <w:rFonts w:ascii="Arial" w:cs="Arial" w:eastAsia="Arial" w:hAnsi="Arial"/>
                <w:sz w:val="13"/>
                <w:szCs w:val="13"/>
                <w:color w:val="auto"/>
              </w:rPr>
              <w:t>Net gains (losses) recognized during the period on equity securities and other investments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640" w:type="dxa"/>
            <w:vAlign w:val="bottom"/>
          </w:tcPr>
          <w:p>
            <w:pPr>
              <w:jc w:val="right"/>
              <w:ind w:right="73"/>
              <w:spacing w:after="0"/>
              <w:rPr>
                <w:sz w:val="20"/>
                <w:szCs w:val="20"/>
                <w:color w:val="auto"/>
              </w:rPr>
            </w:pPr>
            <w:r>
              <w:rPr>
                <w:rFonts w:ascii="Arial" w:cs="Arial" w:eastAsia="Arial" w:hAnsi="Arial"/>
                <w:sz w:val="13"/>
                <w:szCs w:val="13"/>
                <w:b w:val="1"/>
                <w:bCs w:val="1"/>
                <w:color w:val="1252DE"/>
              </w:rPr>
              <w:t>87</w:t>
            </w:r>
          </w:p>
        </w:tc>
        <w:tc>
          <w:tcPr>
            <w:tcW w:w="260" w:type="dxa"/>
            <w:vAlign w:val="bottom"/>
          </w:tcPr>
          <w:p>
            <w:pPr>
              <w:jc w:val="right"/>
              <w:ind w:right="33"/>
              <w:spacing w:after="0"/>
              <w:rPr>
                <w:sz w:val="20"/>
                <w:szCs w:val="20"/>
                <w:color w:val="auto"/>
              </w:rPr>
            </w:pPr>
            <w:r>
              <w:rPr>
                <w:rFonts w:ascii="Arial" w:cs="Arial" w:eastAsia="Arial" w:hAnsi="Arial"/>
                <w:sz w:val="13"/>
                <w:szCs w:val="13"/>
                <w:b w:val="1"/>
                <w:bCs w:val="1"/>
                <w:color w:val="1252DE"/>
              </w:rPr>
              <w:t>$</w:t>
            </w: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1252DE"/>
              </w:rPr>
              <w:t>(113)</w:t>
            </w:r>
          </w:p>
        </w:tc>
        <w:tc>
          <w:tcPr>
            <w:tcW w:w="240" w:type="dxa"/>
            <w:vAlign w:val="bottom"/>
          </w:tcPr>
          <w:p>
            <w:pPr>
              <w:jc w:val="right"/>
              <w:ind w:right="13"/>
              <w:spacing w:after="0"/>
              <w:rPr>
                <w:sz w:val="20"/>
                <w:szCs w:val="20"/>
                <w:color w:val="auto"/>
              </w:rPr>
            </w:pPr>
            <w:r>
              <w:rPr>
                <w:rFonts w:ascii="Arial" w:cs="Arial" w:eastAsia="Arial" w:hAnsi="Arial"/>
                <w:sz w:val="13"/>
                <w:szCs w:val="13"/>
                <w:b w:val="1"/>
                <w:bCs w:val="1"/>
                <w:color w:val="1252DE"/>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1252DE"/>
              </w:rPr>
              <w:t>(26)</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3"/>
              <w:spacing w:after="0"/>
              <w:rPr>
                <w:sz w:val="20"/>
                <w:szCs w:val="20"/>
                <w:color w:val="auto"/>
              </w:rPr>
            </w:pPr>
            <w:r>
              <w:rPr>
                <w:rFonts w:ascii="Arial" w:cs="Arial" w:eastAsia="Arial" w:hAnsi="Arial"/>
                <w:sz w:val="13"/>
                <w:szCs w:val="13"/>
                <w:color w:val="auto"/>
              </w:rPr>
              <w:t>85</w:t>
            </w: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501</w:t>
            </w:r>
          </w:p>
        </w:tc>
        <w:tc>
          <w:tcPr>
            <w:tcW w:w="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20" w:type="dxa"/>
            <w:vAlign w:val="bottom"/>
          </w:tcPr>
          <w:p>
            <w:pPr>
              <w:jc w:val="center"/>
              <w:ind w:left="13"/>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39"/>
        </w:trPr>
        <w:tc>
          <w:tcPr>
            <w:tcW w:w="5940" w:type="dxa"/>
            <w:vAlign w:val="bottom"/>
          </w:tcPr>
          <w:p>
            <w:pPr>
              <w:ind w:left="20"/>
              <w:spacing w:after="0" w:line="139" w:lineRule="exact"/>
              <w:rPr>
                <w:sz w:val="20"/>
                <w:szCs w:val="20"/>
                <w:color w:val="auto"/>
              </w:rPr>
            </w:pPr>
            <w:r>
              <w:rPr>
                <w:rFonts w:ascii="Arial" w:cs="Arial" w:eastAsia="Arial" w:hAnsi="Arial"/>
                <w:sz w:val="13"/>
                <w:szCs w:val="13"/>
                <w:color w:val="auto"/>
              </w:rPr>
              <w:t>Less: Net gains (losses) recognized during the period on equity securities and other investments</w:t>
            </w:r>
          </w:p>
        </w:tc>
        <w:tc>
          <w:tcPr>
            <w:tcW w:w="160" w:type="dxa"/>
            <w:vAlign w:val="bottom"/>
          </w:tcPr>
          <w:p>
            <w:pPr>
              <w:spacing w:after="0"/>
              <w:rPr>
                <w:sz w:val="12"/>
                <w:szCs w:val="12"/>
                <w:color w:val="auto"/>
              </w:rPr>
            </w:pPr>
          </w:p>
        </w:tc>
        <w:tc>
          <w:tcPr>
            <w:tcW w:w="64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148</w:t>
            </w:r>
          </w:p>
        </w:tc>
        <w:tc>
          <w:tcPr>
            <w:tcW w:w="260" w:type="dxa"/>
            <w:vAlign w:val="bottom"/>
          </w:tcPr>
          <w:p>
            <w:pPr>
              <w:spacing w:after="0"/>
              <w:rPr>
                <w:sz w:val="12"/>
                <w:szCs w:val="12"/>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252DE"/>
              </w:rPr>
              <w:t>(153)</w:t>
            </w:r>
          </w:p>
        </w:tc>
        <w:tc>
          <w:tcPr>
            <w:tcW w:w="2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73"/>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2"/>
                <w:szCs w:val="12"/>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6"/>
        </w:trPr>
        <w:tc>
          <w:tcPr>
            <w:tcW w:w="5940" w:type="dxa"/>
            <w:vAlign w:val="bottom"/>
            <w:tcBorders>
              <w:bottom w:val="single" w:sz="8" w:color="1352DE"/>
            </w:tcBorders>
          </w:tcPr>
          <w:p>
            <w:pPr>
              <w:ind w:left="140"/>
              <w:spacing w:after="0"/>
              <w:rPr>
                <w:sz w:val="20"/>
                <w:szCs w:val="20"/>
                <w:color w:val="auto"/>
              </w:rPr>
            </w:pPr>
            <w:r>
              <w:rPr>
                <w:rFonts w:ascii="Arial" w:cs="Arial" w:eastAsia="Arial" w:hAnsi="Arial"/>
                <w:sz w:val="13"/>
                <w:szCs w:val="13"/>
                <w:color w:val="auto"/>
              </w:rPr>
              <w:t>sold during the period</w:t>
            </w:r>
          </w:p>
        </w:tc>
        <w:tc>
          <w:tcPr>
            <w:tcW w:w="16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vMerge w:val="continue"/>
          </w:tcPr>
          <w:p>
            <w:pPr>
              <w:spacing w:after="0"/>
              <w:rPr>
                <w:sz w:val="16"/>
                <w:szCs w:val="16"/>
                <w:color w:val="auto"/>
              </w:rPr>
            </w:pPr>
          </w:p>
        </w:tc>
        <w:tc>
          <w:tcPr>
            <w:tcW w:w="26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420" w:type="dxa"/>
            <w:vAlign w:val="bottom"/>
            <w:tcBorders>
              <w:bottom w:val="single" w:sz="8" w:color="1352DE"/>
            </w:tcBorders>
            <w:vMerge w:val="continue"/>
          </w:tcPr>
          <w:p>
            <w:pPr>
              <w:spacing w:after="0"/>
              <w:rPr>
                <w:sz w:val="16"/>
                <w:szCs w:val="16"/>
                <w:color w:val="auto"/>
              </w:rPr>
            </w:pPr>
          </w:p>
        </w:tc>
        <w:tc>
          <w:tcPr>
            <w:tcW w:w="160" w:type="dxa"/>
            <w:vAlign w:val="bottom"/>
            <w:tcBorders>
              <w:bottom w:val="single" w:sz="8" w:color="1352DE"/>
            </w:tcBorders>
          </w:tcPr>
          <w:p>
            <w:pPr>
              <w:spacing w:after="0"/>
              <w:rPr>
                <w:sz w:val="16"/>
                <w:szCs w:val="16"/>
                <w:color w:val="auto"/>
              </w:rPr>
            </w:pPr>
          </w:p>
        </w:tc>
        <w:tc>
          <w:tcPr>
            <w:tcW w:w="140" w:type="dxa"/>
            <w:vAlign w:val="bottom"/>
            <w:tcBorders>
              <w:bottom w:val="single" w:sz="8" w:color="1352DE"/>
            </w:tcBorders>
          </w:tcPr>
          <w:p>
            <w:pPr>
              <w:spacing w:after="0"/>
              <w:rPr>
                <w:sz w:val="16"/>
                <w:szCs w:val="16"/>
                <w:color w:val="auto"/>
              </w:rPr>
            </w:pPr>
          </w:p>
        </w:tc>
        <w:tc>
          <w:tcPr>
            <w:tcW w:w="620" w:type="dxa"/>
            <w:vAlign w:val="bottom"/>
            <w:tcBorders>
              <w:bottom w:val="single" w:sz="8" w:color="1352DE"/>
            </w:tcBorders>
            <w:vMerge w:val="continue"/>
          </w:tcPr>
          <w:p>
            <w:pPr>
              <w:spacing w:after="0"/>
              <w:rPr>
                <w:sz w:val="16"/>
                <w:szCs w:val="16"/>
                <w:color w:val="auto"/>
              </w:rPr>
            </w:pPr>
          </w:p>
        </w:tc>
        <w:tc>
          <w:tcPr>
            <w:tcW w:w="26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42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940" w:type="dxa"/>
            <w:vAlign w:val="bottom"/>
          </w:tcPr>
          <w:p>
            <w:pPr>
              <w:ind w:left="20"/>
              <w:spacing w:after="0" w:line="131" w:lineRule="exact"/>
              <w:rPr>
                <w:sz w:val="20"/>
                <w:szCs w:val="20"/>
                <w:color w:val="auto"/>
              </w:rPr>
            </w:pPr>
            <w:r>
              <w:rPr>
                <w:rFonts w:ascii="Arial" w:cs="Arial" w:eastAsia="Arial" w:hAnsi="Arial"/>
                <w:sz w:val="13"/>
                <w:szCs w:val="13"/>
                <w:b w:val="1"/>
                <w:bCs w:val="1"/>
                <w:color w:val="1252DE"/>
              </w:rPr>
              <w:t>Unrealized gains (losses) recognized during the reporting period on equity securities and</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w:t>
            </w:r>
          </w:p>
        </w:tc>
        <w:tc>
          <w:tcPr>
            <w:tcW w:w="6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252DE"/>
              </w:rPr>
              <w:t>(61)</w:t>
            </w:r>
          </w:p>
        </w:tc>
        <w:tc>
          <w:tcPr>
            <w:tcW w:w="2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252DE"/>
              </w:rPr>
              <w:t>$</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252DE"/>
              </w:rPr>
              <w:t>40</w:t>
            </w:r>
          </w:p>
        </w:tc>
        <w:tc>
          <w:tcPr>
            <w:tcW w:w="2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1252DE"/>
              </w:rPr>
              <w:t>$</w:t>
            </w: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1252DE"/>
              </w:rPr>
              <w:t>(21)</w:t>
            </w:r>
          </w:p>
        </w:tc>
        <w:tc>
          <w:tcPr>
            <w:tcW w:w="16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ind w:right="73"/>
              <w:spacing w:after="0"/>
              <w:rPr>
                <w:sz w:val="20"/>
                <w:szCs w:val="20"/>
                <w:color w:val="auto"/>
              </w:rPr>
            </w:pPr>
            <w:r>
              <w:rPr>
                <w:rFonts w:ascii="Arial" w:cs="Arial" w:eastAsia="Arial" w:hAnsi="Arial"/>
                <w:sz w:val="13"/>
                <w:szCs w:val="13"/>
                <w:color w:val="auto"/>
              </w:rPr>
              <w:t>82</w:t>
            </w:r>
          </w:p>
        </w:tc>
        <w:tc>
          <w:tcPr>
            <w:tcW w:w="2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533</w:t>
            </w:r>
          </w:p>
        </w:tc>
        <w:tc>
          <w:tcPr>
            <w:tcW w:w="2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center"/>
              <w:ind w:left="13"/>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188"/>
        </w:trPr>
        <w:tc>
          <w:tcPr>
            <w:tcW w:w="5940" w:type="dxa"/>
            <w:vAlign w:val="bottom"/>
            <w:tcBorders>
              <w:bottom w:val="single" w:sz="8" w:color="1352DE"/>
            </w:tcBorders>
          </w:tcPr>
          <w:p>
            <w:pPr>
              <w:ind w:left="140"/>
              <w:spacing w:after="0"/>
              <w:rPr>
                <w:sz w:val="20"/>
                <w:szCs w:val="20"/>
                <w:color w:val="auto"/>
              </w:rPr>
            </w:pPr>
            <w:r>
              <w:rPr>
                <w:rFonts w:ascii="Arial" w:cs="Arial" w:eastAsia="Arial" w:hAnsi="Arial"/>
                <w:sz w:val="13"/>
                <w:szCs w:val="13"/>
                <w:b w:val="1"/>
                <w:bCs w:val="1"/>
                <w:color w:val="1252DE"/>
              </w:rPr>
              <w:t>other investments still held at the reporting date</w:t>
            </w:r>
          </w:p>
        </w:tc>
        <w:tc>
          <w:tcPr>
            <w:tcW w:w="160" w:type="dxa"/>
            <w:vAlign w:val="bottom"/>
            <w:tcBorders>
              <w:bottom w:val="single" w:sz="8" w:color="1352DE"/>
            </w:tcBorders>
            <w:vMerge w:val="continue"/>
          </w:tcPr>
          <w:p>
            <w:pPr>
              <w:spacing w:after="0"/>
              <w:rPr>
                <w:sz w:val="16"/>
                <w:szCs w:val="16"/>
                <w:color w:val="auto"/>
              </w:rPr>
            </w:pPr>
          </w:p>
        </w:tc>
        <w:tc>
          <w:tcPr>
            <w:tcW w:w="640" w:type="dxa"/>
            <w:vAlign w:val="bottom"/>
            <w:tcBorders>
              <w:bottom w:val="single" w:sz="8" w:color="1352DE"/>
            </w:tcBorders>
            <w:vMerge w:val="continue"/>
          </w:tcPr>
          <w:p>
            <w:pPr>
              <w:spacing w:after="0"/>
              <w:rPr>
                <w:sz w:val="16"/>
                <w:szCs w:val="16"/>
                <w:color w:val="auto"/>
              </w:rPr>
            </w:pPr>
          </w:p>
        </w:tc>
        <w:tc>
          <w:tcPr>
            <w:tcW w:w="260" w:type="dxa"/>
            <w:vAlign w:val="bottom"/>
            <w:tcBorders>
              <w:bottom w:val="single" w:sz="8" w:color="1352DE"/>
            </w:tcBorders>
            <w:vMerge w:val="continue"/>
          </w:tcPr>
          <w:p>
            <w:pPr>
              <w:spacing w:after="0"/>
              <w:rPr>
                <w:sz w:val="16"/>
                <w:szCs w:val="16"/>
                <w:color w:val="auto"/>
              </w:rPr>
            </w:pPr>
          </w:p>
        </w:tc>
        <w:tc>
          <w:tcPr>
            <w:tcW w:w="86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vMerge w:val="continue"/>
          </w:tcPr>
          <w:p>
            <w:pPr>
              <w:spacing w:after="0"/>
              <w:rPr>
                <w:sz w:val="16"/>
                <w:szCs w:val="16"/>
                <w:color w:val="auto"/>
              </w:rPr>
            </w:pPr>
          </w:p>
        </w:tc>
        <w:tc>
          <w:tcPr>
            <w:tcW w:w="420" w:type="dxa"/>
            <w:vAlign w:val="bottom"/>
            <w:tcBorders>
              <w:bottom w:val="single" w:sz="8" w:color="1352DE"/>
            </w:tcBorders>
            <w:vMerge w:val="continue"/>
          </w:tcPr>
          <w:p>
            <w:pPr>
              <w:spacing w:after="0"/>
              <w:rPr>
                <w:sz w:val="16"/>
                <w:szCs w:val="16"/>
                <w:color w:val="auto"/>
              </w:rPr>
            </w:pPr>
          </w:p>
        </w:tc>
        <w:tc>
          <w:tcPr>
            <w:tcW w:w="160" w:type="dxa"/>
            <w:vAlign w:val="bottom"/>
            <w:tcBorders>
              <w:bottom w:val="single" w:sz="8" w:color="1352DE"/>
            </w:tcBorders>
          </w:tcPr>
          <w:p>
            <w:pPr>
              <w:spacing w:after="0"/>
              <w:rPr>
                <w:sz w:val="16"/>
                <w:szCs w:val="16"/>
                <w:color w:val="auto"/>
              </w:rPr>
            </w:pPr>
          </w:p>
        </w:tc>
        <w:tc>
          <w:tcPr>
            <w:tcW w:w="140" w:type="dxa"/>
            <w:vAlign w:val="bottom"/>
            <w:tcBorders>
              <w:bottom w:val="single" w:sz="8" w:color="1352DE"/>
            </w:tcBorders>
            <w:vMerge w:val="continue"/>
          </w:tcPr>
          <w:p>
            <w:pPr>
              <w:spacing w:after="0"/>
              <w:rPr>
                <w:sz w:val="16"/>
                <w:szCs w:val="16"/>
                <w:color w:val="auto"/>
              </w:rPr>
            </w:pPr>
          </w:p>
        </w:tc>
        <w:tc>
          <w:tcPr>
            <w:tcW w:w="620" w:type="dxa"/>
            <w:vAlign w:val="bottom"/>
            <w:tcBorders>
              <w:bottom w:val="single" w:sz="8" w:color="1352DE"/>
            </w:tcBorders>
            <w:vMerge w:val="continue"/>
          </w:tcPr>
          <w:p>
            <w:pPr>
              <w:spacing w:after="0"/>
              <w:rPr>
                <w:sz w:val="16"/>
                <w:szCs w:val="16"/>
                <w:color w:val="auto"/>
              </w:rPr>
            </w:pPr>
          </w:p>
        </w:tc>
        <w:tc>
          <w:tcPr>
            <w:tcW w:w="260" w:type="dxa"/>
            <w:vAlign w:val="bottom"/>
            <w:tcBorders>
              <w:bottom w:val="single" w:sz="8" w:color="1352DE"/>
            </w:tcBorders>
            <w:vMerge w:val="continue"/>
          </w:tcPr>
          <w:p>
            <w:pPr>
              <w:spacing w:after="0"/>
              <w:rPr>
                <w:sz w:val="16"/>
                <w:szCs w:val="16"/>
                <w:color w:val="auto"/>
              </w:rPr>
            </w:pPr>
          </w:p>
        </w:tc>
        <w:tc>
          <w:tcPr>
            <w:tcW w:w="86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vMerge w:val="continue"/>
          </w:tcPr>
          <w:p>
            <w:pPr>
              <w:spacing w:after="0"/>
              <w:rPr>
                <w:sz w:val="16"/>
                <w:szCs w:val="16"/>
                <w:color w:val="auto"/>
              </w:rPr>
            </w:pPr>
          </w:p>
        </w:tc>
        <w:tc>
          <w:tcPr>
            <w:tcW w:w="42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400" w:hanging="212"/>
        <w:spacing w:after="0" w:line="286" w:lineRule="auto"/>
        <w:tabs>
          <w:tab w:leader="none" w:pos="2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Includes unrealized gains (losses) on changes in the fair value of AIG's investment in Corebridge. At March 31, 2026, AIG's interest in Corebridge changed from being recognized as an equity method investment in Other invested assets to an equity security, at fair value. </w:t>
      </w:r>
      <w:r>
        <w:rPr>
          <w:rFonts w:ascii="Arial" w:cs="Arial" w:eastAsia="Arial" w:hAnsi="Arial"/>
          <w:sz w:val="13"/>
          <w:szCs w:val="13"/>
          <w:i w:val="1"/>
          <w:iCs w:val="1"/>
          <w:color w:val="auto"/>
        </w:rPr>
        <w:t>For additional information, see Note 1.</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EVALUATING INVESTMENTS FOR AN ALLOWANCE FOR CREDIT LOSSES AND IMPAIRMENTS</w:t>
      </w:r>
    </w:p>
    <w:p>
      <w:pPr>
        <w:spacing w:after="0" w:line="106"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i w:val="1"/>
          <w:iCs w:val="1"/>
          <w:color w:val="auto"/>
        </w:rPr>
        <w:t>For a discussion of our policy for evaluating investments for an allowance for credit losses, see Note 6 to the Consolidated Financial Statements in the 2025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Credit Impairments</w:t>
      </w:r>
    </w:p>
    <w:p>
      <w:pPr>
        <w:spacing w:after="0" w:line="257" w:lineRule="exact"/>
        <w:rPr>
          <w:sz w:val="20"/>
          <w:szCs w:val="20"/>
          <w:color w:val="auto"/>
        </w:rPr>
      </w:pPr>
    </w:p>
    <w:p>
      <w:pPr>
        <w:ind w:right="300"/>
        <w:spacing w:after="0" w:line="349" w:lineRule="auto"/>
        <w:rPr>
          <w:sz w:val="20"/>
          <w:szCs w:val="20"/>
          <w:color w:val="auto"/>
        </w:rPr>
      </w:pPr>
      <w:r>
        <w:rPr>
          <w:rFonts w:ascii="Arial" w:cs="Arial" w:eastAsia="Arial" w:hAnsi="Arial"/>
          <w:sz w:val="16"/>
          <w:szCs w:val="16"/>
          <w:b w:val="1"/>
          <w:bCs w:val="1"/>
          <w:color w:val="1352DE"/>
        </w:rPr>
        <w:t>The following table presents a rollforward of the changes in allowance for credit losses on available for sale fixed maturity securities by major investment category: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Borders>
              <w:top w:val="single" w:sz="8" w:color="1352DE"/>
            </w:tcBorders>
          </w:tcPr>
          <w:p>
            <w:pPr>
              <w:spacing w:after="0"/>
              <w:rPr>
                <w:sz w:val="14"/>
                <w:szCs w:val="14"/>
                <w:color w:val="auto"/>
              </w:rPr>
            </w:pPr>
          </w:p>
        </w:tc>
        <w:tc>
          <w:tcPr>
            <w:tcW w:w="200" w:type="dxa"/>
            <w:vAlign w:val="bottom"/>
            <w:tcBorders>
              <w:top w:val="single" w:sz="8" w:color="1352DE"/>
            </w:tcBorders>
          </w:tcPr>
          <w:p>
            <w:pPr>
              <w:spacing w:after="0"/>
              <w:rPr>
                <w:sz w:val="14"/>
                <w:szCs w:val="14"/>
                <w:color w:val="auto"/>
              </w:rPr>
            </w:pPr>
          </w:p>
        </w:tc>
        <w:tc>
          <w:tcPr>
            <w:tcW w:w="1840" w:type="dxa"/>
            <w:vAlign w:val="bottom"/>
            <w:tcBorders>
              <w:top w:val="single" w:sz="8" w:color="1352DE"/>
            </w:tcBorders>
            <w:gridSpan w:val="4"/>
          </w:tcPr>
          <w:p>
            <w:pPr>
              <w:ind w:left="80"/>
              <w:spacing w:after="0"/>
              <w:rPr>
                <w:sz w:val="20"/>
                <w:szCs w:val="20"/>
                <w:color w:val="auto"/>
              </w:rPr>
            </w:pPr>
            <w:r>
              <w:rPr>
                <w:rFonts w:ascii="Arial" w:cs="Arial" w:eastAsia="Arial" w:hAnsi="Arial"/>
                <w:sz w:val="14"/>
                <w:szCs w:val="14"/>
                <w:color w:val="1252DE"/>
              </w:rPr>
              <w:t>Three Months Ended</w:t>
            </w:r>
          </w:p>
        </w:tc>
        <w:tc>
          <w:tcPr>
            <w:tcW w:w="220" w:type="dxa"/>
            <w:vAlign w:val="bottom"/>
            <w:tcBorders>
              <w:top w:val="single" w:sz="8" w:color="1352DE"/>
            </w:tcBorders>
          </w:tcPr>
          <w:p>
            <w:pPr>
              <w:spacing w:after="0"/>
              <w:rPr>
                <w:sz w:val="14"/>
                <w:szCs w:val="14"/>
                <w:color w:val="auto"/>
              </w:rPr>
            </w:pPr>
          </w:p>
        </w:tc>
        <w:tc>
          <w:tcPr>
            <w:tcW w:w="1660" w:type="dxa"/>
            <w:vAlign w:val="bottom"/>
            <w:tcBorders>
              <w:top w:val="single" w:sz="8" w:color="1352DE"/>
            </w:tcBorders>
            <w:gridSpan w:val="3"/>
          </w:tcPr>
          <w:p>
            <w:pPr>
              <w:jc w:val="right"/>
              <w:ind w:right="228"/>
              <w:spacing w:after="0"/>
              <w:rPr>
                <w:sz w:val="20"/>
                <w:szCs w:val="20"/>
                <w:color w:val="auto"/>
              </w:rPr>
            </w:pPr>
            <w:r>
              <w:rPr>
                <w:rFonts w:ascii="Arial" w:cs="Arial" w:eastAsia="Arial" w:hAnsi="Arial"/>
                <w:sz w:val="14"/>
                <w:szCs w:val="14"/>
                <w:color w:val="1252DE"/>
              </w:rPr>
              <w:t>Nine Months Ended</w:t>
            </w:r>
          </w:p>
        </w:tc>
        <w:tc>
          <w:tcPr>
            <w:tcW w:w="0" w:type="dxa"/>
            <w:vAlign w:val="bottom"/>
          </w:tcPr>
          <w:p>
            <w:pPr>
              <w:spacing w:after="0"/>
              <w:rPr>
                <w:sz w:val="1"/>
                <w:szCs w:val="1"/>
                <w:color w:val="auto"/>
              </w:rPr>
            </w:pPr>
          </w:p>
        </w:tc>
      </w:tr>
      <w:tr>
        <w:trPr>
          <w:trHeight w:val="189"/>
        </w:trPr>
        <w:tc>
          <w:tcPr>
            <w:tcW w:w="7300" w:type="dxa"/>
            <w:vAlign w:val="bottom"/>
          </w:tcPr>
          <w:p>
            <w:pPr>
              <w:spacing w:after="0"/>
              <w:rPr>
                <w:sz w:val="16"/>
                <w:szCs w:val="16"/>
                <w:color w:val="auto"/>
              </w:rPr>
            </w:pPr>
          </w:p>
        </w:tc>
        <w:tc>
          <w:tcPr>
            <w:tcW w:w="200" w:type="dxa"/>
            <w:vAlign w:val="bottom"/>
            <w:tcBorders>
              <w:bottom w:val="single" w:sz="8" w:color="1352DE"/>
            </w:tcBorders>
          </w:tcPr>
          <w:p>
            <w:pPr>
              <w:spacing w:after="0"/>
              <w:rPr>
                <w:sz w:val="16"/>
                <w:szCs w:val="16"/>
                <w:color w:val="auto"/>
              </w:rPr>
            </w:pPr>
          </w:p>
        </w:tc>
        <w:tc>
          <w:tcPr>
            <w:tcW w:w="128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1252DE"/>
              </w:rPr>
              <w:t>September 30,</w:t>
            </w:r>
          </w:p>
        </w:tc>
        <w:tc>
          <w:tcPr>
            <w:tcW w:w="400" w:type="dxa"/>
            <w:vAlign w:val="bottom"/>
            <w:tcBorders>
              <w:bottom w:val="single" w:sz="8" w:color="1352DE"/>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126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1252DE"/>
              </w:rPr>
              <w:t>September 30,</w:t>
            </w:r>
          </w:p>
        </w:tc>
        <w:tc>
          <w:tcPr>
            <w:tcW w:w="40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0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2026</w:t>
            </w:r>
          </w:p>
        </w:tc>
        <w:tc>
          <w:tcPr>
            <w:tcW w:w="52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160" w:type="dxa"/>
            <w:vAlign w:val="bottom"/>
            <w:tcBorders>
              <w:bottom w:val="single" w:sz="8" w:color="1352DE"/>
            </w:tcBorders>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2026</w:t>
            </w:r>
          </w:p>
        </w:tc>
        <w:tc>
          <w:tcPr>
            <w:tcW w:w="52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0" w:type="dxa"/>
            <w:vAlign w:val="bottom"/>
          </w:tcPr>
          <w:p>
            <w:pPr>
              <w:spacing w:after="0"/>
              <w:rPr>
                <w:sz w:val="1"/>
                <w:szCs w:val="1"/>
                <w:color w:val="auto"/>
              </w:rPr>
            </w:pPr>
          </w:p>
        </w:tc>
      </w:tr>
      <w:tr>
        <w:trPr>
          <w:trHeight w:val="195"/>
        </w:trPr>
        <w:tc>
          <w:tcPr>
            <w:tcW w:w="7300" w:type="dxa"/>
            <w:vAlign w:val="bottom"/>
          </w:tcPr>
          <w:p>
            <w:pPr>
              <w:ind w:left="20"/>
              <w:spacing w:after="0"/>
              <w:rPr>
                <w:sz w:val="20"/>
                <w:szCs w:val="20"/>
                <w:color w:val="auto"/>
              </w:rPr>
            </w:pPr>
            <w:r>
              <w:rPr>
                <w:rFonts w:ascii="Arial" w:cs="Arial" w:eastAsia="Arial" w:hAnsi="Arial"/>
                <w:sz w:val="14"/>
                <w:szCs w:val="14"/>
                <w:b w:val="1"/>
                <w:bCs w:val="1"/>
                <w:color w:val="1252DE"/>
              </w:rPr>
              <w:t>Balance, beginning of period</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35</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6"/>
                <w:szCs w:val="16"/>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1252DE"/>
              </w:rPr>
              <w:t>37</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rPr>
                <w:sz w:val="20"/>
                <w:szCs w:val="20"/>
                <w:color w:val="auto"/>
              </w:rPr>
            </w:pPr>
            <w:r>
              <w:rPr>
                <w:rFonts w:ascii="Arial" w:cs="Arial" w:eastAsia="Arial" w:hAnsi="Arial"/>
                <w:sz w:val="14"/>
                <w:szCs w:val="14"/>
                <w:b w:val="1"/>
                <w:bCs w:val="1"/>
                <w:color w:val="1252DE"/>
              </w:rPr>
              <w:t>Additions: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00" w:type="dxa"/>
            <w:vAlign w:val="bottom"/>
          </w:tcPr>
          <w:p>
            <w:pPr>
              <w:ind w:left="140"/>
              <w:spacing w:after="0"/>
              <w:rPr>
                <w:sz w:val="20"/>
                <w:szCs w:val="20"/>
                <w:color w:val="auto"/>
              </w:rPr>
            </w:pPr>
            <w:r>
              <w:rPr>
                <w:rFonts w:ascii="Arial" w:cs="Arial" w:eastAsia="Arial" w:hAnsi="Arial"/>
                <w:sz w:val="14"/>
                <w:szCs w:val="14"/>
                <w:color w:val="auto"/>
              </w:rPr>
              <w:t>Securities for which allowance for credit losses was not previously recorded</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1252DE"/>
              </w:rPr>
              <w:t>(3)</w:t>
            </w:r>
          </w:p>
        </w:tc>
        <w:tc>
          <w:tcPr>
            <w:tcW w:w="5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1252DE"/>
              </w:rPr>
              <w:t>11</w:t>
            </w:r>
          </w:p>
        </w:tc>
        <w:tc>
          <w:tcPr>
            <w:tcW w:w="5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rPr>
                <w:sz w:val="20"/>
                <w:szCs w:val="20"/>
                <w:color w:val="auto"/>
              </w:rPr>
            </w:pPr>
            <w:r>
              <w:rPr>
                <w:rFonts w:ascii="Arial" w:cs="Arial" w:eastAsia="Arial" w:hAnsi="Arial"/>
                <w:sz w:val="14"/>
                <w:szCs w:val="14"/>
                <w:b w:val="1"/>
                <w:bCs w:val="1"/>
                <w:color w:val="1252DE"/>
              </w:rPr>
              <w:t>Reductions: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Arial" w:cs="Arial" w:eastAsia="Arial" w:hAnsi="Arial"/>
                <w:sz w:val="14"/>
                <w:szCs w:val="14"/>
                <w:color w:val="auto"/>
              </w:rPr>
              <w:t>Securities sold during the period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1252DE"/>
              </w:rPr>
              <w:t>(4)</w:t>
            </w:r>
          </w:p>
        </w:tc>
        <w:tc>
          <w:tcPr>
            <w:tcW w:w="5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1252DE"/>
              </w:rPr>
              <w:t>(9)</w:t>
            </w: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0"/>
        </w:trPr>
        <w:tc>
          <w:tcPr>
            <w:tcW w:w="7300" w:type="dxa"/>
            <w:vAlign w:val="bottom"/>
          </w:tcPr>
          <w:p>
            <w:pPr>
              <w:ind w:left="140"/>
              <w:spacing w:after="0" w:line="151" w:lineRule="exact"/>
              <w:rPr>
                <w:sz w:val="20"/>
                <w:szCs w:val="20"/>
                <w:color w:val="auto"/>
              </w:rPr>
            </w:pPr>
            <w:r>
              <w:rPr>
                <w:rFonts w:ascii="Arial" w:cs="Arial" w:eastAsia="Arial" w:hAnsi="Arial"/>
                <w:sz w:val="14"/>
                <w:szCs w:val="14"/>
                <w:color w:val="auto"/>
              </w:rPr>
              <w:t>Addition to (release of) the allowance for credit losses on securities that had an allowance recorded in a</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1252DE"/>
              </w:rPr>
              <w:t>(1)</w:t>
            </w:r>
          </w:p>
        </w:tc>
        <w:tc>
          <w:tcPr>
            <w:tcW w:w="5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1252DE"/>
              </w:rPr>
              <w:t>(12)</w:t>
            </w:r>
          </w:p>
        </w:tc>
        <w:tc>
          <w:tcPr>
            <w:tcW w:w="5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0"/>
        </w:trPr>
        <w:tc>
          <w:tcPr>
            <w:tcW w:w="7300" w:type="dxa"/>
            <w:vAlign w:val="bottom"/>
          </w:tcPr>
          <w:p>
            <w:pPr>
              <w:ind w:left="240"/>
              <w:spacing w:after="0"/>
              <w:rPr>
                <w:sz w:val="20"/>
                <w:szCs w:val="20"/>
                <w:color w:val="auto"/>
              </w:rPr>
            </w:pPr>
            <w:r>
              <w:rPr>
                <w:rFonts w:ascii="Arial" w:cs="Arial" w:eastAsia="Arial" w:hAnsi="Arial"/>
                <w:sz w:val="14"/>
                <w:szCs w:val="14"/>
                <w:color w:val="auto"/>
              </w:rPr>
              <w:t>previous period, for which there was no intent to sell before recovery of amortized cost basis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140"/>
              <w:spacing w:after="0"/>
              <w:rPr>
                <w:sz w:val="20"/>
                <w:szCs w:val="20"/>
                <w:color w:val="auto"/>
              </w:rPr>
            </w:pPr>
            <w:r>
              <w:rPr>
                <w:rFonts w:ascii="Arial" w:cs="Arial" w:eastAsia="Arial" w:hAnsi="Arial"/>
                <w:sz w:val="14"/>
                <w:szCs w:val="14"/>
                <w:color w:val="auto"/>
              </w:rPr>
              <w:t>Write-offs charged against the allowance</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1252DE"/>
              </w:rPr>
              <w:t>(3)</w:t>
            </w:r>
          </w:p>
        </w:tc>
        <w:tc>
          <w:tcPr>
            <w:tcW w:w="5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1252DE"/>
              </w:rPr>
              <w:t>(3)</w:t>
            </w:r>
          </w:p>
        </w:tc>
        <w:tc>
          <w:tcPr>
            <w:tcW w:w="5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52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52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Balance, end of period</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7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24</w:t>
            </w:r>
          </w:p>
        </w:tc>
        <w:tc>
          <w:tcPr>
            <w:tcW w:w="520" w:type="dxa"/>
            <w:vAlign w:val="bottom"/>
            <w:tcBorders>
              <w:bottom w:val="single" w:sz="8" w:color="1352DE"/>
            </w:tcBorders>
          </w:tcPr>
          <w:p>
            <w:pPr>
              <w:jc w:val="right"/>
              <w:ind w:right="3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43</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7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24</w:t>
            </w:r>
          </w:p>
        </w:tc>
        <w:tc>
          <w:tcPr>
            <w:tcW w:w="520" w:type="dxa"/>
            <w:vAlign w:val="bottom"/>
            <w:tcBorders>
              <w:bottom w:val="single" w:sz="8" w:color="1352DE"/>
            </w:tcBorders>
          </w:tcPr>
          <w:p>
            <w:pPr>
              <w:jc w:val="right"/>
              <w:ind w:right="3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368300</wp:posOffset>
            </wp:positionV>
            <wp:extent cx="23317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 |</w:t>
      </w:r>
      <w:r>
        <w:rPr>
          <w:rFonts w:ascii="Arial" w:cs="Arial" w:eastAsia="Arial" w:hAnsi="Arial"/>
          <w:sz w:val="13"/>
          <w:szCs w:val="13"/>
          <w:color w:val="auto"/>
        </w:rPr>
        <w:t xml:space="preserve"> </w:t>
      </w:r>
      <w:r>
        <w:rPr>
          <w:rFonts w:ascii="Arial" w:cs="Arial" w:eastAsia="Arial" w:hAnsi="Arial"/>
          <w:sz w:val="13"/>
          <w:szCs w:val="13"/>
          <w:b w:val="1"/>
          <w:bCs w:val="1"/>
          <w:color w:val="001770"/>
        </w:rPr>
        <w:t>5. Investments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Purchased Credit Deteriorated Securities</w:t>
      </w:r>
    </w:p>
    <w:p>
      <w:pPr>
        <w:spacing w:after="0" w:line="6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We purchase certain RMBS that have experienced more-than-insignificant deterioration in credit quality since origination. These are referred to as purchased credit deteriorated (PCD) assets. At the time of purchase an allowance is recognized for these PCD assets by adding it to the purchase price to arrive at the initial amortized cost. There is no credit loss expense recognized upon acquisition of a PCD asset. When determining the initial allowance for credit losses, management considers the historical performance of underlying assets and available market information as well as bond-specific structural considerations, such as credit enhancement and the priority of payment structure of the security. In addition, the process of estimating future cash flows includes, but is not limited to, the following critical inputs:</w:t>
      </w:r>
    </w:p>
    <w:p>
      <w:pPr>
        <w:spacing w:after="0" w:line="21"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Current delinquency rates;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Expected default rates and the timing of such defaults;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 severity and the timing of any recovery;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Expected prepayment speeds.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acquisition date, the PCD assets follow the same accounting as other structured securities that are not high credit quality.</w:t>
      </w:r>
    </w:p>
    <w:p>
      <w:pPr>
        <w:spacing w:after="0" w:line="140"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We did not purchase securities with more than insignificant credit deterioration since their origination during the nine months ended September 30, 2026 and 2025.</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PLEDGED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Secured Financing and Similar Arrangements</w:t>
      </w:r>
    </w:p>
    <w:p>
      <w:pPr>
        <w:spacing w:after="0" w:line="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enter into secured financing transactions whereby certain securities are sold under agreements to repurchase (repurchase agreements), in which we transfer securities in exchange for cash, with an agreement by us to repurchase the same or substantially similar securities. Our secured financing transactions also include those that involve the transfer of securities to financial institutions in exchange for cash (securities lending agreements). In all of these secured financing transactions, the securities transferred by us (pledged collateral) may be sold or repledged by the counterparties. These agreements are recorded at their contracted amounts plus accrued interest, other than those that are accounted for at fair value.</w:t>
      </w:r>
    </w:p>
    <w:p>
      <w:pPr>
        <w:spacing w:after="0" w:line="7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Pledged collateral levels are monitored daily and are generally maintained at an agreed-upon percentage of the fair value of the amounts borrowed during the life of the transactions. In the event of a decline in the fair value of the pledged collateral under these secured financing transactions, we may be required to transfer cash or additional securities as pledged collateral under these agreements. At the termination of the transactions, we and our counterparties are obligated to return the amounts borrowed and the securities transferred, respectively.</w:t>
      </w:r>
    </w:p>
    <w:p>
      <w:pPr>
        <w:spacing w:after="0" w:line="67"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We also enter into agreements in which securities are purchased by us under agreements to resell (reverse repurchase agreements), which are accounted for as secured financing transactions and reported as short-term investments or other assets, depending on their terms. These agreements are recorded at their contracted resale amounts plus accrued interest, other than those that are accounted for at fair value. In all reverse repurchase transactions, we take possession of or obtain a security interest in the related securities, and we have the right to sell or repledge this collateral received.</w:t>
      </w:r>
    </w:p>
    <w:p>
      <w:pPr>
        <w:spacing w:after="0" w:line="67"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At September 30, 2026 and December 31, 2025, the fair value of securities pledged to us under reverse repurchase agreements totaled $2.8 billion and $3.6 billion, respectively, and the carrying value of reverse repurchase agreements totaled $2.8 billion and $3.6 billion, respectively.</w:t>
      </w:r>
    </w:p>
    <w:p>
      <w:pPr>
        <w:spacing w:after="0" w:line="48"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All secured financing transactions are collateralized and margined on a daily basis consistent with market standards and subject to enforceable master netting arrangements with rights of set off. We do not currently offset any such transactions.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Insurance – Statutory and Other Deposits</w:t>
      </w:r>
    </w:p>
    <w:p>
      <w:pPr>
        <w:spacing w:after="0" w:line="68" w:lineRule="exact"/>
        <w:rPr>
          <w:sz w:val="20"/>
          <w:szCs w:val="20"/>
          <w:color w:val="auto"/>
        </w:rPr>
      </w:pPr>
    </w:p>
    <w:p>
      <w:pPr>
        <w:jc w:val="both"/>
        <w:ind w:right="460"/>
        <w:spacing w:after="0" w:line="321" w:lineRule="auto"/>
        <w:rPr>
          <w:sz w:val="20"/>
          <w:szCs w:val="20"/>
          <w:color w:val="auto"/>
        </w:rPr>
      </w:pPr>
      <w:r>
        <w:rPr>
          <w:rFonts w:ascii="Arial" w:cs="Arial" w:eastAsia="Arial" w:hAnsi="Arial"/>
          <w:sz w:val="16"/>
          <w:szCs w:val="16"/>
          <w:color w:val="auto"/>
        </w:rPr>
        <w:t>The total carrying value of cash and securities deposited by our insurance subsidiaries under requirements of regulatory authorities or other insurance-related arrangements and certain reinsurance contracts was $7.8 billion and $7.7 billion at September 30, 2026 and December 31, 2025,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Other Pledges and Restrictions</w:t>
      </w:r>
    </w:p>
    <w:p>
      <w:pPr>
        <w:spacing w:after="0" w:line="6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Certain of our subsidiaries are members of Federal Home Loan Banks (FHLBs) and such membership requires the members to own stock in these FHLBs. We owned an aggregate of $16 million and $14 million of stock in FHLBs at September 30, 2026 and December 31, 2025, respectively. In addition, our subsidiaries have pledged securities available for sale with a fair value of $2.3 billion at September 30, 2026 and $2.4 billion at December 31, 2025.</w:t>
      </w:r>
    </w:p>
    <w:p>
      <w:pPr>
        <w:spacing w:after="0" w:line="6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Investments held in escrow accounts or otherwise subject to restriction as to their use were $55 million and $54 million, comprised of short-term investments at September 30, 2026, and bonds available for sale and short-term investments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24771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760" w:hanging="734"/>
        <w:spacing w:after="0"/>
        <w:tabs>
          <w:tab w:leader="none" w:pos="760" w:val="left"/>
        </w:tabs>
        <w:numPr>
          <w:ilvl w:val="0"/>
          <w:numId w:val="30"/>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 |</w:t>
      </w:r>
      <w:r>
        <w:rPr>
          <w:rFonts w:ascii="Arial" w:cs="Arial" w:eastAsia="Arial" w:hAnsi="Arial"/>
          <w:sz w:val="13"/>
          <w:szCs w:val="13"/>
          <w:color w:val="auto"/>
        </w:rPr>
        <w:t xml:space="preserve"> </w:t>
      </w:r>
      <w:r>
        <w:rPr>
          <w:rFonts w:ascii="Arial" w:cs="Arial" w:eastAsia="Arial" w:hAnsi="Arial"/>
          <w:sz w:val="13"/>
          <w:szCs w:val="13"/>
          <w:b w:val="1"/>
          <w:bCs w:val="1"/>
          <w:color w:val="001770"/>
        </w:rPr>
        <w:t>5. Investments</w:t>
      </w:r>
    </w:p>
    <w:p>
      <w:pPr>
        <w:spacing w:after="0" w:line="270"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Reinsurance transactions between AIG and Fortitude Re were structured as modified coinsurance (modco) and loss portfolio transfer arrangements with funds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234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7"/>
          <w:szCs w:val="27"/>
          <w:color w:val="001871"/>
        </w:rPr>
        <w:t>6. Lending Activities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composition of Mortgage and other loans receivable, net: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960" w:type="dxa"/>
            <w:vAlign w:val="bottom"/>
            <w:tcBorders>
              <w:top w:val="single" w:sz="8" w:color="1352DE"/>
              <w:bottom w:val="single" w:sz="8" w:color="1352DE"/>
            </w:tcBorders>
          </w:tcPr>
          <w:p>
            <w:pPr>
              <w:spacing w:after="0"/>
              <w:rPr>
                <w:sz w:val="19"/>
                <w:szCs w:val="19"/>
                <w:color w:val="auto"/>
              </w:rPr>
            </w:pPr>
          </w:p>
        </w:tc>
        <w:tc>
          <w:tcPr>
            <w:tcW w:w="1760" w:type="dxa"/>
            <w:vAlign w:val="bottom"/>
            <w:tcBorders>
              <w:top w:val="single" w:sz="8" w:color="1352DE"/>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September 30, 2026</w:t>
            </w:r>
          </w:p>
        </w:tc>
        <w:tc>
          <w:tcPr>
            <w:tcW w:w="340" w:type="dxa"/>
            <w:vAlign w:val="bottom"/>
            <w:tcBorders>
              <w:top w:val="single" w:sz="8" w:color="1352DE"/>
              <w:bottom w:val="single" w:sz="8" w:color="1352DE"/>
            </w:tcBorders>
          </w:tcPr>
          <w:p>
            <w:pPr>
              <w:spacing w:after="0"/>
              <w:rPr>
                <w:sz w:val="19"/>
                <w:szCs w:val="19"/>
                <w:color w:val="auto"/>
              </w:rPr>
            </w:pPr>
          </w:p>
        </w:tc>
        <w:tc>
          <w:tcPr>
            <w:tcW w:w="156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6"/>
                <w:szCs w:val="16"/>
                <w:color w:val="1252DE"/>
              </w:rPr>
              <w:t>December 31, 2025</w:t>
            </w:r>
          </w:p>
        </w:tc>
      </w:tr>
      <w:tr>
        <w:trPr>
          <w:trHeight w:val="249"/>
        </w:trPr>
        <w:tc>
          <w:tcPr>
            <w:tcW w:w="5600" w:type="dxa"/>
            <w:vAlign w:val="bottom"/>
          </w:tcPr>
          <w:p>
            <w:pPr>
              <w:ind w:left="20"/>
              <w:spacing w:after="0"/>
              <w:rPr>
                <w:sz w:val="20"/>
                <w:szCs w:val="20"/>
                <w:color w:val="auto"/>
              </w:rPr>
            </w:pPr>
            <w:r>
              <w:rPr>
                <w:rFonts w:ascii="Arial" w:cs="Arial" w:eastAsia="Arial" w:hAnsi="Arial"/>
                <w:sz w:val="16"/>
                <w:szCs w:val="16"/>
                <w:color w:val="auto"/>
              </w:rPr>
              <w:t>Commercial mortgages</w:t>
            </w:r>
            <w:r>
              <w:rPr>
                <w:rFonts w:ascii="Arial" w:cs="Arial" w:eastAsia="Arial" w:hAnsi="Arial"/>
                <w:sz w:val="21"/>
                <w:szCs w:val="21"/>
                <w:color w:val="auto"/>
                <w:vertAlign w:val="superscript"/>
              </w:rPr>
              <w:t>(a)</w:t>
            </w:r>
          </w:p>
        </w:tc>
        <w:tc>
          <w:tcPr>
            <w:tcW w:w="1960" w:type="dxa"/>
            <w:vAlign w:val="bottom"/>
          </w:tcPr>
          <w:p>
            <w:pPr>
              <w:jc w:val="right"/>
              <w:ind w:right="59"/>
              <w:spacing w:after="0"/>
              <w:rPr>
                <w:sz w:val="20"/>
                <w:szCs w:val="20"/>
                <w:color w:val="auto"/>
              </w:rPr>
            </w:pPr>
            <w:r>
              <w:rPr>
                <w:rFonts w:ascii="Arial" w:cs="Arial" w:eastAsia="Arial" w:hAnsi="Arial"/>
                <w:sz w:val="16"/>
                <w:szCs w:val="16"/>
                <w:b w:val="1"/>
                <w:bCs w:val="1"/>
                <w:color w:val="1252DE"/>
              </w:rPr>
              <w:t>$</w:t>
            </w:r>
          </w:p>
        </w:tc>
        <w:tc>
          <w:tcPr>
            <w:tcW w:w="1760" w:type="dxa"/>
            <w:vAlign w:val="bottom"/>
          </w:tcPr>
          <w:p>
            <w:pPr>
              <w:jc w:val="right"/>
              <w:ind w:right="99"/>
              <w:spacing w:after="0"/>
              <w:rPr>
                <w:sz w:val="20"/>
                <w:szCs w:val="20"/>
                <w:color w:val="auto"/>
              </w:rPr>
            </w:pPr>
            <w:r>
              <w:rPr>
                <w:rFonts w:ascii="Arial" w:cs="Arial" w:eastAsia="Arial" w:hAnsi="Arial"/>
                <w:sz w:val="16"/>
                <w:szCs w:val="16"/>
                <w:b w:val="1"/>
                <w:bCs w:val="1"/>
                <w:color w:val="1252DE"/>
              </w:rPr>
              <w:t>2,096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2,495</w:t>
            </w:r>
          </w:p>
        </w:tc>
      </w:tr>
      <w:tr>
        <w:trPr>
          <w:trHeight w:val="257"/>
        </w:trPr>
        <w:tc>
          <w:tcPr>
            <w:tcW w:w="5600" w:type="dxa"/>
            <w:vAlign w:val="bottom"/>
            <w:tcBorders>
              <w:bottom w:val="single" w:sz="8" w:color="1352DE"/>
            </w:tcBorders>
          </w:tcPr>
          <w:p>
            <w:pPr>
              <w:ind w:left="40"/>
              <w:spacing w:after="0"/>
              <w:rPr>
                <w:sz w:val="20"/>
                <w:szCs w:val="20"/>
                <w:color w:val="auto"/>
              </w:rPr>
            </w:pPr>
            <w:r>
              <w:rPr>
                <w:rFonts w:ascii="Arial" w:cs="Arial" w:eastAsia="Arial" w:hAnsi="Arial"/>
                <w:sz w:val="16"/>
                <w:szCs w:val="16"/>
                <w:color w:val="auto"/>
              </w:rPr>
              <w:t>Commercial loans, other loans and notes receivable</w:t>
            </w:r>
            <w:r>
              <w:rPr>
                <w:rFonts w:ascii="Arial" w:cs="Arial" w:eastAsia="Arial" w:hAnsi="Arial"/>
                <w:sz w:val="21"/>
                <w:szCs w:val="21"/>
                <w:color w:val="auto"/>
                <w:vertAlign w:val="superscript"/>
              </w:rPr>
              <w:t>(b)</w:t>
            </w:r>
          </w:p>
        </w:tc>
        <w:tc>
          <w:tcPr>
            <w:tcW w:w="1960" w:type="dxa"/>
            <w:vAlign w:val="bottom"/>
            <w:tcBorders>
              <w:bottom w:val="single" w:sz="8" w:color="1352DE"/>
            </w:tcBorders>
          </w:tcPr>
          <w:p>
            <w:pPr>
              <w:spacing w:after="0"/>
              <w:rPr>
                <w:sz w:val="22"/>
                <w:szCs w:val="22"/>
                <w:color w:val="auto"/>
              </w:rPr>
            </w:pPr>
          </w:p>
        </w:tc>
        <w:tc>
          <w:tcPr>
            <w:tcW w:w="176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b w:val="1"/>
                <w:bCs w:val="1"/>
                <w:color w:val="1252DE"/>
              </w:rPr>
              <w:t>290</w:t>
            </w:r>
          </w:p>
        </w:tc>
        <w:tc>
          <w:tcPr>
            <w:tcW w:w="340" w:type="dxa"/>
            <w:vAlign w:val="bottom"/>
            <w:tcBorders>
              <w:bottom w:val="single" w:sz="8" w:color="1352DE"/>
            </w:tcBorders>
          </w:tcPr>
          <w:p>
            <w:pPr>
              <w:spacing w:after="0"/>
              <w:rPr>
                <w:sz w:val="22"/>
                <w:szCs w:val="22"/>
                <w:color w:val="auto"/>
              </w:rPr>
            </w:pPr>
          </w:p>
        </w:tc>
        <w:tc>
          <w:tcPr>
            <w:tcW w:w="156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503</w:t>
            </w:r>
          </w:p>
        </w:tc>
      </w:tr>
      <w:tr>
        <w:trPr>
          <w:trHeight w:val="209"/>
        </w:trPr>
        <w:tc>
          <w:tcPr>
            <w:tcW w:w="5600" w:type="dxa"/>
            <w:vAlign w:val="bottom"/>
          </w:tcPr>
          <w:p>
            <w:pPr>
              <w:ind w:left="20"/>
              <w:spacing w:after="0" w:line="209" w:lineRule="exact"/>
              <w:rPr>
                <w:sz w:val="20"/>
                <w:szCs w:val="20"/>
                <w:color w:val="auto"/>
              </w:rPr>
            </w:pPr>
            <w:r>
              <w:rPr>
                <w:rFonts w:ascii="Arial" w:cs="Arial" w:eastAsia="Arial" w:hAnsi="Arial"/>
                <w:sz w:val="16"/>
                <w:szCs w:val="16"/>
                <w:b w:val="1"/>
                <w:bCs w:val="1"/>
                <w:color w:val="1252DE"/>
              </w:rPr>
              <w:t>Total mortgage and other loans receivable</w:t>
            </w:r>
            <w:r>
              <w:rPr>
                <w:rFonts w:ascii="Arial" w:cs="Arial" w:eastAsia="Arial" w:hAnsi="Arial"/>
                <w:sz w:val="21"/>
                <w:szCs w:val="21"/>
                <w:b w:val="1"/>
                <w:bCs w:val="1"/>
                <w:color w:val="1252DE"/>
                <w:vertAlign w:val="superscript"/>
              </w:rPr>
              <w:t>(c)</w:t>
            </w:r>
          </w:p>
        </w:tc>
        <w:tc>
          <w:tcPr>
            <w:tcW w:w="1960" w:type="dxa"/>
            <w:vAlign w:val="bottom"/>
          </w:tcPr>
          <w:p>
            <w:pPr>
              <w:spacing w:after="0"/>
              <w:rPr>
                <w:sz w:val="18"/>
                <w:szCs w:val="18"/>
                <w:color w:val="auto"/>
              </w:rPr>
            </w:pPr>
          </w:p>
        </w:tc>
        <w:tc>
          <w:tcPr>
            <w:tcW w:w="1760" w:type="dxa"/>
            <w:vAlign w:val="bottom"/>
          </w:tcPr>
          <w:p>
            <w:pPr>
              <w:jc w:val="right"/>
              <w:ind w:right="99"/>
              <w:spacing w:after="0"/>
              <w:rPr>
                <w:sz w:val="20"/>
                <w:szCs w:val="20"/>
                <w:color w:val="auto"/>
              </w:rPr>
            </w:pPr>
            <w:r>
              <w:rPr>
                <w:rFonts w:ascii="Arial" w:cs="Arial" w:eastAsia="Arial" w:hAnsi="Arial"/>
                <w:sz w:val="16"/>
                <w:szCs w:val="16"/>
                <w:b w:val="1"/>
                <w:bCs w:val="1"/>
                <w:color w:val="1252DE"/>
              </w:rPr>
              <w:t>2,386</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2,998</w:t>
            </w:r>
          </w:p>
        </w:tc>
      </w:tr>
      <w:tr>
        <w:trPr>
          <w:trHeight w:val="257"/>
        </w:trPr>
        <w:tc>
          <w:tcPr>
            <w:tcW w:w="5600" w:type="dxa"/>
            <w:vAlign w:val="bottom"/>
            <w:tcBorders>
              <w:bottom w:val="single" w:sz="8" w:color="1352DE"/>
            </w:tcBorders>
          </w:tcPr>
          <w:p>
            <w:pPr>
              <w:ind w:left="40"/>
              <w:spacing w:after="0"/>
              <w:rPr>
                <w:sz w:val="20"/>
                <w:szCs w:val="20"/>
                <w:color w:val="auto"/>
              </w:rPr>
            </w:pPr>
            <w:r>
              <w:rPr>
                <w:rFonts w:ascii="Arial" w:cs="Arial" w:eastAsia="Arial" w:hAnsi="Arial"/>
                <w:sz w:val="16"/>
                <w:szCs w:val="16"/>
                <w:color w:val="auto"/>
              </w:rPr>
              <w:t>Allowance for credit losses</w:t>
            </w:r>
            <w:r>
              <w:rPr>
                <w:rFonts w:ascii="Arial" w:cs="Arial" w:eastAsia="Arial" w:hAnsi="Arial"/>
                <w:sz w:val="21"/>
                <w:szCs w:val="21"/>
                <w:color w:val="auto"/>
                <w:vertAlign w:val="superscript"/>
              </w:rPr>
              <w:t>(c)</w:t>
            </w:r>
          </w:p>
        </w:tc>
        <w:tc>
          <w:tcPr>
            <w:tcW w:w="1960" w:type="dxa"/>
            <w:vAlign w:val="bottom"/>
            <w:tcBorders>
              <w:bottom w:val="single" w:sz="8" w:color="1352DE"/>
            </w:tcBorders>
          </w:tcPr>
          <w:p>
            <w:pPr>
              <w:spacing w:after="0"/>
              <w:rPr>
                <w:sz w:val="22"/>
                <w:szCs w:val="22"/>
                <w:color w:val="auto"/>
              </w:rPr>
            </w:pPr>
          </w:p>
        </w:tc>
        <w:tc>
          <w:tcPr>
            <w:tcW w:w="176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b w:val="1"/>
                <w:bCs w:val="1"/>
                <w:color w:val="1252DE"/>
              </w:rPr>
              <w:t>(88)</w:t>
            </w:r>
          </w:p>
        </w:tc>
        <w:tc>
          <w:tcPr>
            <w:tcW w:w="340" w:type="dxa"/>
            <w:vAlign w:val="bottom"/>
            <w:tcBorders>
              <w:bottom w:val="single" w:sz="8" w:color="1352DE"/>
            </w:tcBorders>
          </w:tcPr>
          <w:p>
            <w:pPr>
              <w:spacing w:after="0"/>
              <w:rPr>
                <w:sz w:val="22"/>
                <w:szCs w:val="22"/>
                <w:color w:val="auto"/>
              </w:rPr>
            </w:pPr>
          </w:p>
        </w:tc>
        <w:tc>
          <w:tcPr>
            <w:tcW w:w="156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(111)</w:t>
            </w:r>
          </w:p>
        </w:tc>
      </w:tr>
      <w:tr>
        <w:trPr>
          <w:trHeight w:val="209"/>
        </w:trPr>
        <w:tc>
          <w:tcPr>
            <w:tcW w:w="5600" w:type="dxa"/>
            <w:vAlign w:val="bottom"/>
            <w:tcBorders>
              <w:bottom w:val="single" w:sz="8" w:color="1352DE"/>
            </w:tcBorders>
          </w:tcPr>
          <w:p>
            <w:pPr>
              <w:ind w:left="20"/>
              <w:spacing w:after="0" w:line="210" w:lineRule="exact"/>
              <w:rPr>
                <w:sz w:val="20"/>
                <w:szCs w:val="20"/>
                <w:color w:val="auto"/>
              </w:rPr>
            </w:pPr>
            <w:r>
              <w:rPr>
                <w:rFonts w:ascii="Arial" w:cs="Arial" w:eastAsia="Arial" w:hAnsi="Arial"/>
                <w:sz w:val="16"/>
                <w:szCs w:val="16"/>
                <w:b w:val="1"/>
                <w:bCs w:val="1"/>
                <w:color w:val="1252DE"/>
              </w:rPr>
              <w:t>Mortgage and other loans receivable, net</w:t>
            </w:r>
            <w:r>
              <w:rPr>
                <w:rFonts w:ascii="Arial" w:cs="Arial" w:eastAsia="Arial" w:hAnsi="Arial"/>
                <w:sz w:val="21"/>
                <w:szCs w:val="21"/>
                <w:b w:val="1"/>
                <w:bCs w:val="1"/>
                <w:color w:val="1252DE"/>
                <w:vertAlign w:val="superscript"/>
              </w:rPr>
              <w:t>(c)</w:t>
            </w:r>
          </w:p>
        </w:tc>
        <w:tc>
          <w:tcPr>
            <w:tcW w:w="196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b w:val="1"/>
                <w:bCs w:val="1"/>
                <w:color w:val="1252DE"/>
              </w:rPr>
              <w:t>$</w:t>
            </w:r>
          </w:p>
        </w:tc>
        <w:tc>
          <w:tcPr>
            <w:tcW w:w="176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b w:val="1"/>
                <w:bCs w:val="1"/>
                <w:color w:val="1252DE"/>
              </w:rPr>
              <w:t>2,298</w:t>
            </w:r>
          </w:p>
        </w:tc>
        <w:tc>
          <w:tcPr>
            <w:tcW w:w="34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2,887</w:t>
            </w:r>
          </w:p>
        </w:tc>
      </w:tr>
    </w:tbl>
    <w:p>
      <w:pPr>
        <w:spacing w:after="0" w:line="144" w:lineRule="exact"/>
        <w:rPr>
          <w:sz w:val="20"/>
          <w:szCs w:val="20"/>
          <w:color w:val="auto"/>
        </w:rPr>
      </w:pPr>
    </w:p>
    <w:p>
      <w:pPr>
        <w:ind w:left="220" w:right="580" w:hanging="212"/>
        <w:spacing w:after="0" w:line="286" w:lineRule="auto"/>
        <w:tabs>
          <w:tab w:leader="none" w:pos="208"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Commercial mortgages primarily represent loans for apartments, offices and retail properties, with exposures in California and New York representing the largest geographic concentrations (aggregating approximately 16 percent and 14 percent, respectively, at September 30, 2026 and 14 percent and 13 percent, respectively, at December 31, 2025).</w:t>
      </w:r>
    </w:p>
    <w:p>
      <w:pPr>
        <w:spacing w:after="0" w:line="35" w:lineRule="exact"/>
        <w:rPr>
          <w:rFonts w:ascii="Arial" w:cs="Arial" w:eastAsia="Arial" w:hAnsi="Arial"/>
          <w:sz w:val="13"/>
          <w:szCs w:val="13"/>
          <w:color w:val="auto"/>
        </w:rPr>
      </w:pPr>
    </w:p>
    <w:p>
      <w:pPr>
        <w:ind w:left="220" w:hanging="212"/>
        <w:spacing w:after="0"/>
        <w:tabs>
          <w:tab w:leader="none" w:pos="2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There were no loans that were held-for-sale carried at lower of cost or market as of September 30, 2026 and December 31, 2025.</w:t>
      </w:r>
    </w:p>
    <w:p>
      <w:pPr>
        <w:spacing w:after="0" w:line="80" w:lineRule="exact"/>
        <w:rPr>
          <w:rFonts w:ascii="Arial" w:cs="Arial" w:eastAsia="Arial" w:hAnsi="Arial"/>
          <w:sz w:val="13"/>
          <w:szCs w:val="13"/>
          <w:color w:val="auto"/>
        </w:rPr>
      </w:pPr>
    </w:p>
    <w:p>
      <w:pPr>
        <w:ind w:left="220" w:right="160" w:hanging="212"/>
        <w:spacing w:after="0" w:line="264" w:lineRule="auto"/>
        <w:tabs>
          <w:tab w:leader="none" w:pos="214"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Excludes $37.6 billion at both September 30, 2026 and December 31, 2025 of loans receivable from AIG Financial Products Corp. (AIGFP), which has a full allowance for credit losses, recognized upon the deconsolidation of AIGFP. </w:t>
      </w:r>
      <w:r>
        <w:rPr>
          <w:rFonts w:ascii="Arial" w:cs="Arial" w:eastAsia="Arial" w:hAnsi="Arial"/>
          <w:sz w:val="13"/>
          <w:szCs w:val="13"/>
          <w:i w:val="1"/>
          <w:iCs w:val="1"/>
          <w:color w:val="auto"/>
        </w:rPr>
        <w:t>For additional information, see Note 7 to the Consolidated Financial Statements in the 2025 Annual Report.</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Interest income is not accrued when payment of contractual principal and interest is not expected. Any cash received on impaired loans is generally recorded as a reduction of the current carrying amount of the loan. Accrual of interest income is generally resumed when delinquent contractual principal and interest is repaid or when a portion of the delinquent contractual payments are made and the ongoing required contractual payments have been made for an appropriate period. As of September 30, 2026 and December 31, 2025, $192 million and $160 million, respectively, of commercial mortgage loans were placed on nonaccrual status.</w:t>
      </w:r>
    </w:p>
    <w:p>
      <w:pPr>
        <w:spacing w:after="0" w:line="73"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Accrued interest is presented separately and is included in Accrued investment income on the Condensed Consolidated Balance Sheets. As of September 30, 2026 and December 31, 2025, accrued interest receivable associated with commercial mortgage loans was $9 million and $11 million, respectively.</w:t>
      </w:r>
    </w:p>
    <w:p>
      <w:pPr>
        <w:spacing w:after="0" w:line="4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 significant majority of commercial mortgages in the portfolio are non-recourse loans and, accordingly, the only guarantees are for specific items that are exceptions to the non-recourse provisions. It is therefore extremely rare for us to have cause to enforce the provisions of a guarantee on a commercial real estate or mortgage loan.</w:t>
      </w:r>
    </w:p>
    <w:p>
      <w:pPr>
        <w:spacing w:after="0" w:line="6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Nonperforming loans are generally those loans where payment of contractual principal or interest is more than 90 days past due. Nonperforming loans were not significant for any of the periods presented.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CREDIT QUALITY OF COMMERCIAL MORTGAGES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252DE"/>
        </w:rPr>
        <w:t>The following table presents loan-to-value ratios* for commercial mortgages by year of vintage: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00" w:type="dxa"/>
            <w:vAlign w:val="bottom"/>
            <w:tcBorders>
              <w:top w:val="single" w:sz="8" w:color="1352DE"/>
            </w:tcBorders>
          </w:tcPr>
          <w:p>
            <w:pPr>
              <w:ind w:left="20"/>
              <w:spacing w:after="0"/>
              <w:rPr>
                <w:sz w:val="20"/>
                <w:szCs w:val="20"/>
                <w:color w:val="auto"/>
              </w:rPr>
            </w:pPr>
            <w:r>
              <w:rPr>
                <w:rFonts w:ascii="Arial" w:cs="Arial" w:eastAsia="Arial" w:hAnsi="Arial"/>
                <w:sz w:val="14"/>
                <w:szCs w:val="14"/>
                <w:b w:val="1"/>
                <w:bCs w:val="1"/>
                <w:color w:val="1252DE"/>
              </w:rPr>
              <w:t>September 30, 2026</w:t>
            </w:r>
          </w:p>
        </w:tc>
        <w:tc>
          <w:tcPr>
            <w:tcW w:w="940" w:type="dxa"/>
            <w:vAlign w:val="bottom"/>
            <w:tcBorders>
              <w:top w:val="single" w:sz="8" w:color="1352DE"/>
            </w:tcBorders>
          </w:tcPr>
          <w:p>
            <w:pPr>
              <w:spacing w:after="0"/>
              <w:rPr>
                <w:sz w:val="18"/>
                <w:szCs w:val="18"/>
                <w:color w:val="auto"/>
              </w:rPr>
            </w:pPr>
          </w:p>
        </w:tc>
        <w:tc>
          <w:tcPr>
            <w:tcW w:w="700" w:type="dxa"/>
            <w:vAlign w:val="bottom"/>
            <w:tcBorders>
              <w:top w:val="single" w:sz="8" w:color="1352DE"/>
            </w:tcBorders>
          </w:tcPr>
          <w:p>
            <w:pPr>
              <w:spacing w:after="0"/>
              <w:rPr>
                <w:sz w:val="18"/>
                <w:szCs w:val="18"/>
                <w:color w:val="auto"/>
              </w:rPr>
            </w:pPr>
          </w:p>
        </w:tc>
        <w:tc>
          <w:tcPr>
            <w:tcW w:w="480" w:type="dxa"/>
            <w:vAlign w:val="bottom"/>
            <w:tcBorders>
              <w:top w:val="single" w:sz="8" w:color="1352DE"/>
            </w:tcBorders>
          </w:tcPr>
          <w:p>
            <w:pPr>
              <w:spacing w:after="0"/>
              <w:rPr>
                <w:sz w:val="18"/>
                <w:szCs w:val="18"/>
                <w:color w:val="auto"/>
              </w:rPr>
            </w:pPr>
          </w:p>
        </w:tc>
        <w:tc>
          <w:tcPr>
            <w:tcW w:w="700" w:type="dxa"/>
            <w:vAlign w:val="bottom"/>
            <w:tcBorders>
              <w:top w:val="single" w:sz="8" w:color="1352DE"/>
            </w:tcBorders>
          </w:tcPr>
          <w:p>
            <w:pPr>
              <w:spacing w:after="0"/>
              <w:rPr>
                <w:sz w:val="18"/>
                <w:szCs w:val="18"/>
                <w:color w:val="auto"/>
              </w:rPr>
            </w:pPr>
          </w:p>
        </w:tc>
        <w:tc>
          <w:tcPr>
            <w:tcW w:w="480" w:type="dxa"/>
            <w:vAlign w:val="bottom"/>
            <w:tcBorders>
              <w:top w:val="single" w:sz="8" w:color="1352DE"/>
            </w:tcBorders>
          </w:tcPr>
          <w:p>
            <w:pPr>
              <w:spacing w:after="0"/>
              <w:rPr>
                <w:sz w:val="18"/>
                <w:szCs w:val="18"/>
                <w:color w:val="auto"/>
              </w:rPr>
            </w:pPr>
          </w:p>
        </w:tc>
        <w:tc>
          <w:tcPr>
            <w:tcW w:w="720" w:type="dxa"/>
            <w:vAlign w:val="bottom"/>
            <w:tcBorders>
              <w:top w:val="single" w:sz="8" w:color="1352DE"/>
            </w:tcBorders>
          </w:tcPr>
          <w:p>
            <w:pPr>
              <w:spacing w:after="0"/>
              <w:rPr>
                <w:sz w:val="18"/>
                <w:szCs w:val="18"/>
                <w:color w:val="auto"/>
              </w:rPr>
            </w:pPr>
          </w:p>
        </w:tc>
        <w:tc>
          <w:tcPr>
            <w:tcW w:w="480" w:type="dxa"/>
            <w:vAlign w:val="bottom"/>
            <w:tcBorders>
              <w:top w:val="single" w:sz="8" w:color="1352DE"/>
            </w:tcBorders>
          </w:tcPr>
          <w:p>
            <w:pPr>
              <w:spacing w:after="0"/>
              <w:rPr>
                <w:sz w:val="18"/>
                <w:szCs w:val="18"/>
                <w:color w:val="auto"/>
              </w:rPr>
            </w:pPr>
          </w:p>
        </w:tc>
        <w:tc>
          <w:tcPr>
            <w:tcW w:w="700" w:type="dxa"/>
            <w:vAlign w:val="bottom"/>
            <w:tcBorders>
              <w:top w:val="single" w:sz="8" w:color="1352DE"/>
            </w:tcBorders>
          </w:tcPr>
          <w:p>
            <w:pPr>
              <w:spacing w:after="0"/>
              <w:rPr>
                <w:sz w:val="18"/>
                <w:szCs w:val="18"/>
                <w:color w:val="auto"/>
              </w:rPr>
            </w:pPr>
          </w:p>
        </w:tc>
        <w:tc>
          <w:tcPr>
            <w:tcW w:w="480" w:type="dxa"/>
            <w:vAlign w:val="bottom"/>
            <w:tcBorders>
              <w:top w:val="single" w:sz="8" w:color="1352DE"/>
            </w:tcBorders>
          </w:tcPr>
          <w:p>
            <w:pPr>
              <w:spacing w:after="0"/>
              <w:rPr>
                <w:sz w:val="18"/>
                <w:szCs w:val="18"/>
                <w:color w:val="auto"/>
              </w:rPr>
            </w:pPr>
          </w:p>
        </w:tc>
        <w:tc>
          <w:tcPr>
            <w:tcW w:w="720" w:type="dxa"/>
            <w:vAlign w:val="bottom"/>
            <w:tcBorders>
              <w:top w:val="single" w:sz="8" w:color="1352DE"/>
            </w:tcBorders>
          </w:tcPr>
          <w:p>
            <w:pPr>
              <w:spacing w:after="0"/>
              <w:rPr>
                <w:sz w:val="18"/>
                <w:szCs w:val="18"/>
                <w:color w:val="auto"/>
              </w:rPr>
            </w:pPr>
          </w:p>
        </w:tc>
        <w:tc>
          <w:tcPr>
            <w:tcW w:w="420" w:type="dxa"/>
            <w:vAlign w:val="bottom"/>
            <w:tcBorders>
              <w:top w:val="single" w:sz="8" w:color="1352DE"/>
            </w:tcBorders>
          </w:tcPr>
          <w:p>
            <w:pPr>
              <w:spacing w:after="0"/>
              <w:rPr>
                <w:sz w:val="18"/>
                <w:szCs w:val="18"/>
                <w:color w:val="auto"/>
              </w:rPr>
            </w:pPr>
          </w:p>
        </w:tc>
        <w:tc>
          <w:tcPr>
            <w:tcW w:w="760" w:type="dxa"/>
            <w:vAlign w:val="bottom"/>
            <w:tcBorders>
              <w:top w:val="single" w:sz="8" w:color="1352DE"/>
            </w:tcBorders>
          </w:tcPr>
          <w:p>
            <w:pPr>
              <w:spacing w:after="0"/>
              <w:rPr>
                <w:sz w:val="18"/>
                <w:szCs w:val="18"/>
                <w:color w:val="auto"/>
              </w:rPr>
            </w:pPr>
          </w:p>
        </w:tc>
        <w:tc>
          <w:tcPr>
            <w:tcW w:w="440" w:type="dxa"/>
            <w:vAlign w:val="bottom"/>
            <w:tcBorders>
              <w:top w:val="single" w:sz="8" w:color="1352DE"/>
            </w:tcBorders>
          </w:tcPr>
          <w:p>
            <w:pPr>
              <w:spacing w:after="0"/>
              <w:rPr>
                <w:sz w:val="18"/>
                <w:szCs w:val="18"/>
                <w:color w:val="auto"/>
              </w:rPr>
            </w:pPr>
          </w:p>
        </w:tc>
        <w:tc>
          <w:tcPr>
            <w:tcW w:w="700" w:type="dxa"/>
            <w:vAlign w:val="bottom"/>
            <w:tcBorders>
              <w:top w:val="single" w:sz="8" w:color="1352DE"/>
            </w:tcBorders>
          </w:tcPr>
          <w:p>
            <w:pPr>
              <w:spacing w:after="0"/>
              <w:rPr>
                <w:sz w:val="18"/>
                <w:szCs w:val="18"/>
                <w:color w:val="auto"/>
              </w:rPr>
            </w:pPr>
          </w:p>
        </w:tc>
      </w:tr>
      <w:tr>
        <w:trPr>
          <w:trHeight w:val="200"/>
        </w:trPr>
        <w:tc>
          <w:tcPr>
            <w:tcW w:w="25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94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2026</w:t>
            </w:r>
          </w:p>
        </w:tc>
        <w:tc>
          <w:tcPr>
            <w:tcW w:w="48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48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2024</w:t>
            </w:r>
          </w:p>
        </w:tc>
        <w:tc>
          <w:tcPr>
            <w:tcW w:w="48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2023</w:t>
            </w:r>
          </w:p>
        </w:tc>
        <w:tc>
          <w:tcPr>
            <w:tcW w:w="48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2022</w:t>
            </w:r>
          </w:p>
        </w:tc>
        <w:tc>
          <w:tcPr>
            <w:tcW w:w="42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Prior</w:t>
            </w:r>
          </w:p>
        </w:tc>
        <w:tc>
          <w:tcPr>
            <w:tcW w:w="44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r>
      <w:tr>
        <w:trPr>
          <w:trHeight w:val="198"/>
        </w:trPr>
        <w:tc>
          <w:tcPr>
            <w:tcW w:w="2500" w:type="dxa"/>
            <w:vAlign w:val="bottom"/>
          </w:tcPr>
          <w:p>
            <w:pPr>
              <w:ind w:left="20"/>
              <w:spacing w:after="0"/>
              <w:rPr>
                <w:sz w:val="20"/>
                <w:szCs w:val="20"/>
                <w:color w:val="auto"/>
              </w:rPr>
            </w:pPr>
            <w:r>
              <w:rPr>
                <w:rFonts w:ascii="Arial" w:cs="Arial" w:eastAsia="Arial" w:hAnsi="Arial"/>
                <w:sz w:val="14"/>
                <w:szCs w:val="14"/>
                <w:color w:val="auto"/>
              </w:rPr>
              <w:t>Less than 65%</w:t>
            </w: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1252DE"/>
              </w:rPr>
              <w:t>106</w:t>
            </w:r>
          </w:p>
        </w:tc>
        <w:tc>
          <w:tcPr>
            <w:tcW w:w="480" w:type="dxa"/>
            <w:vAlign w:val="bottom"/>
          </w:tcPr>
          <w:p>
            <w:pPr>
              <w:jc w:val="right"/>
              <w:ind w:right="268"/>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1252DE"/>
              </w:rPr>
              <w:t>14</w:t>
            </w:r>
          </w:p>
        </w:tc>
        <w:tc>
          <w:tcPr>
            <w:tcW w:w="480" w:type="dxa"/>
            <w:vAlign w:val="bottom"/>
          </w:tcPr>
          <w:p>
            <w:pPr>
              <w:jc w:val="right"/>
              <w:ind w:right="24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1252DE"/>
              </w:rPr>
              <w:t>38</w:t>
            </w:r>
          </w:p>
        </w:tc>
        <w:tc>
          <w:tcPr>
            <w:tcW w:w="480" w:type="dxa"/>
            <w:vAlign w:val="bottom"/>
          </w:tcPr>
          <w:p>
            <w:pPr>
              <w:jc w:val="right"/>
              <w:ind w:right="268"/>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1252DE"/>
              </w:rPr>
              <w:t>150</w:t>
            </w:r>
          </w:p>
        </w:tc>
        <w:tc>
          <w:tcPr>
            <w:tcW w:w="480" w:type="dxa"/>
            <w:vAlign w:val="bottom"/>
          </w:tcPr>
          <w:p>
            <w:pPr>
              <w:jc w:val="right"/>
              <w:ind w:right="26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1252DE"/>
              </w:rPr>
              <w:t>79</w:t>
            </w:r>
          </w:p>
        </w:tc>
        <w:tc>
          <w:tcPr>
            <w:tcW w:w="420" w:type="dxa"/>
            <w:vAlign w:val="bottom"/>
          </w:tcPr>
          <w:p>
            <w:pPr>
              <w:jc w:val="right"/>
              <w:ind w:right="208"/>
              <w:spacing w:after="0"/>
              <w:rPr>
                <w:sz w:val="20"/>
                <w:szCs w:val="20"/>
                <w:color w:val="auto"/>
              </w:rPr>
            </w:pPr>
            <w:r>
              <w:rPr>
                <w:rFonts w:ascii="Arial" w:cs="Arial" w:eastAsia="Arial" w:hAnsi="Arial"/>
                <w:sz w:val="14"/>
                <w:szCs w:val="14"/>
                <w:b w:val="1"/>
                <w:bCs w:val="1"/>
                <w:color w:val="1252DE"/>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1252DE"/>
              </w:rPr>
              <w:t>971</w:t>
            </w:r>
          </w:p>
        </w:tc>
        <w:tc>
          <w:tcPr>
            <w:tcW w:w="440" w:type="dxa"/>
            <w:vAlign w:val="bottom"/>
          </w:tcPr>
          <w:p>
            <w:pPr>
              <w:jc w:val="right"/>
              <w:ind w:right="228"/>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1252DE"/>
              </w:rPr>
              <w:t>1,358</w:t>
            </w:r>
          </w:p>
        </w:tc>
      </w:tr>
      <w:tr>
        <w:trPr>
          <w:trHeight w:val="203"/>
        </w:trPr>
        <w:tc>
          <w:tcPr>
            <w:tcW w:w="2500" w:type="dxa"/>
            <w:vAlign w:val="bottom"/>
          </w:tcPr>
          <w:p>
            <w:pPr>
              <w:ind w:left="40"/>
              <w:spacing w:after="0"/>
              <w:rPr>
                <w:sz w:val="20"/>
                <w:szCs w:val="20"/>
                <w:color w:val="auto"/>
              </w:rPr>
            </w:pPr>
            <w:r>
              <w:rPr>
                <w:rFonts w:ascii="Arial" w:cs="Arial" w:eastAsia="Arial" w:hAnsi="Arial"/>
                <w:sz w:val="14"/>
                <w:szCs w:val="14"/>
                <w:color w:val="auto"/>
              </w:rPr>
              <w:t>65% to 80%</w:t>
            </w:r>
          </w:p>
        </w:tc>
        <w:tc>
          <w:tcPr>
            <w:tcW w:w="9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4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48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4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48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1252DE"/>
              </w:rPr>
              <w:t>7</w:t>
            </w:r>
          </w:p>
        </w:tc>
        <w:tc>
          <w:tcPr>
            <w:tcW w:w="4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1252DE"/>
              </w:rPr>
              <w:t>429</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1252DE"/>
              </w:rPr>
              <w:t>436</w:t>
            </w:r>
          </w:p>
        </w:tc>
      </w:tr>
      <w:tr>
        <w:trPr>
          <w:trHeight w:val="203"/>
        </w:trPr>
        <w:tc>
          <w:tcPr>
            <w:tcW w:w="25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Greater than 80%</w:t>
            </w:r>
          </w:p>
        </w:tc>
        <w:tc>
          <w:tcPr>
            <w:tcW w:w="94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20</w:t>
            </w:r>
          </w:p>
        </w:tc>
        <w:tc>
          <w:tcPr>
            <w:tcW w:w="48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48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48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5</w:t>
            </w:r>
          </w:p>
        </w:tc>
        <w:tc>
          <w:tcPr>
            <w:tcW w:w="48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23</w:t>
            </w:r>
          </w:p>
        </w:tc>
        <w:tc>
          <w:tcPr>
            <w:tcW w:w="42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254</w:t>
            </w:r>
          </w:p>
        </w:tc>
        <w:tc>
          <w:tcPr>
            <w:tcW w:w="44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302</w:t>
            </w:r>
          </w:p>
        </w:tc>
      </w:tr>
      <w:tr>
        <w:trPr>
          <w:trHeight w:val="196"/>
        </w:trPr>
        <w:tc>
          <w:tcPr>
            <w:tcW w:w="25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commercial mortgages</w:t>
            </w:r>
          </w:p>
        </w:tc>
        <w:tc>
          <w:tcPr>
            <w:tcW w:w="94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126</w:t>
            </w:r>
          </w:p>
        </w:tc>
        <w:tc>
          <w:tcPr>
            <w:tcW w:w="48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14</w:t>
            </w:r>
          </w:p>
        </w:tc>
        <w:tc>
          <w:tcPr>
            <w:tcW w:w="48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38</w:t>
            </w:r>
          </w:p>
        </w:tc>
        <w:tc>
          <w:tcPr>
            <w:tcW w:w="48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155</w:t>
            </w:r>
          </w:p>
        </w:tc>
        <w:tc>
          <w:tcPr>
            <w:tcW w:w="48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109</w:t>
            </w:r>
          </w:p>
        </w:tc>
        <w:tc>
          <w:tcPr>
            <w:tcW w:w="42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2DE"/>
              </w:rPr>
              <w:t>$</w:t>
            </w:r>
          </w:p>
        </w:tc>
        <w:tc>
          <w:tcPr>
            <w:tcW w:w="7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1,654</w:t>
            </w:r>
          </w:p>
        </w:tc>
        <w:tc>
          <w:tcPr>
            <w:tcW w:w="440" w:type="dxa"/>
            <w:vAlign w:val="bottom"/>
            <w:tcBorders>
              <w:bottom w:val="single" w:sz="8" w:color="1352DE"/>
            </w:tcBorders>
          </w:tcPr>
          <w:p>
            <w:pPr>
              <w:jc w:val="right"/>
              <w:ind w:right="228"/>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2,096</w:t>
            </w:r>
          </w:p>
        </w:tc>
      </w:tr>
      <w:tr>
        <w:trPr>
          <w:trHeight w:val="76"/>
        </w:trPr>
        <w:tc>
          <w:tcPr>
            <w:tcW w:w="2500" w:type="dxa"/>
            <w:vAlign w:val="bottom"/>
            <w:tcBorders>
              <w:bottom w:val="single" w:sz="8" w:color="1352DE"/>
            </w:tcBorders>
          </w:tcPr>
          <w:p>
            <w:pPr>
              <w:spacing w:after="0"/>
              <w:rPr>
                <w:sz w:val="6"/>
                <w:szCs w:val="6"/>
                <w:color w:val="auto"/>
              </w:rPr>
            </w:pPr>
          </w:p>
        </w:tc>
        <w:tc>
          <w:tcPr>
            <w:tcW w:w="940" w:type="dxa"/>
            <w:vAlign w:val="bottom"/>
            <w:tcBorders>
              <w:bottom w:val="single" w:sz="8" w:color="1352DE"/>
            </w:tcBorders>
          </w:tcPr>
          <w:p>
            <w:pPr>
              <w:spacing w:after="0"/>
              <w:rPr>
                <w:sz w:val="6"/>
                <w:szCs w:val="6"/>
                <w:color w:val="auto"/>
              </w:rPr>
            </w:pPr>
          </w:p>
        </w:tc>
        <w:tc>
          <w:tcPr>
            <w:tcW w:w="700" w:type="dxa"/>
            <w:vAlign w:val="bottom"/>
            <w:tcBorders>
              <w:bottom w:val="single" w:sz="8" w:color="1352DE"/>
            </w:tcBorders>
          </w:tcPr>
          <w:p>
            <w:pPr>
              <w:spacing w:after="0"/>
              <w:rPr>
                <w:sz w:val="6"/>
                <w:szCs w:val="6"/>
                <w:color w:val="auto"/>
              </w:rPr>
            </w:pPr>
          </w:p>
        </w:tc>
        <w:tc>
          <w:tcPr>
            <w:tcW w:w="480" w:type="dxa"/>
            <w:vAlign w:val="bottom"/>
            <w:tcBorders>
              <w:bottom w:val="single" w:sz="8" w:color="1352DE"/>
            </w:tcBorders>
          </w:tcPr>
          <w:p>
            <w:pPr>
              <w:spacing w:after="0"/>
              <w:rPr>
                <w:sz w:val="6"/>
                <w:szCs w:val="6"/>
                <w:color w:val="auto"/>
              </w:rPr>
            </w:pPr>
          </w:p>
        </w:tc>
        <w:tc>
          <w:tcPr>
            <w:tcW w:w="700" w:type="dxa"/>
            <w:vAlign w:val="bottom"/>
            <w:tcBorders>
              <w:bottom w:val="single" w:sz="8" w:color="1352DE"/>
            </w:tcBorders>
          </w:tcPr>
          <w:p>
            <w:pPr>
              <w:spacing w:after="0"/>
              <w:rPr>
                <w:sz w:val="6"/>
                <w:szCs w:val="6"/>
                <w:color w:val="auto"/>
              </w:rPr>
            </w:pPr>
          </w:p>
        </w:tc>
        <w:tc>
          <w:tcPr>
            <w:tcW w:w="480" w:type="dxa"/>
            <w:vAlign w:val="bottom"/>
            <w:tcBorders>
              <w:bottom w:val="single" w:sz="8" w:color="1352DE"/>
            </w:tcBorders>
          </w:tcPr>
          <w:p>
            <w:pPr>
              <w:spacing w:after="0"/>
              <w:rPr>
                <w:sz w:val="6"/>
                <w:szCs w:val="6"/>
                <w:color w:val="auto"/>
              </w:rPr>
            </w:pPr>
          </w:p>
        </w:tc>
        <w:tc>
          <w:tcPr>
            <w:tcW w:w="720" w:type="dxa"/>
            <w:vAlign w:val="bottom"/>
            <w:tcBorders>
              <w:bottom w:val="single" w:sz="8" w:color="1352DE"/>
            </w:tcBorders>
          </w:tcPr>
          <w:p>
            <w:pPr>
              <w:spacing w:after="0"/>
              <w:rPr>
                <w:sz w:val="6"/>
                <w:szCs w:val="6"/>
                <w:color w:val="auto"/>
              </w:rPr>
            </w:pPr>
          </w:p>
        </w:tc>
        <w:tc>
          <w:tcPr>
            <w:tcW w:w="480" w:type="dxa"/>
            <w:vAlign w:val="bottom"/>
            <w:tcBorders>
              <w:bottom w:val="single" w:sz="8" w:color="1352DE"/>
            </w:tcBorders>
          </w:tcPr>
          <w:p>
            <w:pPr>
              <w:spacing w:after="0"/>
              <w:rPr>
                <w:sz w:val="6"/>
                <w:szCs w:val="6"/>
                <w:color w:val="auto"/>
              </w:rPr>
            </w:pPr>
          </w:p>
        </w:tc>
        <w:tc>
          <w:tcPr>
            <w:tcW w:w="700" w:type="dxa"/>
            <w:vAlign w:val="bottom"/>
            <w:tcBorders>
              <w:bottom w:val="single" w:sz="8" w:color="1352DE"/>
            </w:tcBorders>
          </w:tcPr>
          <w:p>
            <w:pPr>
              <w:spacing w:after="0"/>
              <w:rPr>
                <w:sz w:val="6"/>
                <w:szCs w:val="6"/>
                <w:color w:val="auto"/>
              </w:rPr>
            </w:pPr>
          </w:p>
        </w:tc>
        <w:tc>
          <w:tcPr>
            <w:tcW w:w="480" w:type="dxa"/>
            <w:vAlign w:val="bottom"/>
            <w:tcBorders>
              <w:bottom w:val="single" w:sz="8" w:color="1352DE"/>
            </w:tcBorders>
          </w:tcPr>
          <w:p>
            <w:pPr>
              <w:spacing w:after="0"/>
              <w:rPr>
                <w:sz w:val="6"/>
                <w:szCs w:val="6"/>
                <w:color w:val="auto"/>
              </w:rPr>
            </w:pPr>
          </w:p>
        </w:tc>
        <w:tc>
          <w:tcPr>
            <w:tcW w:w="720" w:type="dxa"/>
            <w:vAlign w:val="bottom"/>
            <w:tcBorders>
              <w:bottom w:val="single" w:sz="8" w:color="1352DE"/>
            </w:tcBorders>
          </w:tcPr>
          <w:p>
            <w:pPr>
              <w:spacing w:after="0"/>
              <w:rPr>
                <w:sz w:val="6"/>
                <w:szCs w:val="6"/>
                <w:color w:val="auto"/>
              </w:rPr>
            </w:pPr>
          </w:p>
        </w:tc>
        <w:tc>
          <w:tcPr>
            <w:tcW w:w="420" w:type="dxa"/>
            <w:vAlign w:val="bottom"/>
            <w:tcBorders>
              <w:bottom w:val="single" w:sz="8" w:color="1352DE"/>
            </w:tcBorders>
          </w:tcPr>
          <w:p>
            <w:pPr>
              <w:spacing w:after="0"/>
              <w:rPr>
                <w:sz w:val="6"/>
                <w:szCs w:val="6"/>
                <w:color w:val="auto"/>
              </w:rPr>
            </w:pPr>
          </w:p>
        </w:tc>
        <w:tc>
          <w:tcPr>
            <w:tcW w:w="760" w:type="dxa"/>
            <w:vAlign w:val="bottom"/>
            <w:tcBorders>
              <w:bottom w:val="single" w:sz="8" w:color="1352DE"/>
            </w:tcBorders>
          </w:tcPr>
          <w:p>
            <w:pPr>
              <w:spacing w:after="0"/>
              <w:rPr>
                <w:sz w:val="6"/>
                <w:szCs w:val="6"/>
                <w:color w:val="auto"/>
              </w:rPr>
            </w:pPr>
          </w:p>
        </w:tc>
        <w:tc>
          <w:tcPr>
            <w:tcW w:w="440" w:type="dxa"/>
            <w:vAlign w:val="bottom"/>
            <w:tcBorders>
              <w:bottom w:val="single" w:sz="8" w:color="1352DE"/>
            </w:tcBorders>
          </w:tcPr>
          <w:p>
            <w:pPr>
              <w:spacing w:after="0"/>
              <w:rPr>
                <w:sz w:val="6"/>
                <w:szCs w:val="6"/>
                <w:color w:val="auto"/>
              </w:rPr>
            </w:pPr>
          </w:p>
        </w:tc>
        <w:tc>
          <w:tcPr>
            <w:tcW w:w="700" w:type="dxa"/>
            <w:vAlign w:val="bottom"/>
            <w:tcBorders>
              <w:bottom w:val="single" w:sz="8" w:color="1352DE"/>
            </w:tcBorders>
          </w:tcPr>
          <w:p>
            <w:pPr>
              <w:spacing w:after="0"/>
              <w:rPr>
                <w:sz w:val="6"/>
                <w:szCs w:val="6"/>
                <w:color w:val="auto"/>
              </w:rPr>
            </w:pPr>
          </w:p>
        </w:tc>
      </w:tr>
      <w:tr>
        <w:trPr>
          <w:trHeight w:val="188"/>
        </w:trPr>
        <w:tc>
          <w:tcPr>
            <w:tcW w:w="2500" w:type="dxa"/>
            <w:vAlign w:val="bottom"/>
          </w:tcPr>
          <w:p>
            <w:pPr>
              <w:ind w:left="20"/>
              <w:spacing w:after="0"/>
              <w:rPr>
                <w:sz w:val="20"/>
                <w:szCs w:val="20"/>
                <w:color w:val="auto"/>
              </w:rPr>
            </w:pPr>
            <w:r>
              <w:rPr>
                <w:rFonts w:ascii="Arial" w:cs="Arial" w:eastAsia="Arial" w:hAnsi="Arial"/>
                <w:sz w:val="14"/>
                <w:szCs w:val="14"/>
                <w:color w:val="1252DE"/>
              </w:rPr>
              <w:t>December 31, 2025</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6"/>
        </w:trPr>
        <w:tc>
          <w:tcPr>
            <w:tcW w:w="25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94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48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2024</w:t>
            </w:r>
          </w:p>
        </w:tc>
        <w:tc>
          <w:tcPr>
            <w:tcW w:w="48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2023</w:t>
            </w:r>
          </w:p>
        </w:tc>
        <w:tc>
          <w:tcPr>
            <w:tcW w:w="48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2022</w:t>
            </w:r>
          </w:p>
        </w:tc>
        <w:tc>
          <w:tcPr>
            <w:tcW w:w="48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2021</w:t>
            </w:r>
          </w:p>
        </w:tc>
        <w:tc>
          <w:tcPr>
            <w:tcW w:w="42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Prior</w:t>
            </w:r>
          </w:p>
        </w:tc>
        <w:tc>
          <w:tcPr>
            <w:tcW w:w="44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r>
      <w:tr>
        <w:trPr>
          <w:trHeight w:val="192"/>
        </w:trPr>
        <w:tc>
          <w:tcPr>
            <w:tcW w:w="2500" w:type="dxa"/>
            <w:vAlign w:val="bottom"/>
          </w:tcPr>
          <w:p>
            <w:pPr>
              <w:ind w:left="20"/>
              <w:spacing w:after="0"/>
              <w:rPr>
                <w:sz w:val="20"/>
                <w:szCs w:val="20"/>
                <w:color w:val="auto"/>
              </w:rPr>
            </w:pPr>
            <w:r>
              <w:rPr>
                <w:rFonts w:ascii="Arial" w:cs="Arial" w:eastAsia="Arial" w:hAnsi="Arial"/>
                <w:sz w:val="14"/>
                <w:szCs w:val="14"/>
                <w:color w:val="auto"/>
              </w:rPr>
              <w:t>Less than 65%</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808</w:t>
            </w:r>
          </w:p>
        </w:tc>
        <w:tc>
          <w:tcPr>
            <w:tcW w:w="4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1,635</w:t>
            </w:r>
          </w:p>
        </w:tc>
      </w:tr>
      <w:tr>
        <w:trPr>
          <w:trHeight w:val="203"/>
        </w:trPr>
        <w:tc>
          <w:tcPr>
            <w:tcW w:w="2500" w:type="dxa"/>
            <w:vAlign w:val="bottom"/>
          </w:tcPr>
          <w:p>
            <w:pPr>
              <w:ind w:left="40"/>
              <w:spacing w:after="0"/>
              <w:rPr>
                <w:sz w:val="20"/>
                <w:szCs w:val="20"/>
                <w:color w:val="auto"/>
              </w:rPr>
            </w:pPr>
            <w:r>
              <w:rPr>
                <w:rFonts w:ascii="Arial" w:cs="Arial" w:eastAsia="Arial" w:hAnsi="Arial"/>
                <w:sz w:val="14"/>
                <w:szCs w:val="14"/>
                <w:color w:val="auto"/>
              </w:rPr>
              <w:t>65% to 80%</w:t>
            </w:r>
          </w:p>
        </w:tc>
        <w:tc>
          <w:tcPr>
            <w:tcW w:w="9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4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4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463</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551</w:t>
            </w:r>
          </w:p>
        </w:tc>
      </w:tr>
      <w:tr>
        <w:trPr>
          <w:trHeight w:val="207"/>
        </w:trPr>
        <w:tc>
          <w:tcPr>
            <w:tcW w:w="25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Greater than 80%</w:t>
            </w:r>
          </w:p>
        </w:tc>
        <w:tc>
          <w:tcPr>
            <w:tcW w:w="94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5</w:t>
            </w:r>
          </w:p>
        </w:tc>
        <w:tc>
          <w:tcPr>
            <w:tcW w:w="48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23</w:t>
            </w:r>
          </w:p>
        </w:tc>
        <w:tc>
          <w:tcPr>
            <w:tcW w:w="48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47</w:t>
            </w:r>
          </w:p>
        </w:tc>
        <w:tc>
          <w:tcPr>
            <w:tcW w:w="42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234</w:t>
            </w:r>
          </w:p>
        </w:tc>
        <w:tc>
          <w:tcPr>
            <w:tcW w:w="44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309</w:t>
            </w:r>
          </w:p>
        </w:tc>
      </w:tr>
      <w:tr>
        <w:trPr>
          <w:trHeight w:val="199"/>
        </w:trPr>
        <w:tc>
          <w:tcPr>
            <w:tcW w:w="25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commercial mortgages</w:t>
            </w:r>
          </w:p>
        </w:tc>
        <w:tc>
          <w:tcPr>
            <w:tcW w:w="94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14</w:t>
            </w:r>
          </w:p>
        </w:tc>
        <w:tc>
          <w:tcPr>
            <w:tcW w:w="48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38</w:t>
            </w:r>
          </w:p>
        </w:tc>
        <w:tc>
          <w:tcPr>
            <w:tcW w:w="48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229</w:t>
            </w:r>
          </w:p>
        </w:tc>
        <w:tc>
          <w:tcPr>
            <w:tcW w:w="48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117</w:t>
            </w:r>
          </w:p>
        </w:tc>
        <w:tc>
          <w:tcPr>
            <w:tcW w:w="480" w:type="dxa"/>
            <w:vAlign w:val="bottom"/>
            <w:tcBorders>
              <w:bottom w:val="single" w:sz="8" w:color="1352DE"/>
            </w:tcBorders>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592</w:t>
            </w:r>
          </w:p>
        </w:tc>
        <w:tc>
          <w:tcPr>
            <w:tcW w:w="42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1,505</w:t>
            </w:r>
          </w:p>
        </w:tc>
        <w:tc>
          <w:tcPr>
            <w:tcW w:w="440" w:type="dxa"/>
            <w:vAlign w:val="bottom"/>
            <w:tcBorders>
              <w:bottom w:val="single" w:sz="8" w:color="1352DE"/>
            </w:tcBorders>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2,495</w:t>
            </w:r>
          </w:p>
        </w:tc>
      </w:tr>
    </w:tbl>
    <w:p>
      <w:pPr>
        <w:spacing w:after="0" w:line="144" w:lineRule="exact"/>
        <w:rPr>
          <w:sz w:val="20"/>
          <w:szCs w:val="20"/>
          <w:color w:val="auto"/>
        </w:rPr>
      </w:pPr>
    </w:p>
    <w:p>
      <w:pPr>
        <w:ind w:left="220" w:right="220" w:hanging="212"/>
        <w:spacing w:after="0" w:line="273" w:lineRule="auto"/>
        <w:tabs>
          <w:tab w:leader="none" w:pos="2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loan-to-value ratio compares the current unpaid principal balance of the loan to the estimated fair value of the underlying property collateralizing the loan. Our weighted average loan-to-value ratio was 66 percent and 71 percent at September 30, 2026 and December 31, 2025, respectively. The loan-to-value ratios have been updated within the last three months to reflect the current carrying values of the loans. We update the valuations of collateral properties by obtaining independent appraisals, generally at least once per year.</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25</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 |</w:t>
      </w:r>
      <w:r>
        <w:rPr>
          <w:rFonts w:ascii="Arial" w:cs="Arial" w:eastAsia="Arial" w:hAnsi="Arial"/>
          <w:sz w:val="13"/>
          <w:szCs w:val="13"/>
          <w:color w:val="auto"/>
        </w:rPr>
        <w:t xml:space="preserve"> </w:t>
      </w:r>
      <w:r>
        <w:rPr>
          <w:rFonts w:ascii="Arial" w:cs="Arial" w:eastAsia="Arial" w:hAnsi="Arial"/>
          <w:sz w:val="13"/>
          <w:szCs w:val="13"/>
          <w:b w:val="1"/>
          <w:bCs w:val="1"/>
          <w:color w:val="001770"/>
        </w:rPr>
        <w:t>6. Lending Activities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supplementary credit quality information related to commercial mortgages: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20" w:type="dxa"/>
            <w:vAlign w:val="bottom"/>
            <w:tcBorders>
              <w:top w:val="single" w:sz="8" w:color="1352DE"/>
            </w:tcBorders>
          </w:tcPr>
          <w:p>
            <w:pPr>
              <w:spacing w:after="0"/>
              <w:rPr>
                <w:sz w:val="14"/>
                <w:szCs w:val="14"/>
                <w:color w:val="auto"/>
              </w:rPr>
            </w:pPr>
          </w:p>
        </w:tc>
        <w:tc>
          <w:tcPr>
            <w:tcW w:w="760" w:type="dxa"/>
            <w:vAlign w:val="bottom"/>
            <w:tcBorders>
              <w:top w:val="single" w:sz="8" w:color="1352DE"/>
            </w:tcBorders>
          </w:tcPr>
          <w:p>
            <w:pPr>
              <w:jc w:val="right"/>
              <w:ind w:right="9"/>
              <w:spacing w:after="0"/>
              <w:rPr>
                <w:sz w:val="20"/>
                <w:szCs w:val="20"/>
                <w:color w:val="auto"/>
              </w:rPr>
            </w:pPr>
            <w:r>
              <w:rPr>
                <w:rFonts w:ascii="Arial" w:cs="Arial" w:eastAsia="Arial" w:hAnsi="Arial"/>
                <w:sz w:val="14"/>
                <w:szCs w:val="14"/>
                <w:color w:val="1252DE"/>
              </w:rPr>
              <w:t>Number</w:t>
            </w:r>
          </w:p>
        </w:tc>
        <w:tc>
          <w:tcPr>
            <w:tcW w:w="140" w:type="dxa"/>
            <w:vAlign w:val="bottom"/>
            <w:tcBorders>
              <w:top w:val="single" w:sz="8" w:color="1352DE"/>
            </w:tcBorders>
          </w:tcPr>
          <w:p>
            <w:pPr>
              <w:spacing w:after="0"/>
              <w:rPr>
                <w:sz w:val="14"/>
                <w:szCs w:val="14"/>
                <w:color w:val="auto"/>
              </w:rPr>
            </w:pPr>
          </w:p>
        </w:tc>
        <w:tc>
          <w:tcPr>
            <w:tcW w:w="120" w:type="dxa"/>
            <w:vAlign w:val="bottom"/>
            <w:tcBorders>
              <w:top w:val="single" w:sz="8" w:color="1352DE"/>
            </w:tcBorders>
          </w:tcPr>
          <w:p>
            <w:pPr>
              <w:spacing w:after="0"/>
              <w:rPr>
                <w:sz w:val="14"/>
                <w:szCs w:val="14"/>
                <w:color w:val="auto"/>
              </w:rPr>
            </w:pPr>
          </w:p>
        </w:tc>
        <w:tc>
          <w:tcPr>
            <w:tcW w:w="900" w:type="dxa"/>
            <w:vAlign w:val="bottom"/>
            <w:tcBorders>
              <w:top w:val="single" w:sz="8" w:color="1352DE"/>
            </w:tcBorders>
          </w:tcPr>
          <w:p>
            <w:pPr>
              <w:spacing w:after="0"/>
              <w:rPr>
                <w:sz w:val="14"/>
                <w:szCs w:val="14"/>
                <w:color w:val="auto"/>
              </w:rPr>
            </w:pPr>
          </w:p>
        </w:tc>
        <w:tc>
          <w:tcPr>
            <w:tcW w:w="340" w:type="dxa"/>
            <w:vAlign w:val="bottom"/>
            <w:tcBorders>
              <w:top w:val="single" w:sz="8" w:color="1352DE"/>
            </w:tcBorders>
          </w:tcPr>
          <w:p>
            <w:pPr>
              <w:spacing w:after="0"/>
              <w:rPr>
                <w:sz w:val="14"/>
                <w:szCs w:val="14"/>
                <w:color w:val="auto"/>
              </w:rPr>
            </w:pPr>
          </w:p>
        </w:tc>
        <w:tc>
          <w:tcPr>
            <w:tcW w:w="660" w:type="dxa"/>
            <w:vAlign w:val="bottom"/>
            <w:tcBorders>
              <w:top w:val="single" w:sz="8" w:color="1352DE"/>
            </w:tcBorders>
          </w:tcPr>
          <w:p>
            <w:pPr>
              <w:spacing w:after="0"/>
              <w:rPr>
                <w:sz w:val="14"/>
                <w:szCs w:val="14"/>
                <w:color w:val="auto"/>
              </w:rPr>
            </w:pPr>
          </w:p>
        </w:tc>
        <w:tc>
          <w:tcPr>
            <w:tcW w:w="320" w:type="dxa"/>
            <w:vAlign w:val="bottom"/>
            <w:tcBorders>
              <w:top w:val="single" w:sz="8" w:color="1352DE"/>
            </w:tcBorders>
          </w:tcPr>
          <w:p>
            <w:pPr>
              <w:spacing w:after="0"/>
              <w:rPr>
                <w:sz w:val="14"/>
                <w:szCs w:val="14"/>
                <w:color w:val="auto"/>
              </w:rPr>
            </w:pPr>
          </w:p>
        </w:tc>
        <w:tc>
          <w:tcPr>
            <w:tcW w:w="860" w:type="dxa"/>
            <w:vAlign w:val="bottom"/>
            <w:tcBorders>
              <w:top w:val="single" w:sz="8" w:color="1352DE"/>
            </w:tcBorders>
            <w:gridSpan w:val="2"/>
            <w:vMerge w:val="restart"/>
          </w:tcPr>
          <w:p>
            <w:pPr>
              <w:jc w:val="right"/>
              <w:ind w:right="28"/>
              <w:spacing w:after="0"/>
              <w:rPr>
                <w:sz w:val="20"/>
                <w:szCs w:val="20"/>
                <w:color w:val="auto"/>
              </w:rPr>
            </w:pPr>
            <w:r>
              <w:rPr>
                <w:rFonts w:ascii="Arial" w:cs="Arial" w:eastAsia="Arial" w:hAnsi="Arial"/>
                <w:sz w:val="14"/>
                <w:szCs w:val="14"/>
                <w:color w:val="1252DE"/>
              </w:rPr>
              <w:t>Class</w:t>
            </w:r>
          </w:p>
        </w:tc>
        <w:tc>
          <w:tcPr>
            <w:tcW w:w="740" w:type="dxa"/>
            <w:vAlign w:val="bottom"/>
            <w:tcBorders>
              <w:top w:val="single" w:sz="8" w:color="1352DE"/>
            </w:tcBorders>
          </w:tcPr>
          <w:p>
            <w:pPr>
              <w:spacing w:after="0"/>
              <w:rPr>
                <w:sz w:val="14"/>
                <w:szCs w:val="14"/>
                <w:color w:val="auto"/>
              </w:rPr>
            </w:pPr>
          </w:p>
        </w:tc>
        <w:tc>
          <w:tcPr>
            <w:tcW w:w="320" w:type="dxa"/>
            <w:vAlign w:val="bottom"/>
            <w:tcBorders>
              <w:top w:val="single" w:sz="8" w:color="1352DE"/>
            </w:tcBorders>
          </w:tcPr>
          <w:p>
            <w:pPr>
              <w:spacing w:after="0"/>
              <w:rPr>
                <w:sz w:val="14"/>
                <w:szCs w:val="14"/>
                <w:color w:val="auto"/>
              </w:rPr>
            </w:pPr>
          </w:p>
        </w:tc>
        <w:tc>
          <w:tcPr>
            <w:tcW w:w="560" w:type="dxa"/>
            <w:vAlign w:val="bottom"/>
            <w:tcBorders>
              <w:top w:val="single" w:sz="8" w:color="1352DE"/>
            </w:tcBorders>
          </w:tcPr>
          <w:p>
            <w:pPr>
              <w:spacing w:after="0"/>
              <w:rPr>
                <w:sz w:val="14"/>
                <w:szCs w:val="14"/>
                <w:color w:val="auto"/>
              </w:rPr>
            </w:pPr>
          </w:p>
        </w:tc>
        <w:tc>
          <w:tcPr>
            <w:tcW w:w="360" w:type="dxa"/>
            <w:vAlign w:val="bottom"/>
            <w:tcBorders>
              <w:top w:val="single" w:sz="8" w:color="1352DE"/>
            </w:tcBorders>
          </w:tcPr>
          <w:p>
            <w:pPr>
              <w:spacing w:after="0"/>
              <w:rPr>
                <w:sz w:val="14"/>
                <w:szCs w:val="14"/>
                <w:color w:val="auto"/>
              </w:rPr>
            </w:pPr>
          </w:p>
        </w:tc>
        <w:tc>
          <w:tcPr>
            <w:tcW w:w="640" w:type="dxa"/>
            <w:vAlign w:val="bottom"/>
            <w:tcBorders>
              <w:top w:val="single" w:sz="8" w:color="1352DE"/>
            </w:tcBorders>
          </w:tcPr>
          <w:p>
            <w:pPr>
              <w:spacing w:after="0"/>
              <w:rPr>
                <w:sz w:val="14"/>
                <w:szCs w:val="14"/>
                <w:color w:val="auto"/>
              </w:rPr>
            </w:pPr>
          </w:p>
        </w:tc>
        <w:tc>
          <w:tcPr>
            <w:tcW w:w="360" w:type="dxa"/>
            <w:vAlign w:val="bottom"/>
            <w:tcBorders>
              <w:top w:val="single" w:sz="8" w:color="1352DE"/>
            </w:tcBorders>
          </w:tcPr>
          <w:p>
            <w:pPr>
              <w:spacing w:after="0"/>
              <w:rPr>
                <w:sz w:val="14"/>
                <w:szCs w:val="14"/>
                <w:color w:val="auto"/>
              </w:rPr>
            </w:pPr>
          </w:p>
        </w:tc>
        <w:tc>
          <w:tcPr>
            <w:tcW w:w="700" w:type="dxa"/>
            <w:vAlign w:val="bottom"/>
            <w:tcBorders>
              <w:top w:val="single" w:sz="8" w:color="1352DE"/>
            </w:tcBorders>
          </w:tcPr>
          <w:p>
            <w:pPr>
              <w:spacing w:after="0"/>
              <w:rPr>
                <w:sz w:val="14"/>
                <w:szCs w:val="14"/>
                <w:color w:val="auto"/>
              </w:rPr>
            </w:pPr>
          </w:p>
        </w:tc>
        <w:tc>
          <w:tcPr>
            <w:tcW w:w="64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1252DE"/>
              </w:rPr>
              <w:t>Percent</w:t>
            </w:r>
          </w:p>
        </w:tc>
        <w:tc>
          <w:tcPr>
            <w:tcW w:w="180" w:type="dxa"/>
            <w:vAlign w:val="bottom"/>
            <w:tcBorders>
              <w:top w:val="single" w:sz="8" w:color="1352DE"/>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620" w:type="dxa"/>
            <w:vAlign w:val="bottom"/>
          </w:tcPr>
          <w:p>
            <w:pPr>
              <w:spacing w:after="0"/>
              <w:rPr>
                <w:sz w:val="9"/>
                <w:szCs w:val="9"/>
                <w:color w:val="auto"/>
              </w:rPr>
            </w:pPr>
          </w:p>
        </w:tc>
        <w:tc>
          <w:tcPr>
            <w:tcW w:w="760" w:type="dxa"/>
            <w:vAlign w:val="bottom"/>
          </w:tcPr>
          <w:p>
            <w:pPr>
              <w:jc w:val="right"/>
              <w:ind w:right="9"/>
              <w:spacing w:after="0" w:line="113" w:lineRule="exact"/>
              <w:rPr>
                <w:sz w:val="20"/>
                <w:szCs w:val="20"/>
                <w:color w:val="auto"/>
              </w:rPr>
            </w:pPr>
            <w:r>
              <w:rPr>
                <w:rFonts w:ascii="Arial" w:cs="Arial" w:eastAsia="Arial" w:hAnsi="Arial"/>
                <w:sz w:val="13"/>
                <w:szCs w:val="13"/>
                <w:color w:val="1252DE"/>
              </w:rPr>
              <w:t>of</w:t>
            </w:r>
          </w:p>
        </w:tc>
        <w:tc>
          <w:tcPr>
            <w:tcW w:w="140" w:type="dxa"/>
            <w:vAlign w:val="bottom"/>
          </w:tcPr>
          <w:p>
            <w:pPr>
              <w:spacing w:after="0"/>
              <w:rPr>
                <w:sz w:val="9"/>
                <w:szCs w:val="9"/>
                <w:color w:val="auto"/>
              </w:rPr>
            </w:pPr>
          </w:p>
        </w:tc>
        <w:tc>
          <w:tcPr>
            <w:tcW w:w="120" w:type="dxa"/>
            <w:vAlign w:val="bottom"/>
            <w:tcBorders>
              <w:bottom w:val="single" w:sz="8" w:color="1352DE"/>
            </w:tcBorders>
          </w:tcPr>
          <w:p>
            <w:pPr>
              <w:spacing w:after="0"/>
              <w:rPr>
                <w:sz w:val="9"/>
                <w:szCs w:val="9"/>
                <w:color w:val="auto"/>
              </w:rPr>
            </w:pPr>
          </w:p>
        </w:tc>
        <w:tc>
          <w:tcPr>
            <w:tcW w:w="900" w:type="dxa"/>
            <w:vAlign w:val="bottom"/>
            <w:tcBorders>
              <w:bottom w:val="single" w:sz="8" w:color="1352DE"/>
            </w:tcBorders>
          </w:tcPr>
          <w:p>
            <w:pPr>
              <w:spacing w:after="0"/>
              <w:rPr>
                <w:sz w:val="9"/>
                <w:szCs w:val="9"/>
                <w:color w:val="auto"/>
              </w:rPr>
            </w:pPr>
          </w:p>
        </w:tc>
        <w:tc>
          <w:tcPr>
            <w:tcW w:w="340" w:type="dxa"/>
            <w:vAlign w:val="bottom"/>
            <w:tcBorders>
              <w:bottom w:val="single" w:sz="8" w:color="1352DE"/>
            </w:tcBorders>
          </w:tcPr>
          <w:p>
            <w:pPr>
              <w:spacing w:after="0"/>
              <w:rPr>
                <w:sz w:val="9"/>
                <w:szCs w:val="9"/>
                <w:color w:val="auto"/>
              </w:rPr>
            </w:pPr>
          </w:p>
        </w:tc>
        <w:tc>
          <w:tcPr>
            <w:tcW w:w="660" w:type="dxa"/>
            <w:vAlign w:val="bottom"/>
            <w:tcBorders>
              <w:bottom w:val="single" w:sz="8" w:color="1352DE"/>
            </w:tcBorders>
          </w:tcPr>
          <w:p>
            <w:pPr>
              <w:spacing w:after="0"/>
              <w:rPr>
                <w:sz w:val="9"/>
                <w:szCs w:val="9"/>
                <w:color w:val="auto"/>
              </w:rPr>
            </w:pPr>
          </w:p>
        </w:tc>
        <w:tc>
          <w:tcPr>
            <w:tcW w:w="320" w:type="dxa"/>
            <w:vAlign w:val="bottom"/>
            <w:tcBorders>
              <w:bottom w:val="single" w:sz="8" w:color="1352DE"/>
            </w:tcBorders>
          </w:tcPr>
          <w:p>
            <w:pPr>
              <w:spacing w:after="0"/>
              <w:rPr>
                <w:sz w:val="9"/>
                <w:szCs w:val="9"/>
                <w:color w:val="auto"/>
              </w:rPr>
            </w:pPr>
          </w:p>
        </w:tc>
        <w:tc>
          <w:tcPr>
            <w:tcW w:w="860" w:type="dxa"/>
            <w:vAlign w:val="bottom"/>
            <w:tcBorders>
              <w:bottom w:val="single" w:sz="8" w:color="1352DE"/>
            </w:tcBorders>
            <w:gridSpan w:val="2"/>
            <w:vMerge w:val="continue"/>
          </w:tcPr>
          <w:p>
            <w:pPr>
              <w:spacing w:after="0"/>
              <w:rPr>
                <w:sz w:val="9"/>
                <w:szCs w:val="9"/>
                <w:color w:val="auto"/>
              </w:rPr>
            </w:pPr>
          </w:p>
        </w:tc>
        <w:tc>
          <w:tcPr>
            <w:tcW w:w="740" w:type="dxa"/>
            <w:vAlign w:val="bottom"/>
            <w:tcBorders>
              <w:bottom w:val="single" w:sz="8" w:color="1352DE"/>
            </w:tcBorders>
          </w:tcPr>
          <w:p>
            <w:pPr>
              <w:spacing w:after="0"/>
              <w:rPr>
                <w:sz w:val="9"/>
                <w:szCs w:val="9"/>
                <w:color w:val="auto"/>
              </w:rPr>
            </w:pPr>
          </w:p>
        </w:tc>
        <w:tc>
          <w:tcPr>
            <w:tcW w:w="320" w:type="dxa"/>
            <w:vAlign w:val="bottom"/>
            <w:tcBorders>
              <w:bottom w:val="single" w:sz="8" w:color="1352DE"/>
            </w:tcBorders>
          </w:tcPr>
          <w:p>
            <w:pPr>
              <w:spacing w:after="0"/>
              <w:rPr>
                <w:sz w:val="9"/>
                <w:szCs w:val="9"/>
                <w:color w:val="auto"/>
              </w:rPr>
            </w:pPr>
          </w:p>
        </w:tc>
        <w:tc>
          <w:tcPr>
            <w:tcW w:w="560" w:type="dxa"/>
            <w:vAlign w:val="bottom"/>
            <w:tcBorders>
              <w:bottom w:val="single" w:sz="8" w:color="1352DE"/>
            </w:tcBorders>
          </w:tcPr>
          <w:p>
            <w:pPr>
              <w:spacing w:after="0"/>
              <w:rPr>
                <w:sz w:val="9"/>
                <w:szCs w:val="9"/>
                <w:color w:val="auto"/>
              </w:rPr>
            </w:pPr>
          </w:p>
        </w:tc>
        <w:tc>
          <w:tcPr>
            <w:tcW w:w="360" w:type="dxa"/>
            <w:vAlign w:val="bottom"/>
            <w:tcBorders>
              <w:bottom w:val="single" w:sz="8" w:color="1352DE"/>
            </w:tcBorders>
          </w:tcPr>
          <w:p>
            <w:pPr>
              <w:spacing w:after="0"/>
              <w:rPr>
                <w:sz w:val="9"/>
                <w:szCs w:val="9"/>
                <w:color w:val="auto"/>
              </w:rPr>
            </w:pPr>
          </w:p>
        </w:tc>
        <w:tc>
          <w:tcPr>
            <w:tcW w:w="640" w:type="dxa"/>
            <w:vAlign w:val="bottom"/>
            <w:tcBorders>
              <w:bottom w:val="single" w:sz="8" w:color="1352DE"/>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3"/>
                <w:szCs w:val="13"/>
                <w:color w:val="1252DE"/>
              </w:rPr>
              <w:t>of</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6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(dollars in millions)</w:t>
            </w: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color w:val="1252DE"/>
              </w:rPr>
              <w:t>Loans</w:t>
            </w:r>
          </w:p>
        </w:tc>
        <w:tc>
          <w:tcPr>
            <w:tcW w:w="140" w:type="dxa"/>
            <w:vAlign w:val="bottom"/>
            <w:tcBorders>
              <w:bottom w:val="single" w:sz="8" w:color="1352DE"/>
            </w:tcBorders>
          </w:tcPr>
          <w:p>
            <w:pPr>
              <w:spacing w:after="0"/>
              <w:rPr>
                <w:sz w:val="17"/>
                <w:szCs w:val="17"/>
                <w:color w:val="auto"/>
              </w:rPr>
            </w:pPr>
          </w:p>
        </w:tc>
        <w:tc>
          <w:tcPr>
            <w:tcW w:w="12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Apartments</w:t>
            </w:r>
          </w:p>
        </w:tc>
        <w:tc>
          <w:tcPr>
            <w:tcW w:w="340" w:type="dxa"/>
            <w:vAlign w:val="bottom"/>
            <w:tcBorders>
              <w:bottom w:val="single" w:sz="8" w:color="1352DE"/>
            </w:tcBorders>
          </w:tcPr>
          <w:p>
            <w:pPr>
              <w:spacing w:after="0"/>
              <w:rPr>
                <w:sz w:val="17"/>
                <w:szCs w:val="17"/>
                <w:color w:val="auto"/>
              </w:rPr>
            </w:pPr>
          </w:p>
        </w:tc>
        <w:tc>
          <w:tcPr>
            <w:tcW w:w="6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Offices</w:t>
            </w:r>
          </w:p>
        </w:tc>
        <w:tc>
          <w:tcPr>
            <w:tcW w:w="32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Retail</w:t>
            </w:r>
          </w:p>
        </w:tc>
        <w:tc>
          <w:tcPr>
            <w:tcW w:w="28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Industrial</w:t>
            </w:r>
          </w:p>
        </w:tc>
        <w:tc>
          <w:tcPr>
            <w:tcW w:w="320" w:type="dxa"/>
            <w:vAlign w:val="bottom"/>
            <w:tcBorders>
              <w:bottom w:val="single" w:sz="8" w:color="1352DE"/>
            </w:tcBorders>
          </w:tcPr>
          <w:p>
            <w:pPr>
              <w:spacing w:after="0"/>
              <w:rPr>
                <w:sz w:val="17"/>
                <w:szCs w:val="17"/>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Hotel</w:t>
            </w:r>
          </w:p>
        </w:tc>
        <w:tc>
          <w:tcPr>
            <w:tcW w:w="36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Others</w:t>
            </w:r>
          </w:p>
        </w:tc>
        <w:tc>
          <w:tcPr>
            <w:tcW w:w="36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1252DE"/>
              </w:rPr>
              <w:t>Total</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c>
          <w:tcPr>
            <w:tcW w:w="18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b w:val="1"/>
                <w:bCs w:val="1"/>
                <w:color w:val="1252DE"/>
              </w:rPr>
              <w:t>September 30, 2026</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4"/>
                <w:szCs w:val="14"/>
                <w:b w:val="1"/>
                <w:bCs w:val="1"/>
                <w:color w:val="1352DE"/>
              </w:rPr>
              <w:t>Past Due Status: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Arial" w:cs="Arial" w:eastAsia="Arial" w:hAnsi="Arial"/>
                <w:sz w:val="14"/>
                <w:szCs w:val="14"/>
                <w:color w:val="auto"/>
              </w:rPr>
              <w:t>In good standing</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252DE"/>
              </w:rPr>
              <w:t>120</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1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252DE"/>
              </w:rPr>
              <w:t>600</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778</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1252DE"/>
              </w:rPr>
              <w:t>264</w:t>
            </w:r>
          </w:p>
        </w:tc>
        <w:tc>
          <w:tcPr>
            <w:tcW w:w="280" w:type="dxa"/>
            <w:vAlign w:val="bottom"/>
          </w:tcPr>
          <w:p>
            <w:pPr>
              <w:jc w:val="right"/>
              <w:ind w:right="68"/>
              <w:spacing w:after="0"/>
              <w:rPr>
                <w:sz w:val="20"/>
                <w:szCs w:val="20"/>
                <w:color w:val="auto"/>
              </w:rPr>
            </w:pPr>
            <w:r>
              <w:rPr>
                <w:rFonts w:ascii="Arial" w:cs="Arial" w:eastAsia="Arial" w:hAnsi="Arial"/>
                <w:sz w:val="14"/>
                <w:szCs w:val="14"/>
                <w:b w:val="1"/>
                <w:bCs w:val="1"/>
                <w:color w:val="1252DE"/>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126</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1252DE"/>
              </w:rPr>
              <w:t>163</w:t>
            </w:r>
          </w:p>
        </w:tc>
        <w:tc>
          <w:tcPr>
            <w:tcW w:w="36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1252DE"/>
              </w:rPr>
              <w:t>55</w:t>
            </w:r>
          </w:p>
        </w:tc>
        <w:tc>
          <w:tcPr>
            <w:tcW w:w="360" w:type="dxa"/>
            <w:vAlign w:val="bottom"/>
          </w:tcPr>
          <w:p>
            <w:pPr>
              <w:jc w:val="right"/>
              <w:ind w:right="88"/>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1252DE"/>
              </w:rPr>
              <w:t>1,986</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1252DE"/>
              </w:rPr>
              <w:t>95</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1352DE"/>
                <w:w w:val="96"/>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4"/>
                <w:szCs w:val="14"/>
                <w:color w:val="auto"/>
              </w:rPr>
              <w:t>90 days or less delinquent</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1252DE"/>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66</w:t>
            </w:r>
          </w:p>
        </w:tc>
        <w:tc>
          <w:tcPr>
            <w:tcW w:w="3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2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36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1252DE"/>
              </w:rPr>
              <w:t>66</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1252DE"/>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&gt;90 days delinquent or in process of</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foreclosure</w:t>
            </w: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b w:val="1"/>
                <w:bCs w:val="1"/>
                <w:color w:val="1252DE"/>
              </w:rPr>
              <w:t>3</w:t>
            </w:r>
          </w:p>
        </w:tc>
        <w:tc>
          <w:tcPr>
            <w:tcW w:w="140" w:type="dxa"/>
            <w:vAlign w:val="bottom"/>
            <w:tcBorders>
              <w:bottom w:val="single" w:sz="8" w:color="1352DE"/>
            </w:tcBorders>
          </w:tcPr>
          <w:p>
            <w:pPr>
              <w:spacing w:after="0"/>
              <w:rPr>
                <w:sz w:val="17"/>
                <w:szCs w:val="17"/>
                <w:color w:val="auto"/>
              </w:rPr>
            </w:pPr>
          </w:p>
        </w:tc>
        <w:tc>
          <w:tcPr>
            <w:tcW w:w="12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Borders>
              <w:bottom w:val="single" w:sz="8" w:color="1352DE"/>
            </w:tcBorders>
          </w:tcPr>
          <w:p>
            <w:pPr>
              <w:spacing w:after="0"/>
              <w:rPr>
                <w:sz w:val="17"/>
                <w:szCs w:val="17"/>
                <w:color w:val="auto"/>
              </w:rPr>
            </w:pP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21</w:t>
            </w:r>
          </w:p>
        </w:tc>
        <w:tc>
          <w:tcPr>
            <w:tcW w:w="32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23</w:t>
            </w:r>
          </w:p>
        </w:tc>
        <w:tc>
          <w:tcPr>
            <w:tcW w:w="28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Borders>
              <w:bottom w:val="single" w:sz="8" w:color="1352DE"/>
            </w:tcBorders>
          </w:tcPr>
          <w:p>
            <w:pPr>
              <w:spacing w:after="0"/>
              <w:rPr>
                <w:sz w:val="17"/>
                <w:szCs w:val="17"/>
                <w:color w:val="auto"/>
              </w:rPr>
            </w:pPr>
          </w:p>
        </w:tc>
        <w:tc>
          <w:tcPr>
            <w:tcW w:w="5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36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36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44</w:t>
            </w: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w:t>
            </w:r>
          </w:p>
        </w:tc>
        <w:tc>
          <w:tcPr>
            <w:tcW w:w="18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1352DE"/>
            </w:tcBorders>
          </w:tcPr>
          <w:p>
            <w:pPr>
              <w:ind w:left="40"/>
              <w:spacing w:after="0"/>
              <w:rPr>
                <w:sz w:val="20"/>
                <w:szCs w:val="20"/>
                <w:color w:val="auto"/>
              </w:rPr>
            </w:pPr>
            <w:r>
              <w:rPr>
                <w:rFonts w:ascii="Arial" w:cs="Arial" w:eastAsia="Arial" w:hAnsi="Arial"/>
                <w:sz w:val="14"/>
                <w:szCs w:val="14"/>
                <w:b w:val="1"/>
                <w:bCs w:val="1"/>
                <w:color w:val="1252DE"/>
              </w:rPr>
              <w:t>Total*</w:t>
            </w:r>
          </w:p>
        </w:tc>
        <w:tc>
          <w:tcPr>
            <w:tcW w:w="760" w:type="dxa"/>
            <w:vAlign w:val="bottom"/>
            <w:tcBorders>
              <w:bottom w:val="single" w:sz="8" w:color="1352DE"/>
            </w:tcBorders>
          </w:tcPr>
          <w:p>
            <w:pPr>
              <w:jc w:val="right"/>
              <w:ind w:right="9"/>
              <w:spacing w:after="0"/>
              <w:rPr>
                <w:sz w:val="20"/>
                <w:szCs w:val="20"/>
                <w:color w:val="auto"/>
              </w:rPr>
            </w:pPr>
            <w:r>
              <w:rPr>
                <w:rFonts w:ascii="Arial" w:cs="Arial" w:eastAsia="Arial" w:hAnsi="Arial"/>
                <w:sz w:val="14"/>
                <w:szCs w:val="14"/>
                <w:b w:val="1"/>
                <w:bCs w:val="1"/>
                <w:color w:val="1252DE"/>
              </w:rPr>
              <w:t>124</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2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600</w:t>
            </w:r>
          </w:p>
        </w:tc>
        <w:tc>
          <w:tcPr>
            <w:tcW w:w="34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865</w:t>
            </w:r>
          </w:p>
        </w:tc>
        <w:tc>
          <w:tcPr>
            <w:tcW w:w="3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5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287</w:t>
            </w:r>
          </w:p>
        </w:tc>
        <w:tc>
          <w:tcPr>
            <w:tcW w:w="28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126</w:t>
            </w:r>
          </w:p>
        </w:tc>
        <w:tc>
          <w:tcPr>
            <w:tcW w:w="3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5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163</w:t>
            </w:r>
          </w:p>
        </w:tc>
        <w:tc>
          <w:tcPr>
            <w:tcW w:w="36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55</w:t>
            </w:r>
          </w:p>
        </w:tc>
        <w:tc>
          <w:tcPr>
            <w:tcW w:w="36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2,096</w:t>
            </w: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100</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w w:val="96"/>
              </w:rPr>
              <w:t>%</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Allowance for credit losses</w:t>
            </w:r>
          </w:p>
        </w:tc>
        <w:tc>
          <w:tcPr>
            <w:tcW w:w="76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2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4</w:t>
            </w:r>
          </w:p>
        </w:tc>
        <w:tc>
          <w:tcPr>
            <w:tcW w:w="34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58</w:t>
            </w:r>
          </w:p>
        </w:tc>
        <w:tc>
          <w:tcPr>
            <w:tcW w:w="3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5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10</w:t>
            </w:r>
          </w:p>
        </w:tc>
        <w:tc>
          <w:tcPr>
            <w:tcW w:w="28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5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16</w:t>
            </w:r>
          </w:p>
        </w:tc>
        <w:tc>
          <w:tcPr>
            <w:tcW w:w="36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36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88</w:t>
            </w: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4</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w w:val="96"/>
              </w:rPr>
              <w:t>%</w:t>
            </w:r>
          </w:p>
        </w:tc>
        <w:tc>
          <w:tcPr>
            <w:tcW w:w="0" w:type="dxa"/>
            <w:vAlign w:val="bottom"/>
          </w:tcPr>
          <w:p>
            <w:pPr>
              <w:spacing w:after="0"/>
              <w:rPr>
                <w:sz w:val="1"/>
                <w:szCs w:val="1"/>
                <w:color w:val="auto"/>
              </w:rPr>
            </w:pPr>
          </w:p>
        </w:tc>
      </w:tr>
      <w:tr>
        <w:trPr>
          <w:trHeight w:val="310"/>
        </w:trPr>
        <w:tc>
          <w:tcPr>
            <w:tcW w:w="2620" w:type="dxa"/>
            <w:vAlign w:val="bottom"/>
          </w:tcPr>
          <w:p>
            <w:pPr>
              <w:ind w:left="20"/>
              <w:spacing w:after="0"/>
              <w:rPr>
                <w:sz w:val="20"/>
                <w:szCs w:val="20"/>
                <w:color w:val="auto"/>
              </w:rPr>
            </w:pPr>
            <w:r>
              <w:rPr>
                <w:rFonts w:ascii="Arial" w:cs="Arial" w:eastAsia="Arial" w:hAnsi="Arial"/>
                <w:sz w:val="14"/>
                <w:szCs w:val="14"/>
                <w:color w:val="1252DE"/>
              </w:rPr>
              <w:t>December 31, 2025</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620" w:type="dxa"/>
            <w:vAlign w:val="bottom"/>
          </w:tcPr>
          <w:p>
            <w:pPr>
              <w:ind w:left="20"/>
              <w:spacing w:after="0"/>
              <w:rPr>
                <w:sz w:val="20"/>
                <w:szCs w:val="20"/>
                <w:color w:val="auto"/>
              </w:rPr>
            </w:pPr>
            <w:r>
              <w:rPr>
                <w:rFonts w:ascii="Arial" w:cs="Arial" w:eastAsia="Arial" w:hAnsi="Arial"/>
                <w:sz w:val="14"/>
                <w:szCs w:val="14"/>
                <w:b w:val="1"/>
                <w:bCs w:val="1"/>
                <w:color w:val="1352DE"/>
              </w:rPr>
              <w:t>Past Due Status: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140"/>
              <w:spacing w:after="0"/>
              <w:rPr>
                <w:sz w:val="20"/>
                <w:szCs w:val="20"/>
                <w:color w:val="auto"/>
              </w:rPr>
            </w:pPr>
            <w:r>
              <w:rPr>
                <w:rFonts w:ascii="Arial" w:cs="Arial" w:eastAsia="Arial" w:hAnsi="Arial"/>
                <w:sz w:val="14"/>
                <w:szCs w:val="14"/>
                <w:color w:val="auto"/>
              </w:rPr>
              <w:t>In good standing</w:t>
            </w:r>
          </w:p>
        </w:tc>
        <w:tc>
          <w:tcPr>
            <w:tcW w:w="760" w:type="dxa"/>
            <w:vAlign w:val="bottom"/>
          </w:tcPr>
          <w:p>
            <w:pPr>
              <w:jc w:val="right"/>
              <w:spacing w:after="0"/>
              <w:rPr>
                <w:sz w:val="20"/>
                <w:szCs w:val="20"/>
                <w:color w:val="auto"/>
              </w:rPr>
            </w:pPr>
            <w:r>
              <w:rPr>
                <w:rFonts w:ascii="Arial" w:cs="Arial" w:eastAsia="Arial" w:hAnsi="Arial"/>
                <w:sz w:val="14"/>
                <w:szCs w:val="14"/>
                <w:color w:val="auto"/>
              </w:rPr>
              <w:t>140</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793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2,396</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Arial" w:cs="Arial" w:eastAsia="Arial" w:hAnsi="Arial"/>
                <w:sz w:val="14"/>
                <w:szCs w:val="14"/>
                <w:color w:val="auto"/>
              </w:rPr>
              <w:t>90 days or less delinquent</w:t>
            </w: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140"/>
              <w:spacing w:after="0"/>
              <w:rPr>
                <w:sz w:val="20"/>
                <w:szCs w:val="20"/>
                <w:color w:val="auto"/>
              </w:rPr>
            </w:pPr>
            <w:r>
              <w:rPr>
                <w:rFonts w:ascii="Arial" w:cs="Arial" w:eastAsia="Arial" w:hAnsi="Arial"/>
                <w:sz w:val="14"/>
                <w:szCs w:val="14"/>
                <w:color w:val="auto"/>
              </w:rPr>
              <w:t>&gt;90 days delinquent or in process of</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2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foreclosure</w:t>
            </w: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1352DE"/>
            </w:tcBorders>
          </w:tcPr>
          <w:p>
            <w:pPr>
              <w:spacing w:after="0"/>
              <w:rPr>
                <w:sz w:val="16"/>
                <w:szCs w:val="16"/>
                <w:color w:val="auto"/>
              </w:rPr>
            </w:pPr>
          </w:p>
        </w:tc>
        <w:tc>
          <w:tcPr>
            <w:tcW w:w="12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1352DE"/>
            </w:tcBorders>
          </w:tcPr>
          <w:p>
            <w:pPr>
              <w:spacing w:after="0"/>
              <w:rPr>
                <w:sz w:val="16"/>
                <w:szCs w:val="16"/>
                <w:color w:val="auto"/>
              </w:rPr>
            </w:pP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30</w:t>
            </w:r>
          </w:p>
        </w:tc>
        <w:tc>
          <w:tcPr>
            <w:tcW w:w="320" w:type="dxa"/>
            <w:vAlign w:val="bottom"/>
            <w:tcBorders>
              <w:bottom w:val="single" w:sz="8" w:color="1352DE"/>
            </w:tcBorders>
          </w:tcPr>
          <w:p>
            <w:pPr>
              <w:spacing w:after="0"/>
              <w:rPr>
                <w:sz w:val="16"/>
                <w:szCs w:val="16"/>
                <w:color w:val="auto"/>
              </w:rPr>
            </w:pPr>
          </w:p>
        </w:tc>
        <w:tc>
          <w:tcPr>
            <w:tcW w:w="5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60</w:t>
            </w:r>
          </w:p>
        </w:tc>
        <w:tc>
          <w:tcPr>
            <w:tcW w:w="280" w:type="dxa"/>
            <w:vAlign w:val="bottom"/>
            <w:tcBorders>
              <w:bottom w:val="single" w:sz="8" w:color="1352DE"/>
            </w:tcBorders>
          </w:tcPr>
          <w:p>
            <w:pPr>
              <w:spacing w:after="0"/>
              <w:rPr>
                <w:sz w:val="16"/>
                <w:szCs w:val="16"/>
                <w:color w:val="auto"/>
              </w:rPr>
            </w:pP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1352DE"/>
            </w:tcBorders>
          </w:tcPr>
          <w:p>
            <w:pPr>
              <w:spacing w:after="0"/>
              <w:rPr>
                <w:sz w:val="16"/>
                <w:szCs w:val="16"/>
                <w:color w:val="auto"/>
              </w:rPr>
            </w:pPr>
          </w:p>
        </w:tc>
        <w:tc>
          <w:tcPr>
            <w:tcW w:w="5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90</w:t>
            </w: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2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Total*</w:t>
            </w:r>
          </w:p>
        </w:tc>
        <w:tc>
          <w:tcPr>
            <w:tcW w:w="76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145</w:t>
            </w:r>
          </w:p>
        </w:tc>
        <w:tc>
          <w:tcPr>
            <w:tcW w:w="260" w:type="dxa"/>
            <w:vAlign w:val="bottom"/>
            <w:tcBorders>
              <w:bottom w:val="single" w:sz="8" w:color="3051F2"/>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793</w:t>
            </w:r>
          </w:p>
        </w:tc>
        <w:tc>
          <w:tcPr>
            <w:tcW w:w="340" w:type="dxa"/>
            <w:vAlign w:val="bottom"/>
            <w:tcBorders>
              <w:bottom w:val="single" w:sz="8" w:color="3051F2"/>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color w:val="auto"/>
              </w:rPr>
              <w:t>986</w:t>
            </w:r>
          </w:p>
        </w:tc>
        <w:tc>
          <w:tcPr>
            <w:tcW w:w="32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color w:val="auto"/>
              </w:rPr>
              <w:t>357</w:t>
            </w:r>
          </w:p>
        </w:tc>
        <w:tc>
          <w:tcPr>
            <w:tcW w:w="28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color w:val="auto"/>
              </w:rPr>
              <w:t>158</w:t>
            </w:r>
          </w:p>
        </w:tc>
        <w:tc>
          <w:tcPr>
            <w:tcW w:w="320" w:type="dxa"/>
            <w:vAlign w:val="bottom"/>
            <w:tcBorders>
              <w:bottom w:val="single" w:sz="8" w:color="3051F2"/>
            </w:tcBorders>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3051F2"/>
            </w:tcBorders>
          </w:tcPr>
          <w:p>
            <w:pPr>
              <w:jc w:val="right"/>
              <w:ind w:right="28"/>
              <w:spacing w:after="0"/>
              <w:rPr>
                <w:sz w:val="20"/>
                <w:szCs w:val="20"/>
                <w:color w:val="auto"/>
              </w:rPr>
            </w:pPr>
            <w:r>
              <w:rPr>
                <w:rFonts w:ascii="Arial" w:cs="Arial" w:eastAsia="Arial" w:hAnsi="Arial"/>
                <w:sz w:val="14"/>
                <w:szCs w:val="14"/>
                <w:color w:val="auto"/>
              </w:rPr>
              <w:t>191</w:t>
            </w:r>
          </w:p>
        </w:tc>
        <w:tc>
          <w:tcPr>
            <w:tcW w:w="360" w:type="dxa"/>
            <w:vAlign w:val="bottom"/>
            <w:tcBorders>
              <w:bottom w:val="single" w:sz="8" w:color="3051F2"/>
            </w:tcBorders>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3051F2"/>
            </w:tcBorders>
          </w:tcPr>
          <w:p>
            <w:pPr>
              <w:jc w:val="right"/>
              <w:ind w:right="68"/>
              <w:spacing w:after="0"/>
              <w:rPr>
                <w:sz w:val="20"/>
                <w:szCs w:val="20"/>
                <w:color w:val="auto"/>
              </w:rPr>
            </w:pPr>
            <w:r>
              <w:rPr>
                <w:rFonts w:ascii="Arial" w:cs="Arial" w:eastAsia="Arial" w:hAnsi="Arial"/>
                <w:sz w:val="14"/>
                <w:szCs w:val="14"/>
                <w:color w:val="auto"/>
              </w:rPr>
              <w:t>2,495</w:t>
            </w:r>
          </w:p>
        </w:tc>
        <w:tc>
          <w:tcPr>
            <w:tcW w:w="64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100</w:t>
            </w: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Allowance for credit losses</w:t>
            </w:r>
          </w:p>
        </w:tc>
        <w:tc>
          <w:tcPr>
            <w:tcW w:w="760" w:type="dxa"/>
            <w:vAlign w:val="bottom"/>
            <w:tcBorders>
              <w:bottom w:val="single" w:sz="8" w:color="1352DE"/>
            </w:tcBorders>
          </w:tcPr>
          <w:p>
            <w:pPr>
              <w:spacing w:after="0"/>
              <w:rPr>
                <w:sz w:val="17"/>
                <w:szCs w:val="17"/>
                <w:color w:val="auto"/>
              </w:rPr>
            </w:pPr>
          </w:p>
        </w:tc>
        <w:tc>
          <w:tcPr>
            <w:tcW w:w="260" w:type="dxa"/>
            <w:vAlign w:val="bottom"/>
            <w:tcBorders>
              <w:bottom w:val="single" w:sz="8" w:color="1352DE"/>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62</w:t>
            </w:r>
          </w:p>
        </w:tc>
        <w:tc>
          <w:tcPr>
            <w:tcW w:w="3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37</w:t>
            </w:r>
          </w:p>
        </w:tc>
        <w:tc>
          <w:tcPr>
            <w:tcW w:w="2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111</w:t>
            </w: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Does not reflect allowance for credit losses.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METHODOLOGY USED TO ESTIMATE THE ALLOWANCE FOR CREDIT LOSSES</w:t>
      </w:r>
    </w:p>
    <w:p>
      <w:pPr>
        <w:spacing w:after="0" w:line="119" w:lineRule="exact"/>
        <w:rPr>
          <w:sz w:val="20"/>
          <w:szCs w:val="20"/>
          <w:color w:val="auto"/>
        </w:rPr>
      </w:pPr>
    </w:p>
    <w:p>
      <w:pPr>
        <w:ind w:right="520"/>
        <w:spacing w:after="0" w:line="319" w:lineRule="auto"/>
        <w:rPr>
          <w:sz w:val="20"/>
          <w:szCs w:val="20"/>
          <w:color w:val="auto"/>
        </w:rPr>
      </w:pPr>
      <w:r>
        <w:rPr>
          <w:rFonts w:ascii="Arial" w:cs="Arial" w:eastAsia="Arial" w:hAnsi="Arial"/>
          <w:sz w:val="16"/>
          <w:szCs w:val="16"/>
          <w:i w:val="1"/>
          <w:iCs w:val="1"/>
          <w:color w:val="auto"/>
        </w:rPr>
        <w:t>For a discussion of our accounting policy for evaluating Mortgage and other loans receivable for impairment, see Note 7 to the Consolidated Financial Statements in the 2025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a rollforward of the changes in the allowance for credit losses on Mortgage and other loans receivable</w:t>
      </w:r>
      <w:r>
        <w:rPr>
          <w:rFonts w:ascii="Arial" w:cs="Arial" w:eastAsia="Arial" w:hAnsi="Arial"/>
          <w:sz w:val="21"/>
          <w:szCs w:val="21"/>
          <w:b w:val="1"/>
          <w:bCs w:val="1"/>
          <w:color w:val="1352DE"/>
          <w:vertAlign w:val="superscript"/>
        </w:rPr>
        <w:t>(a)</w:t>
      </w:r>
      <w:r>
        <w:rPr>
          <w:rFonts w:ascii="Arial" w:cs="Arial" w:eastAsia="Arial" w:hAnsi="Arial"/>
          <w:sz w:val="16"/>
          <w:szCs w:val="16"/>
          <w:b w:val="1"/>
          <w:bCs w:val="1"/>
          <w:color w:val="1352DE"/>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80" w:type="dxa"/>
            <w:vAlign w:val="bottom"/>
            <w:tcBorders>
              <w:top w:val="single" w:sz="8" w:color="1352DE"/>
            </w:tcBorders>
          </w:tcPr>
          <w:p>
            <w:pPr>
              <w:spacing w:after="0"/>
              <w:rPr>
                <w:sz w:val="14"/>
                <w:szCs w:val="14"/>
                <w:color w:val="auto"/>
              </w:rPr>
            </w:pPr>
          </w:p>
        </w:tc>
        <w:tc>
          <w:tcPr>
            <w:tcW w:w="240" w:type="dxa"/>
            <w:vAlign w:val="bottom"/>
            <w:tcBorders>
              <w:top w:val="single" w:sz="8" w:color="1352DE"/>
            </w:tcBorders>
          </w:tcPr>
          <w:p>
            <w:pPr>
              <w:spacing w:after="0"/>
              <w:rPr>
                <w:sz w:val="14"/>
                <w:szCs w:val="14"/>
                <w:color w:val="auto"/>
              </w:rPr>
            </w:pPr>
          </w:p>
        </w:tc>
        <w:tc>
          <w:tcPr>
            <w:tcW w:w="1520" w:type="dxa"/>
            <w:vAlign w:val="bottom"/>
            <w:tcBorders>
              <w:top w:val="single" w:sz="8" w:color="1352DE"/>
            </w:tcBorders>
            <w:gridSpan w:val="2"/>
          </w:tcPr>
          <w:p>
            <w:pPr>
              <w:jc w:val="right"/>
              <w:spacing w:after="0"/>
              <w:rPr>
                <w:sz w:val="20"/>
                <w:szCs w:val="20"/>
                <w:color w:val="auto"/>
              </w:rPr>
            </w:pPr>
            <w:r>
              <w:rPr>
                <w:rFonts w:ascii="Arial" w:cs="Arial" w:eastAsia="Arial" w:hAnsi="Arial"/>
                <w:sz w:val="14"/>
                <w:szCs w:val="14"/>
                <w:color w:val="3051F2"/>
              </w:rPr>
              <w:t>Three Months Ended</w:t>
            </w:r>
          </w:p>
        </w:tc>
        <w:tc>
          <w:tcPr>
            <w:tcW w:w="360" w:type="dxa"/>
            <w:vAlign w:val="bottom"/>
            <w:tcBorders>
              <w:top w:val="single" w:sz="8" w:color="1352DE"/>
            </w:tcBorders>
          </w:tcPr>
          <w:p>
            <w:pPr>
              <w:spacing w:after="0"/>
              <w:rPr>
                <w:sz w:val="14"/>
                <w:szCs w:val="14"/>
                <w:color w:val="auto"/>
              </w:rPr>
            </w:pPr>
          </w:p>
        </w:tc>
        <w:tc>
          <w:tcPr>
            <w:tcW w:w="200" w:type="dxa"/>
            <w:vAlign w:val="bottom"/>
            <w:tcBorders>
              <w:top w:val="single" w:sz="8" w:color="1352DE"/>
            </w:tcBorders>
          </w:tcPr>
          <w:p>
            <w:pPr>
              <w:spacing w:after="0"/>
              <w:rPr>
                <w:sz w:val="14"/>
                <w:szCs w:val="14"/>
                <w:color w:val="auto"/>
              </w:rPr>
            </w:pPr>
          </w:p>
        </w:tc>
        <w:tc>
          <w:tcPr>
            <w:tcW w:w="280" w:type="dxa"/>
            <w:vAlign w:val="bottom"/>
            <w:tcBorders>
              <w:top w:val="single" w:sz="8" w:color="1352DE"/>
            </w:tcBorders>
          </w:tcPr>
          <w:p>
            <w:pPr>
              <w:spacing w:after="0"/>
              <w:rPr>
                <w:sz w:val="14"/>
                <w:szCs w:val="14"/>
                <w:color w:val="auto"/>
              </w:rPr>
            </w:pPr>
          </w:p>
        </w:tc>
        <w:tc>
          <w:tcPr>
            <w:tcW w:w="1460" w:type="dxa"/>
            <w:vAlign w:val="bottom"/>
            <w:tcBorders>
              <w:top w:val="single" w:sz="8" w:color="1352DE"/>
            </w:tcBorders>
            <w:gridSpan w:val="2"/>
          </w:tcPr>
          <w:p>
            <w:pPr>
              <w:jc w:val="right"/>
              <w:spacing w:after="0"/>
              <w:rPr>
                <w:sz w:val="20"/>
                <w:szCs w:val="20"/>
                <w:color w:val="auto"/>
              </w:rPr>
            </w:pPr>
            <w:r>
              <w:rPr>
                <w:rFonts w:ascii="Arial" w:cs="Arial" w:eastAsia="Arial" w:hAnsi="Arial"/>
                <w:sz w:val="14"/>
                <w:szCs w:val="14"/>
                <w:color w:val="1252DE"/>
              </w:rPr>
              <w:t>Nine Months Ended</w:t>
            </w:r>
          </w:p>
        </w:tc>
        <w:tc>
          <w:tcPr>
            <w:tcW w:w="380" w:type="dxa"/>
            <w:vAlign w:val="bottom"/>
            <w:tcBorders>
              <w:top w:val="single" w:sz="8" w:color="1352DE"/>
            </w:tcBorders>
          </w:tcPr>
          <w:p>
            <w:pPr>
              <w:spacing w:after="0"/>
              <w:rPr>
                <w:sz w:val="14"/>
                <w:szCs w:val="14"/>
                <w:color w:val="auto"/>
              </w:rPr>
            </w:pPr>
          </w:p>
        </w:tc>
      </w:tr>
      <w:tr>
        <w:trPr>
          <w:trHeight w:val="185"/>
        </w:trPr>
        <w:tc>
          <w:tcPr>
            <w:tcW w:w="6780" w:type="dxa"/>
            <w:vAlign w:val="bottom"/>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1520" w:type="dxa"/>
            <w:vAlign w:val="bottom"/>
            <w:tcBorders>
              <w:bottom w:val="single" w:sz="8" w:color="1352DE"/>
            </w:tcBorders>
            <w:gridSpan w:val="2"/>
          </w:tcPr>
          <w:p>
            <w:pPr>
              <w:jc w:val="right"/>
              <w:ind w:right="148"/>
              <w:spacing w:after="0"/>
              <w:rPr>
                <w:sz w:val="20"/>
                <w:szCs w:val="20"/>
                <w:color w:val="auto"/>
              </w:rPr>
            </w:pPr>
            <w:r>
              <w:rPr>
                <w:rFonts w:ascii="Arial" w:cs="Arial" w:eastAsia="Arial" w:hAnsi="Arial"/>
                <w:sz w:val="14"/>
                <w:szCs w:val="14"/>
                <w:color w:val="3051F2"/>
              </w:rPr>
              <w:t>September 30,</w:t>
            </w:r>
          </w:p>
        </w:tc>
        <w:tc>
          <w:tcPr>
            <w:tcW w:w="360" w:type="dxa"/>
            <w:vAlign w:val="bottom"/>
            <w:tcBorders>
              <w:bottom w:val="single" w:sz="8" w:color="1352DE"/>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1352DE"/>
            </w:tcBorders>
          </w:tcPr>
          <w:p>
            <w:pPr>
              <w:spacing w:after="0"/>
              <w:rPr>
                <w:sz w:val="16"/>
                <w:szCs w:val="16"/>
                <w:color w:val="auto"/>
              </w:rPr>
            </w:pPr>
          </w:p>
        </w:tc>
        <w:tc>
          <w:tcPr>
            <w:tcW w:w="1460" w:type="dxa"/>
            <w:vAlign w:val="bottom"/>
            <w:tcBorders>
              <w:bottom w:val="single" w:sz="8" w:color="1352DE"/>
            </w:tcBorders>
            <w:gridSpan w:val="2"/>
          </w:tcPr>
          <w:p>
            <w:pPr>
              <w:jc w:val="right"/>
              <w:ind w:right="128"/>
              <w:spacing w:after="0"/>
              <w:rPr>
                <w:sz w:val="20"/>
                <w:szCs w:val="20"/>
                <w:color w:val="auto"/>
              </w:rPr>
            </w:pPr>
            <w:r>
              <w:rPr>
                <w:rFonts w:ascii="Arial" w:cs="Arial" w:eastAsia="Arial" w:hAnsi="Arial"/>
                <w:sz w:val="14"/>
                <w:szCs w:val="14"/>
                <w:color w:val="1252DE"/>
              </w:rPr>
              <w:t>September 30,</w:t>
            </w:r>
          </w:p>
        </w:tc>
        <w:tc>
          <w:tcPr>
            <w:tcW w:w="380" w:type="dxa"/>
            <w:vAlign w:val="bottom"/>
            <w:tcBorders>
              <w:bottom w:val="single" w:sz="8" w:color="1352DE"/>
            </w:tcBorders>
          </w:tcPr>
          <w:p>
            <w:pPr>
              <w:spacing w:after="0"/>
              <w:rPr>
                <w:sz w:val="16"/>
                <w:szCs w:val="16"/>
                <w:color w:val="auto"/>
              </w:rPr>
            </w:pPr>
          </w:p>
        </w:tc>
      </w:tr>
      <w:tr>
        <w:trPr>
          <w:trHeight w:val="195"/>
        </w:trPr>
        <w:tc>
          <w:tcPr>
            <w:tcW w:w="67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40" w:type="dxa"/>
            <w:vAlign w:val="bottom"/>
            <w:tcBorders>
              <w:bottom w:val="single" w:sz="8" w:color="1352DE"/>
            </w:tcBorders>
          </w:tcPr>
          <w:p>
            <w:pPr>
              <w:spacing w:after="0"/>
              <w:rPr>
                <w:sz w:val="16"/>
                <w:szCs w:val="16"/>
                <w:color w:val="auto"/>
              </w:rPr>
            </w:pPr>
          </w:p>
        </w:tc>
        <w:tc>
          <w:tcPr>
            <w:tcW w:w="8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3051F2"/>
              </w:rPr>
              <w:t>2026</w:t>
            </w:r>
          </w:p>
        </w:tc>
        <w:tc>
          <w:tcPr>
            <w:tcW w:w="700" w:type="dxa"/>
            <w:vAlign w:val="bottom"/>
            <w:tcBorders>
              <w:bottom w:val="single" w:sz="8" w:color="1352DE"/>
            </w:tcBorders>
          </w:tcPr>
          <w:p>
            <w:pPr>
              <w:spacing w:after="0"/>
              <w:rPr>
                <w:sz w:val="16"/>
                <w:szCs w:val="16"/>
                <w:color w:val="auto"/>
              </w:rPr>
            </w:pPr>
          </w:p>
        </w:tc>
        <w:tc>
          <w:tcPr>
            <w:tcW w:w="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3051F2"/>
              </w:rPr>
              <w:t>2025</w:t>
            </w:r>
          </w:p>
        </w:tc>
        <w:tc>
          <w:tcPr>
            <w:tcW w:w="200" w:type="dxa"/>
            <w:vAlign w:val="bottom"/>
            <w:tcBorders>
              <w:bottom w:val="single" w:sz="8" w:color="1352DE"/>
            </w:tcBorders>
          </w:tcPr>
          <w:p>
            <w:pPr>
              <w:spacing w:after="0"/>
              <w:rPr>
                <w:sz w:val="16"/>
                <w:szCs w:val="16"/>
                <w:color w:val="auto"/>
              </w:rPr>
            </w:pPr>
          </w:p>
        </w:tc>
        <w:tc>
          <w:tcPr>
            <w:tcW w:w="28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3051F2"/>
              </w:rPr>
              <w:t>2026</w:t>
            </w:r>
          </w:p>
        </w:tc>
        <w:tc>
          <w:tcPr>
            <w:tcW w:w="680" w:type="dxa"/>
            <w:vAlign w:val="bottom"/>
            <w:tcBorders>
              <w:bottom w:val="single" w:sz="8" w:color="1352DE"/>
            </w:tcBorders>
          </w:tcPr>
          <w:p>
            <w:pPr>
              <w:spacing w:after="0"/>
              <w:rPr>
                <w:sz w:val="16"/>
                <w:szCs w:val="16"/>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3051F2"/>
              </w:rPr>
              <w:t>2025</w:t>
            </w:r>
          </w:p>
        </w:tc>
      </w:tr>
      <w:tr>
        <w:trPr>
          <w:trHeight w:val="195"/>
        </w:trPr>
        <w:tc>
          <w:tcPr>
            <w:tcW w:w="6780" w:type="dxa"/>
            <w:vAlign w:val="bottom"/>
          </w:tcPr>
          <w:p>
            <w:pPr>
              <w:ind w:left="20"/>
              <w:spacing w:after="0"/>
              <w:rPr>
                <w:sz w:val="20"/>
                <w:szCs w:val="20"/>
                <w:color w:val="auto"/>
              </w:rPr>
            </w:pPr>
            <w:r>
              <w:rPr>
                <w:rFonts w:ascii="Arial" w:cs="Arial" w:eastAsia="Arial" w:hAnsi="Arial"/>
                <w:sz w:val="14"/>
                <w:szCs w:val="14"/>
                <w:b w:val="1"/>
                <w:bCs w:val="1"/>
                <w:color w:val="1252DE"/>
              </w:rPr>
              <w:t>Allowance, beginning of period</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1252DE"/>
              </w:rPr>
              <w: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1252DE"/>
              </w:rPr>
              <w:t>78</w:t>
            </w:r>
          </w:p>
        </w:tc>
        <w:tc>
          <w:tcPr>
            <w:tcW w:w="7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106</w:t>
            </w:r>
          </w:p>
        </w:tc>
        <w:tc>
          <w:tcPr>
            <w:tcW w:w="2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1252DE"/>
              </w:rPr>
              <w:t>111</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204"/>
        </w:trPr>
        <w:tc>
          <w:tcPr>
            <w:tcW w:w="678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Loans charged off</w:t>
            </w:r>
          </w:p>
        </w:tc>
        <w:tc>
          <w:tcPr>
            <w:tcW w:w="24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spacing w:after="0"/>
              <w:rPr>
                <w:sz w:val="17"/>
                <w:szCs w:val="17"/>
                <w:color w:val="auto"/>
              </w:rPr>
            </w:pPr>
          </w:p>
        </w:tc>
        <w:tc>
          <w:tcPr>
            <w:tcW w:w="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68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(60)</w:t>
            </w:r>
          </w:p>
        </w:tc>
      </w:tr>
      <w:tr>
        <w:trPr>
          <w:trHeight w:val="195"/>
        </w:trPr>
        <w:tc>
          <w:tcPr>
            <w:tcW w:w="6780" w:type="dxa"/>
            <w:vAlign w:val="bottom"/>
          </w:tcPr>
          <w:p>
            <w:pPr>
              <w:ind w:left="20"/>
              <w:spacing w:after="0"/>
              <w:rPr>
                <w:sz w:val="20"/>
                <w:szCs w:val="20"/>
                <w:color w:val="auto"/>
              </w:rPr>
            </w:pPr>
            <w:r>
              <w:rPr>
                <w:rFonts w:ascii="Arial" w:cs="Arial" w:eastAsia="Arial" w:hAnsi="Arial"/>
                <w:sz w:val="14"/>
                <w:szCs w:val="14"/>
                <w:b w:val="1"/>
                <w:bCs w:val="1"/>
                <w:color w:val="1252DE"/>
              </w:rPr>
              <w:t>Net charge-offs</w:t>
            </w:r>
          </w:p>
        </w:tc>
        <w:tc>
          <w:tcPr>
            <w:tcW w:w="2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1252DE"/>
              </w:rPr>
              <w:t>—</w:t>
            </w:r>
          </w:p>
        </w:tc>
        <w:tc>
          <w:tcPr>
            <w:tcW w:w="6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4"/>
        </w:trPr>
        <w:tc>
          <w:tcPr>
            <w:tcW w:w="678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Addition to (release of) allowance for loan losses</w:t>
            </w:r>
          </w:p>
        </w:tc>
        <w:tc>
          <w:tcPr>
            <w:tcW w:w="24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10</w:t>
            </w:r>
          </w:p>
        </w:tc>
        <w:tc>
          <w:tcPr>
            <w:tcW w:w="700" w:type="dxa"/>
            <w:vAlign w:val="bottom"/>
            <w:tcBorders>
              <w:bottom w:val="single" w:sz="8" w:color="1352DE"/>
            </w:tcBorders>
          </w:tcPr>
          <w:p>
            <w:pPr>
              <w:spacing w:after="0"/>
              <w:rPr>
                <w:sz w:val="17"/>
                <w:szCs w:val="17"/>
                <w:color w:val="auto"/>
              </w:rPr>
            </w:pPr>
          </w:p>
        </w:tc>
        <w:tc>
          <w:tcPr>
            <w:tcW w:w="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(23)</w:t>
            </w:r>
          </w:p>
        </w:tc>
        <w:tc>
          <w:tcPr>
            <w:tcW w:w="68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78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Allowance, end of period</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8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88</w:t>
            </w:r>
          </w:p>
        </w:tc>
        <w:tc>
          <w:tcPr>
            <w:tcW w:w="700" w:type="dxa"/>
            <w:vAlign w:val="bottom"/>
            <w:tcBorders>
              <w:bottom w:val="single" w:sz="8" w:color="1352DE"/>
            </w:tcBorders>
          </w:tcPr>
          <w:p>
            <w:pPr>
              <w:jc w:val="right"/>
              <w:ind w:right="4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78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88</w:t>
            </w:r>
          </w:p>
        </w:tc>
        <w:tc>
          <w:tcPr>
            <w:tcW w:w="680" w:type="dxa"/>
            <w:vAlign w:val="bottom"/>
            <w:tcBorders>
              <w:bottom w:val="single" w:sz="8" w:color="1352DE"/>
            </w:tcBorders>
          </w:tcPr>
          <w:p>
            <w:pPr>
              <w:jc w:val="right"/>
              <w:ind w:right="4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104</w:t>
            </w:r>
          </w:p>
        </w:tc>
      </w:tr>
    </w:tbl>
    <w:p>
      <w:pPr>
        <w:spacing w:after="0" w:line="144" w:lineRule="exact"/>
        <w:rPr>
          <w:sz w:val="20"/>
          <w:szCs w:val="20"/>
          <w:color w:val="auto"/>
        </w:rPr>
      </w:pPr>
    </w:p>
    <w:p>
      <w:pPr>
        <w:ind w:left="220" w:right="480" w:hanging="212"/>
        <w:spacing w:after="0" w:line="286" w:lineRule="auto"/>
        <w:tabs>
          <w:tab w:leader="none" w:pos="208"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Excludes $37.6 billion of loan receivable from AIGFP, which has a full allowance for credit losses, recognized upon the deconsolidation of AIGFP. </w:t>
      </w:r>
      <w:r>
        <w:rPr>
          <w:rFonts w:ascii="Arial" w:cs="Arial" w:eastAsia="Arial" w:hAnsi="Arial"/>
          <w:sz w:val="13"/>
          <w:szCs w:val="13"/>
          <w:i w:val="1"/>
          <w:iCs w:val="1"/>
          <w:color w:val="auto"/>
        </w:rPr>
        <w:t>For additional information, see Note 7 to the</w:t>
      </w:r>
      <w:r>
        <w:rPr>
          <w:rFonts w:ascii="Arial" w:cs="Arial" w:eastAsia="Arial" w:hAnsi="Arial"/>
          <w:sz w:val="13"/>
          <w:szCs w:val="13"/>
          <w:color w:val="auto"/>
        </w:rPr>
        <w:t xml:space="preserve"> </w:t>
      </w:r>
      <w:r>
        <w:rPr>
          <w:rFonts w:ascii="Arial" w:cs="Arial" w:eastAsia="Arial" w:hAnsi="Arial"/>
          <w:sz w:val="13"/>
          <w:szCs w:val="13"/>
          <w:i w:val="1"/>
          <w:iCs w:val="1"/>
          <w:color w:val="auto"/>
        </w:rPr>
        <w:t>Consolidated Financial Statements in the 2025 Annual Report.</w:t>
      </w:r>
    </w:p>
    <w:p>
      <w:pPr>
        <w:spacing w:after="0" w:line="80"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Our expectations and models used to estimate the allowance for losses on commercial mortgage loans are regularly updated to reflect the current economic environment.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LOAN MODIFICATIONS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 discussion of our accounting policy for loan modifications, see Note 7 to the Consolidated Financial Statements in the 2025 Annual Report.</w:t>
      </w:r>
    </w:p>
    <w:p>
      <w:pPr>
        <w:spacing w:after="0" w:line="125"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There were no loans that had defaulted during the three and nine months ended September 30, 2026 and 2025, that had been previously modified with borrowers experiencing financial difficulties.</w:t>
      </w:r>
    </w:p>
    <w:p>
      <w:pPr>
        <w:spacing w:after="0" w:line="4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AIG closely monitors the performance of the loans modified to borrowers experiencing financial difficulty to understand the effectiveness of its modification efforts. All loans with borrowers experiencing financial difficulty that were modified in the 12 months prior to September 30, 2026 are current and performing in accordance with their modified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4771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760" w:hanging="734"/>
        <w:spacing w:after="0"/>
        <w:tabs>
          <w:tab w:leader="none" w:pos="760" w:val="left"/>
        </w:tabs>
        <w:numPr>
          <w:ilvl w:val="0"/>
          <w:numId w:val="35"/>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7.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7. Reinsurance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FORTITUDE RE</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Fortitude Re is the reinsurer of the majority of AIG’s run-off operations. The reinsurance transactions are structured as modco and loss portfolio transfer arrangements with funds withheld (funds withheld). In modco and funds withheld arrangements, the investments supporting the reinsurance agreements, which reflect the majority of the consideration that would be paid to the reinsurer for entering into the transaction, are withheld by, and therefore continue to reside on the balance sheet of, the ceding company (i.e., AIG) thereby creating an obligation for the ceding company to pay the reinsurer (i.e., Fortitude Re) at a later date. Additionally, as AIG maintains ownership of these investments, AIG will maintain its existing accounting for these assets (e.g., the changes in fair value of available for sale securities will be recognized within OCI). AIG has established a funds withheld payable to Fortitude Re while simultaneously establishing a reinsurance asset representing reserves for the insurance coverage that Fortitude Re has assumed. The funds withheld payable contains an embedded derivative and changes in fair value of the embedded derivative related to the funds withheld payable are recognized in earnings through Net realized gains (losses). This embedded derivative is considered a total return swap with contractual returns that are attributable to various assets and liabilities associated with these reinsurance agreements.</w:t>
      </w:r>
    </w:p>
    <w:p>
      <w:pPr>
        <w:spacing w:after="0" w:line="77"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As of September 30, 2026, $3.0 billion of reserves related to business written by multiple wholly-owned AIG subsidiaries had been ceded to Fortitude Re under these reinsurance transactions.</w:t>
      </w:r>
    </w:p>
    <w:p>
      <w:pPr>
        <w:spacing w:after="0" w:line="169" w:lineRule="exact"/>
        <w:rPr>
          <w:sz w:val="20"/>
          <w:szCs w:val="20"/>
          <w:color w:val="auto"/>
        </w:rPr>
      </w:pPr>
    </w:p>
    <w:p>
      <w:pPr>
        <w:ind w:right="260"/>
        <w:spacing w:after="0" w:line="367" w:lineRule="auto"/>
        <w:rPr>
          <w:sz w:val="20"/>
          <w:szCs w:val="20"/>
          <w:color w:val="auto"/>
        </w:rPr>
      </w:pPr>
      <w:r>
        <w:rPr>
          <w:rFonts w:ascii="Arial" w:cs="Arial" w:eastAsia="Arial" w:hAnsi="Arial"/>
          <w:sz w:val="16"/>
          <w:szCs w:val="16"/>
          <w:b w:val="1"/>
          <w:bCs w:val="1"/>
          <w:color w:val="1352DE"/>
        </w:rPr>
        <w:t>There is a diverse pool of assets supporting the funds withheld arrangements with Fortitude Re. The following summarizes the composition of the pool of assets: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Borders>
              <w:top w:val="single" w:sz="8" w:color="1352DE"/>
            </w:tcBorders>
          </w:tcPr>
          <w:p>
            <w:pPr>
              <w:spacing w:after="0"/>
              <w:rPr>
                <w:sz w:val="18"/>
                <w:szCs w:val="18"/>
                <w:color w:val="auto"/>
              </w:rPr>
            </w:pPr>
          </w:p>
        </w:tc>
        <w:tc>
          <w:tcPr>
            <w:tcW w:w="200" w:type="dxa"/>
            <w:vAlign w:val="bottom"/>
            <w:tcBorders>
              <w:top w:val="single" w:sz="8" w:color="1352DE"/>
              <w:bottom w:val="single" w:sz="8" w:color="1352DE"/>
            </w:tcBorders>
          </w:tcPr>
          <w:p>
            <w:pPr>
              <w:spacing w:after="0"/>
              <w:rPr>
                <w:sz w:val="18"/>
                <w:szCs w:val="18"/>
                <w:color w:val="auto"/>
              </w:rPr>
            </w:pPr>
          </w:p>
        </w:tc>
        <w:tc>
          <w:tcPr>
            <w:tcW w:w="1600" w:type="dxa"/>
            <w:vAlign w:val="bottom"/>
            <w:tcBorders>
              <w:top w:val="single" w:sz="8" w:color="1352DE"/>
              <w:bottom w:val="single" w:sz="8" w:color="1352DE"/>
            </w:tcBorders>
            <w:gridSpan w:val="3"/>
          </w:tcPr>
          <w:p>
            <w:pPr>
              <w:jc w:val="right"/>
              <w:ind w:right="148"/>
              <w:spacing w:after="0"/>
              <w:rPr>
                <w:sz w:val="20"/>
                <w:szCs w:val="20"/>
                <w:color w:val="auto"/>
              </w:rPr>
            </w:pPr>
            <w:r>
              <w:rPr>
                <w:rFonts w:ascii="Arial" w:cs="Arial" w:eastAsia="Arial" w:hAnsi="Arial"/>
                <w:sz w:val="14"/>
                <w:szCs w:val="14"/>
                <w:b w:val="1"/>
                <w:bCs w:val="1"/>
                <w:color w:val="1252DE"/>
              </w:rPr>
              <w:t>September 30, 2026</w:t>
            </w:r>
          </w:p>
        </w:tc>
        <w:tc>
          <w:tcPr>
            <w:tcW w:w="140" w:type="dxa"/>
            <w:vAlign w:val="bottom"/>
            <w:tcBorders>
              <w:top w:val="single" w:sz="8" w:color="1352DE"/>
            </w:tcBorders>
          </w:tcPr>
          <w:p>
            <w:pPr>
              <w:spacing w:after="0"/>
              <w:rPr>
                <w:sz w:val="18"/>
                <w:szCs w:val="18"/>
                <w:color w:val="auto"/>
              </w:rPr>
            </w:pPr>
          </w:p>
        </w:tc>
        <w:tc>
          <w:tcPr>
            <w:tcW w:w="200" w:type="dxa"/>
            <w:vAlign w:val="bottom"/>
            <w:tcBorders>
              <w:top w:val="single" w:sz="8" w:color="1352DE"/>
              <w:bottom w:val="single" w:sz="8" w:color="1352DE"/>
            </w:tcBorders>
          </w:tcPr>
          <w:p>
            <w:pPr>
              <w:spacing w:after="0"/>
              <w:rPr>
                <w:sz w:val="18"/>
                <w:szCs w:val="18"/>
                <w:color w:val="auto"/>
              </w:rPr>
            </w:pPr>
          </w:p>
        </w:tc>
        <w:tc>
          <w:tcPr>
            <w:tcW w:w="1540" w:type="dxa"/>
            <w:vAlign w:val="bottom"/>
            <w:tcBorders>
              <w:top w:val="single" w:sz="8" w:color="1352DE"/>
              <w:bottom w:val="single" w:sz="8" w:color="1352DE"/>
            </w:tcBorders>
            <w:gridSpan w:val="3"/>
          </w:tcPr>
          <w:p>
            <w:pPr>
              <w:jc w:val="right"/>
              <w:ind w:right="168"/>
              <w:spacing w:after="0"/>
              <w:rPr>
                <w:sz w:val="20"/>
                <w:szCs w:val="20"/>
                <w:color w:val="auto"/>
              </w:rPr>
            </w:pPr>
            <w:r>
              <w:rPr>
                <w:rFonts w:ascii="Arial" w:cs="Arial" w:eastAsia="Arial" w:hAnsi="Arial"/>
                <w:sz w:val="14"/>
                <w:szCs w:val="14"/>
                <w:color w:val="1252DE"/>
              </w:rPr>
              <w:t>December 31, 2025</w:t>
            </w:r>
          </w:p>
        </w:tc>
        <w:tc>
          <w:tcPr>
            <w:tcW w:w="4080" w:type="dxa"/>
            <w:vAlign w:val="bottom"/>
            <w:tcBorders>
              <w:top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1252DE"/>
              </w:rPr>
              <w:t>Carrying</w:t>
            </w:r>
          </w:p>
        </w:tc>
        <w:tc>
          <w:tcPr>
            <w:tcW w:w="280" w:type="dxa"/>
            <w:vAlign w:val="bottom"/>
          </w:tcPr>
          <w:p>
            <w:pPr>
              <w:spacing w:after="0"/>
              <w:rPr>
                <w:sz w:val="12"/>
                <w:szCs w:val="12"/>
                <w:color w:val="auto"/>
              </w:rPr>
            </w:pPr>
          </w:p>
        </w:tc>
        <w:tc>
          <w:tcPr>
            <w:tcW w:w="7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1252DE"/>
              </w:rPr>
              <w:t>Fair</w:t>
            </w:r>
          </w:p>
        </w:tc>
        <w:tc>
          <w:tcPr>
            <w:tcW w:w="2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1252DE"/>
              </w:rPr>
              <w:t>Carrying</w:t>
            </w:r>
          </w:p>
        </w:tc>
        <w:tc>
          <w:tcPr>
            <w:tcW w:w="2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1252DE"/>
              </w:rPr>
              <w:t>Fair</w:t>
            </w:r>
          </w:p>
        </w:tc>
        <w:tc>
          <w:tcPr>
            <w:tcW w:w="4080" w:type="dxa"/>
            <w:vAlign w:val="bottom"/>
            <w:vMerge w:val="restart"/>
          </w:tcPr>
          <w:p>
            <w:pPr>
              <w:ind w:left="980"/>
              <w:spacing w:after="0"/>
              <w:rPr>
                <w:sz w:val="20"/>
                <w:szCs w:val="20"/>
                <w:color w:val="auto"/>
              </w:rPr>
            </w:pPr>
            <w:r>
              <w:rPr>
                <w:rFonts w:ascii="Arial" w:cs="Arial" w:eastAsia="Arial" w:hAnsi="Arial"/>
                <w:sz w:val="14"/>
                <w:szCs w:val="14"/>
                <w:color w:val="1252DE"/>
              </w:rPr>
              <w:t>Corresponding Accounting Policy</w:t>
            </w:r>
          </w:p>
        </w:tc>
        <w:tc>
          <w:tcPr>
            <w:tcW w:w="0" w:type="dxa"/>
            <w:vAlign w:val="bottom"/>
          </w:tcPr>
          <w:p>
            <w:pPr>
              <w:spacing w:after="0"/>
              <w:rPr>
                <w:sz w:val="1"/>
                <w:szCs w:val="1"/>
                <w:color w:val="auto"/>
              </w:rPr>
            </w:pPr>
          </w:p>
        </w:tc>
      </w:tr>
      <w:tr>
        <w:trPr>
          <w:trHeight w:val="185"/>
        </w:trPr>
        <w:tc>
          <w:tcPr>
            <w:tcW w:w="346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0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Value</w:t>
            </w:r>
          </w:p>
        </w:tc>
        <w:tc>
          <w:tcPr>
            <w:tcW w:w="28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4"/>
                <w:szCs w:val="14"/>
                <w:color w:val="1252DE"/>
              </w:rPr>
              <w:t>Value</w:t>
            </w:r>
          </w:p>
        </w:tc>
        <w:tc>
          <w:tcPr>
            <w:tcW w:w="20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Value</w:t>
            </w:r>
          </w:p>
        </w:tc>
        <w:tc>
          <w:tcPr>
            <w:tcW w:w="280" w:type="dxa"/>
            <w:vAlign w:val="bottom"/>
            <w:tcBorders>
              <w:bottom w:val="single" w:sz="8" w:color="1352DE"/>
            </w:tcBorders>
          </w:tcPr>
          <w:p>
            <w:pPr>
              <w:spacing w:after="0"/>
              <w:rPr>
                <w:sz w:val="16"/>
                <w:szCs w:val="16"/>
                <w:color w:val="auto"/>
              </w:rPr>
            </w:pP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Value</w:t>
            </w:r>
          </w:p>
        </w:tc>
        <w:tc>
          <w:tcPr>
            <w:tcW w:w="408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460" w:type="dxa"/>
            <w:vAlign w:val="bottom"/>
          </w:tcPr>
          <w:p>
            <w:pPr>
              <w:ind w:left="20"/>
              <w:spacing w:after="0" w:line="201" w:lineRule="exact"/>
              <w:rPr>
                <w:sz w:val="20"/>
                <w:szCs w:val="20"/>
                <w:color w:val="auto"/>
              </w:rPr>
            </w:pPr>
            <w:r>
              <w:rPr>
                <w:rFonts w:ascii="Arial" w:cs="Arial" w:eastAsia="Arial" w:hAnsi="Arial"/>
                <w:sz w:val="14"/>
                <w:szCs w:val="14"/>
                <w:color w:val="auto"/>
              </w:rPr>
              <w:t>Fixed maturity securities - available for sale</w:t>
            </w:r>
            <w:r>
              <w:rPr>
                <w:rFonts w:ascii="Arial" w:cs="Arial" w:eastAsia="Arial" w:hAnsi="Arial"/>
                <w:sz w:val="18"/>
                <w:szCs w:val="18"/>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1252DE"/>
              </w:rPr>
              <w:t>1,559</w:t>
            </w:r>
          </w:p>
        </w:tc>
        <w:tc>
          <w:tcPr>
            <w:tcW w:w="280" w:type="dxa"/>
            <w:vAlign w:val="bottom"/>
          </w:tcPr>
          <w:p>
            <w:pPr>
              <w:jc w:val="right"/>
              <w:ind w:right="68"/>
              <w:spacing w:after="0"/>
              <w:rPr>
                <w:sz w:val="20"/>
                <w:szCs w:val="20"/>
                <w:color w:val="auto"/>
              </w:rPr>
            </w:pPr>
            <w:r>
              <w:rPr>
                <w:rFonts w:ascii="Arial" w:cs="Arial" w:eastAsia="Arial" w:hAnsi="Arial"/>
                <w:sz w:val="14"/>
                <w:szCs w:val="14"/>
                <w:b w:val="1"/>
                <w:bCs w:val="1"/>
                <w:color w:val="1252DE"/>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1252DE"/>
              </w:rPr>
              <w:t>1,559</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1,780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1,780</w:t>
            </w:r>
          </w:p>
        </w:tc>
        <w:tc>
          <w:tcPr>
            <w:tcW w:w="4080" w:type="dxa"/>
            <w:vAlign w:val="bottom"/>
          </w:tcPr>
          <w:p>
            <w:pPr>
              <w:ind w:left="20"/>
              <w:spacing w:after="0"/>
              <w:rPr>
                <w:sz w:val="20"/>
                <w:szCs w:val="20"/>
                <w:color w:val="auto"/>
              </w:rPr>
            </w:pPr>
            <w:r>
              <w:rPr>
                <w:rFonts w:ascii="Arial" w:cs="Arial" w:eastAsia="Arial" w:hAnsi="Arial"/>
                <w:sz w:val="14"/>
                <w:szCs w:val="14"/>
                <w:color w:val="auto"/>
              </w:rPr>
              <w:t>Fair value through other comprehensive income (loss)</w:t>
            </w: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4"/>
                <w:szCs w:val="14"/>
                <w:color w:val="auto"/>
              </w:rPr>
              <w:t>Fixed maturity securities - fair value option</w:t>
            </w:r>
          </w:p>
        </w:tc>
        <w:tc>
          <w:tcPr>
            <w:tcW w:w="2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1252DE"/>
              </w:rPr>
              <w:t>639</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1252DE"/>
              </w:rPr>
              <w:t>639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734</w:t>
            </w:r>
          </w:p>
        </w:tc>
        <w:tc>
          <w:tcPr>
            <w:tcW w:w="2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734</w:t>
            </w:r>
          </w:p>
        </w:tc>
        <w:tc>
          <w:tcPr>
            <w:tcW w:w="4080" w:type="dxa"/>
            <w:vAlign w:val="bottom"/>
          </w:tcPr>
          <w:p>
            <w:pPr>
              <w:ind w:left="20"/>
              <w:spacing w:after="0"/>
              <w:rPr>
                <w:sz w:val="20"/>
                <w:szCs w:val="20"/>
                <w:color w:val="auto"/>
              </w:rPr>
            </w:pPr>
            <w:r>
              <w:rPr>
                <w:rFonts w:ascii="Arial" w:cs="Arial" w:eastAsia="Arial" w:hAnsi="Arial"/>
                <w:sz w:val="14"/>
                <w:szCs w:val="14"/>
                <w:color w:val="auto"/>
              </w:rPr>
              <w:t>Fair value through net investment income</w:t>
            </w:r>
          </w:p>
        </w:tc>
        <w:tc>
          <w:tcPr>
            <w:tcW w:w="0" w:type="dxa"/>
            <w:vAlign w:val="bottom"/>
          </w:tcPr>
          <w:p>
            <w:pPr>
              <w:spacing w:after="0"/>
              <w:rPr>
                <w:sz w:val="1"/>
                <w:szCs w:val="1"/>
                <w:color w:val="auto"/>
              </w:rPr>
            </w:pPr>
          </w:p>
        </w:tc>
      </w:tr>
      <w:tr>
        <w:trPr>
          <w:trHeight w:val="203"/>
        </w:trPr>
        <w:tc>
          <w:tcPr>
            <w:tcW w:w="3460" w:type="dxa"/>
            <w:vAlign w:val="bottom"/>
          </w:tcPr>
          <w:p>
            <w:pPr>
              <w:ind w:left="20"/>
              <w:spacing w:after="0"/>
              <w:rPr>
                <w:sz w:val="20"/>
                <w:szCs w:val="20"/>
                <w:color w:val="auto"/>
              </w:rPr>
            </w:pPr>
            <w:r>
              <w:rPr>
                <w:rFonts w:ascii="Arial" w:cs="Arial" w:eastAsia="Arial" w:hAnsi="Arial"/>
                <w:sz w:val="14"/>
                <w:szCs w:val="14"/>
                <w:color w:val="auto"/>
              </w:rPr>
              <w:t>Commercial mortgage and other loans</w:t>
            </w:r>
          </w:p>
        </w:tc>
        <w:tc>
          <w:tcPr>
            <w:tcW w:w="2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1252DE"/>
              </w:rPr>
              <w:t>225</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1252DE"/>
              </w:rPr>
              <w:t>217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2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344</w:t>
            </w:r>
          </w:p>
        </w:tc>
        <w:tc>
          <w:tcPr>
            <w:tcW w:w="4080" w:type="dxa"/>
            <w:vAlign w:val="bottom"/>
          </w:tcPr>
          <w:p>
            <w:pPr>
              <w:ind w:left="20"/>
              <w:spacing w:after="0"/>
              <w:rPr>
                <w:sz w:val="20"/>
                <w:szCs w:val="20"/>
                <w:color w:val="auto"/>
              </w:rPr>
            </w:pPr>
            <w:r>
              <w:rPr>
                <w:rFonts w:ascii="Arial" w:cs="Arial" w:eastAsia="Arial" w:hAnsi="Arial"/>
                <w:sz w:val="14"/>
                <w:szCs w:val="14"/>
                <w:color w:val="auto"/>
              </w:rPr>
              <w:t>Amortized cost</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Short-term investments</w:t>
            </w:r>
          </w:p>
        </w:tc>
        <w:tc>
          <w:tcPr>
            <w:tcW w:w="20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299</w:t>
            </w:r>
          </w:p>
        </w:tc>
        <w:tc>
          <w:tcPr>
            <w:tcW w:w="280" w:type="dxa"/>
            <w:vAlign w:val="bottom"/>
            <w:tcBorders>
              <w:bottom w:val="single" w:sz="8" w:color="1352DE"/>
            </w:tcBorders>
          </w:tcPr>
          <w:p>
            <w:pPr>
              <w:spacing w:after="0"/>
              <w:rPr>
                <w:sz w:val="17"/>
                <w:szCs w:val="17"/>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299</w:t>
            </w: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43</w:t>
            </w:r>
          </w:p>
        </w:tc>
        <w:tc>
          <w:tcPr>
            <w:tcW w:w="28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43</w:t>
            </w:r>
          </w:p>
        </w:tc>
        <w:tc>
          <w:tcPr>
            <w:tcW w:w="40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Fair value through net investment income</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Arial" w:cs="Arial" w:eastAsia="Arial" w:hAnsi="Arial"/>
                <w:sz w:val="14"/>
                <w:szCs w:val="14"/>
                <w:color w:val="auto"/>
              </w:rPr>
              <w:t>Funds withheld investment assets</w:t>
            </w:r>
          </w:p>
        </w:tc>
        <w:tc>
          <w:tcPr>
            <w:tcW w:w="2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1252DE"/>
              </w:rPr>
              <w:t>2,722</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1252DE"/>
              </w:rPr>
              <w:t>2,714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2,916</w:t>
            </w:r>
          </w:p>
        </w:tc>
        <w:tc>
          <w:tcPr>
            <w:tcW w:w="2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2,901</w:t>
            </w: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20"/>
              <w:spacing w:after="0"/>
              <w:rPr>
                <w:sz w:val="20"/>
                <w:szCs w:val="20"/>
                <w:color w:val="auto"/>
              </w:rPr>
            </w:pPr>
            <w:r>
              <w:rPr>
                <w:rFonts w:ascii="Arial" w:cs="Arial" w:eastAsia="Arial" w:hAnsi="Arial"/>
                <w:sz w:val="14"/>
                <w:szCs w:val="14"/>
                <w:color w:val="auto"/>
              </w:rPr>
              <w:t>Derivative assets, net</w:t>
            </w:r>
            <w:r>
              <w:rPr>
                <w:rFonts w:ascii="Arial" w:cs="Arial" w:eastAsia="Arial" w:hAnsi="Arial"/>
                <w:sz w:val="18"/>
                <w:szCs w:val="18"/>
                <w:color w:val="auto"/>
                <w:vertAlign w:val="superscript"/>
              </w:rPr>
              <w:t>(b)</w:t>
            </w:r>
          </w:p>
        </w:tc>
        <w:tc>
          <w:tcPr>
            <w:tcW w:w="2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2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1252DE"/>
              </w:rPr>
              <w:t>—</w:t>
            </w:r>
          </w:p>
        </w:tc>
        <w:tc>
          <w:tcPr>
            <w:tcW w:w="2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80" w:type="dxa"/>
            <w:vAlign w:val="bottom"/>
          </w:tcPr>
          <w:p>
            <w:pPr>
              <w:ind w:left="20"/>
              <w:spacing w:after="0"/>
              <w:rPr>
                <w:sz w:val="20"/>
                <w:szCs w:val="20"/>
                <w:color w:val="auto"/>
              </w:rPr>
            </w:pPr>
            <w:r>
              <w:rPr>
                <w:rFonts w:ascii="Arial" w:cs="Arial" w:eastAsia="Arial" w:hAnsi="Arial"/>
                <w:sz w:val="14"/>
                <w:szCs w:val="14"/>
                <w:color w:val="auto"/>
              </w:rPr>
              <w:t>Fair value through net realized gains (losses)</w:t>
            </w:r>
          </w:p>
        </w:tc>
        <w:tc>
          <w:tcPr>
            <w:tcW w:w="0" w:type="dxa"/>
            <w:vAlign w:val="bottom"/>
          </w:tcPr>
          <w:p>
            <w:pPr>
              <w:spacing w:after="0"/>
              <w:rPr>
                <w:sz w:val="1"/>
                <w:szCs w:val="1"/>
                <w:color w:val="auto"/>
              </w:rPr>
            </w:pPr>
          </w:p>
        </w:tc>
      </w:tr>
      <w:tr>
        <w:trPr>
          <w:trHeight w:val="201"/>
        </w:trPr>
        <w:tc>
          <w:tcPr>
            <w:tcW w:w="3460" w:type="dxa"/>
            <w:vAlign w:val="bottom"/>
            <w:tcBorders>
              <w:bottom w:val="single" w:sz="8" w:color="1352DE"/>
            </w:tcBorders>
          </w:tcPr>
          <w:p>
            <w:pPr>
              <w:ind w:left="20"/>
              <w:spacing w:after="0" w:line="201"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(c)</w:t>
            </w:r>
          </w:p>
        </w:tc>
        <w:tc>
          <w:tcPr>
            <w:tcW w:w="20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25</w:t>
            </w:r>
          </w:p>
        </w:tc>
        <w:tc>
          <w:tcPr>
            <w:tcW w:w="280" w:type="dxa"/>
            <w:vAlign w:val="bottom"/>
            <w:tcBorders>
              <w:bottom w:val="single" w:sz="8" w:color="1352DE"/>
            </w:tcBorders>
          </w:tcPr>
          <w:p>
            <w:pPr>
              <w:spacing w:after="0"/>
              <w:rPr>
                <w:sz w:val="17"/>
                <w:szCs w:val="17"/>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25</w:t>
            </w: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137</w:t>
            </w:r>
          </w:p>
        </w:tc>
        <w:tc>
          <w:tcPr>
            <w:tcW w:w="28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137</w:t>
            </w:r>
          </w:p>
        </w:tc>
        <w:tc>
          <w:tcPr>
            <w:tcW w:w="40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Amortized cost</w:t>
            </w:r>
          </w:p>
        </w:tc>
        <w:tc>
          <w:tcPr>
            <w:tcW w:w="0" w:type="dxa"/>
            <w:vAlign w:val="bottom"/>
          </w:tcPr>
          <w:p>
            <w:pPr>
              <w:spacing w:after="0"/>
              <w:rPr>
                <w:sz w:val="1"/>
                <w:szCs w:val="1"/>
                <w:color w:val="auto"/>
              </w:rPr>
            </w:pPr>
          </w:p>
        </w:tc>
      </w:tr>
      <w:tr>
        <w:trPr>
          <w:trHeight w:val="195"/>
        </w:trPr>
        <w:tc>
          <w:tcPr>
            <w:tcW w:w="346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7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2,747</w:t>
            </w:r>
          </w:p>
        </w:tc>
        <w:tc>
          <w:tcPr>
            <w:tcW w:w="28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2,739</w:t>
            </w:r>
          </w:p>
        </w:tc>
        <w:tc>
          <w:tcPr>
            <w:tcW w:w="140" w:type="dxa"/>
            <w:vAlign w:val="bottom"/>
            <w:tcBorders>
              <w:bottom w:val="single" w:sz="8" w:color="1352DE"/>
            </w:tcBorders>
          </w:tcPr>
          <w:p>
            <w:pPr>
              <w:spacing w:after="0"/>
              <w:rPr>
                <w:sz w:val="16"/>
                <w:szCs w:val="16"/>
                <w:color w:val="auto"/>
              </w:rPr>
            </w:pP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3,053</w:t>
            </w:r>
          </w:p>
        </w:tc>
        <w:tc>
          <w:tcPr>
            <w:tcW w:w="28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3,038</w:t>
            </w:r>
          </w:p>
        </w:tc>
        <w:tc>
          <w:tcPr>
            <w:tcW w:w="408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80" w:hanging="212"/>
        <w:spacing w:after="0" w:line="286" w:lineRule="auto"/>
        <w:tabs>
          <w:tab w:leader="none" w:pos="208"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change in the net unrealized gains (losses) on available for sale securities related to the Fortitude Re funds withheld assets was $(73) million ($(58) million after-tax) and $85 million ($67 million after-tax), respectively, for the nine months ended September 30, 2026 and for the year ended December 31, 2025.</w:t>
      </w:r>
    </w:p>
    <w:p>
      <w:pPr>
        <w:spacing w:after="0" w:line="35" w:lineRule="exact"/>
        <w:rPr>
          <w:rFonts w:ascii="Arial" w:cs="Arial" w:eastAsia="Arial" w:hAnsi="Arial"/>
          <w:sz w:val="13"/>
          <w:szCs w:val="13"/>
          <w:color w:val="auto"/>
        </w:rPr>
      </w:pPr>
    </w:p>
    <w:p>
      <w:pPr>
        <w:ind w:left="220" w:right="120" w:hanging="212"/>
        <w:spacing w:after="0" w:line="262" w:lineRule="auto"/>
        <w:tabs>
          <w:tab w:leader="none" w:pos="208"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derivative assets and liabilities have been presented net of cash collateral. The derivative assets and liabilities supporting the Fortitude Re funds withheld arrangements had a fair market value of $2 million and $29 million, respectively, as of September 30, 2026. The derivative assets and liabilities supporting the Fortitude Re funds withheld arrangements had a fair market value of $1 million and $31 million, respectively, as of December 31, 2025. These derivative assets and liabilities are fully collateralized either by cash or securities.</w:t>
      </w:r>
    </w:p>
    <w:p>
      <w:pPr>
        <w:spacing w:after="0" w:line="50" w:lineRule="exact"/>
        <w:rPr>
          <w:rFonts w:ascii="Arial" w:cs="Arial" w:eastAsia="Arial" w:hAnsi="Arial"/>
          <w:sz w:val="13"/>
          <w:szCs w:val="13"/>
          <w:color w:val="auto"/>
        </w:rPr>
      </w:pPr>
    </w:p>
    <w:p>
      <w:pPr>
        <w:ind w:left="220" w:hanging="212"/>
        <w:spacing w:after="0"/>
        <w:tabs>
          <w:tab w:leader="none" w:pos="2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Primarily comprised of Cash and Accrued investment income.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impact of the funds withheld arrangements with Fortitude Re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60" w:type="dxa"/>
            <w:vAlign w:val="bottom"/>
            <w:tcBorders>
              <w:top w:val="single" w:sz="8" w:color="1352DE"/>
            </w:tcBorders>
          </w:tcPr>
          <w:p>
            <w:pPr>
              <w:spacing w:after="0"/>
              <w:rPr>
                <w:sz w:val="14"/>
                <w:szCs w:val="14"/>
                <w:color w:val="auto"/>
              </w:rPr>
            </w:pPr>
          </w:p>
        </w:tc>
        <w:tc>
          <w:tcPr>
            <w:tcW w:w="340" w:type="dxa"/>
            <w:vAlign w:val="bottom"/>
            <w:tcBorders>
              <w:top w:val="single" w:sz="8" w:color="1352DE"/>
            </w:tcBorders>
          </w:tcPr>
          <w:p>
            <w:pPr>
              <w:spacing w:after="0"/>
              <w:rPr>
                <w:sz w:val="14"/>
                <w:szCs w:val="14"/>
                <w:color w:val="auto"/>
              </w:rPr>
            </w:pPr>
          </w:p>
        </w:tc>
        <w:tc>
          <w:tcPr>
            <w:tcW w:w="1560" w:type="dxa"/>
            <w:vAlign w:val="bottom"/>
            <w:tcBorders>
              <w:top w:val="single" w:sz="8" w:color="1352DE"/>
            </w:tcBorders>
            <w:gridSpan w:val="2"/>
          </w:tcPr>
          <w:p>
            <w:pPr>
              <w:jc w:val="right"/>
              <w:ind w:right="8"/>
              <w:spacing w:after="0"/>
              <w:rPr>
                <w:sz w:val="20"/>
                <w:szCs w:val="20"/>
                <w:color w:val="auto"/>
              </w:rPr>
            </w:pPr>
            <w:r>
              <w:rPr>
                <w:rFonts w:ascii="Arial" w:cs="Arial" w:eastAsia="Arial" w:hAnsi="Arial"/>
                <w:sz w:val="14"/>
                <w:szCs w:val="14"/>
                <w:color w:val="1352DE"/>
              </w:rPr>
              <w:t>Three Months Ended</w:t>
            </w:r>
          </w:p>
        </w:tc>
        <w:tc>
          <w:tcPr>
            <w:tcW w:w="400" w:type="dxa"/>
            <w:vAlign w:val="bottom"/>
            <w:tcBorders>
              <w:top w:val="single" w:sz="8" w:color="1352DE"/>
            </w:tcBorders>
          </w:tcPr>
          <w:p>
            <w:pPr>
              <w:spacing w:after="0"/>
              <w:rPr>
                <w:sz w:val="14"/>
                <w:szCs w:val="14"/>
                <w:color w:val="auto"/>
              </w:rPr>
            </w:pPr>
          </w:p>
        </w:tc>
        <w:tc>
          <w:tcPr>
            <w:tcW w:w="140" w:type="dxa"/>
            <w:vAlign w:val="bottom"/>
            <w:tcBorders>
              <w:top w:val="single" w:sz="8" w:color="1352DE"/>
            </w:tcBorders>
          </w:tcPr>
          <w:p>
            <w:pPr>
              <w:spacing w:after="0"/>
              <w:rPr>
                <w:sz w:val="14"/>
                <w:szCs w:val="14"/>
                <w:color w:val="auto"/>
              </w:rPr>
            </w:pPr>
          </w:p>
        </w:tc>
        <w:tc>
          <w:tcPr>
            <w:tcW w:w="400" w:type="dxa"/>
            <w:vAlign w:val="bottom"/>
            <w:tcBorders>
              <w:top w:val="single" w:sz="8" w:color="1352DE"/>
            </w:tcBorders>
          </w:tcPr>
          <w:p>
            <w:pPr>
              <w:spacing w:after="0"/>
              <w:rPr>
                <w:sz w:val="14"/>
                <w:szCs w:val="14"/>
                <w:color w:val="auto"/>
              </w:rPr>
            </w:pPr>
          </w:p>
        </w:tc>
        <w:tc>
          <w:tcPr>
            <w:tcW w:w="1620" w:type="dxa"/>
            <w:vAlign w:val="bottom"/>
            <w:tcBorders>
              <w:top w:val="single" w:sz="8" w:color="1352DE"/>
            </w:tcBorders>
            <w:gridSpan w:val="2"/>
          </w:tcPr>
          <w:p>
            <w:pPr>
              <w:jc w:val="right"/>
              <w:ind w:right="48"/>
              <w:spacing w:after="0"/>
              <w:rPr>
                <w:sz w:val="20"/>
                <w:szCs w:val="20"/>
                <w:color w:val="auto"/>
              </w:rPr>
            </w:pPr>
            <w:r>
              <w:rPr>
                <w:rFonts w:ascii="Arial" w:cs="Arial" w:eastAsia="Arial" w:hAnsi="Arial"/>
                <w:sz w:val="14"/>
                <w:szCs w:val="14"/>
                <w:color w:val="1352DE"/>
              </w:rPr>
              <w:t>Nine Months Ended</w:t>
            </w:r>
          </w:p>
        </w:tc>
        <w:tc>
          <w:tcPr>
            <w:tcW w:w="500" w:type="dxa"/>
            <w:vAlign w:val="bottom"/>
            <w:tcBorders>
              <w:top w:val="single" w:sz="8" w:color="1352DE"/>
            </w:tcBorders>
          </w:tcPr>
          <w:p>
            <w:pPr>
              <w:spacing w:after="0"/>
              <w:rPr>
                <w:sz w:val="14"/>
                <w:szCs w:val="14"/>
                <w:color w:val="auto"/>
              </w:rPr>
            </w:pPr>
          </w:p>
        </w:tc>
      </w:tr>
      <w:tr>
        <w:trPr>
          <w:trHeight w:val="185"/>
        </w:trPr>
        <w:tc>
          <w:tcPr>
            <w:tcW w:w="6260" w:type="dxa"/>
            <w:vAlign w:val="bottom"/>
          </w:tcPr>
          <w:p>
            <w:pPr>
              <w:spacing w:after="0"/>
              <w:rPr>
                <w:sz w:val="16"/>
                <w:szCs w:val="16"/>
                <w:color w:val="auto"/>
              </w:rPr>
            </w:pPr>
          </w:p>
        </w:tc>
        <w:tc>
          <w:tcPr>
            <w:tcW w:w="340" w:type="dxa"/>
            <w:vAlign w:val="bottom"/>
            <w:tcBorders>
              <w:bottom w:val="single" w:sz="8" w:color="1352DE"/>
            </w:tcBorders>
          </w:tcPr>
          <w:p>
            <w:pPr>
              <w:spacing w:after="0"/>
              <w:rPr>
                <w:sz w:val="16"/>
                <w:szCs w:val="16"/>
                <w:color w:val="auto"/>
              </w:rPr>
            </w:pPr>
          </w:p>
        </w:tc>
        <w:tc>
          <w:tcPr>
            <w:tcW w:w="1560" w:type="dxa"/>
            <w:vAlign w:val="bottom"/>
            <w:tcBorders>
              <w:bottom w:val="single" w:sz="8" w:color="1352DE"/>
            </w:tcBorders>
            <w:gridSpan w:val="2"/>
          </w:tcPr>
          <w:p>
            <w:pPr>
              <w:jc w:val="right"/>
              <w:ind w:right="208"/>
              <w:spacing w:after="0"/>
              <w:rPr>
                <w:sz w:val="20"/>
                <w:szCs w:val="20"/>
                <w:color w:val="auto"/>
              </w:rPr>
            </w:pPr>
            <w:r>
              <w:rPr>
                <w:rFonts w:ascii="Arial" w:cs="Arial" w:eastAsia="Arial" w:hAnsi="Arial"/>
                <w:sz w:val="14"/>
                <w:szCs w:val="14"/>
                <w:color w:val="1352DE"/>
              </w:rPr>
              <w:t>September 30,</w:t>
            </w:r>
          </w:p>
        </w:tc>
        <w:tc>
          <w:tcPr>
            <w:tcW w:w="400" w:type="dxa"/>
            <w:vAlign w:val="bottom"/>
            <w:tcBorders>
              <w:bottom w:val="single" w:sz="8" w:color="1352DE"/>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1620" w:type="dxa"/>
            <w:vAlign w:val="bottom"/>
            <w:tcBorders>
              <w:bottom w:val="single" w:sz="8" w:color="1352DE"/>
            </w:tcBorders>
            <w:gridSpan w:val="2"/>
          </w:tcPr>
          <w:p>
            <w:pPr>
              <w:jc w:val="right"/>
              <w:ind w:right="208"/>
              <w:spacing w:after="0"/>
              <w:rPr>
                <w:sz w:val="20"/>
                <w:szCs w:val="20"/>
                <w:color w:val="auto"/>
              </w:rPr>
            </w:pPr>
            <w:r>
              <w:rPr>
                <w:rFonts w:ascii="Arial" w:cs="Arial" w:eastAsia="Arial" w:hAnsi="Arial"/>
                <w:sz w:val="14"/>
                <w:szCs w:val="14"/>
                <w:color w:val="1352DE"/>
              </w:rPr>
              <w:t>September 30,</w:t>
            </w:r>
          </w:p>
        </w:tc>
        <w:tc>
          <w:tcPr>
            <w:tcW w:w="500" w:type="dxa"/>
            <w:vAlign w:val="bottom"/>
            <w:tcBorders>
              <w:bottom w:val="single" w:sz="8" w:color="1352DE"/>
            </w:tcBorders>
          </w:tcPr>
          <w:p>
            <w:pPr>
              <w:spacing w:after="0"/>
              <w:rPr>
                <w:sz w:val="16"/>
                <w:szCs w:val="16"/>
                <w:color w:val="auto"/>
              </w:rPr>
            </w:pPr>
          </w:p>
        </w:tc>
      </w:tr>
      <w:tr>
        <w:trPr>
          <w:trHeight w:val="195"/>
        </w:trPr>
        <w:tc>
          <w:tcPr>
            <w:tcW w:w="626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352DE"/>
              </w:rPr>
              <w:t>(in millions)</w:t>
            </w:r>
          </w:p>
        </w:tc>
        <w:tc>
          <w:tcPr>
            <w:tcW w:w="34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2026</w:t>
            </w:r>
          </w:p>
        </w:tc>
        <w:tc>
          <w:tcPr>
            <w:tcW w:w="72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352DE"/>
              </w:rPr>
              <w:t>2025</w:t>
            </w:r>
          </w:p>
        </w:tc>
        <w:tc>
          <w:tcPr>
            <w:tcW w:w="14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2026</w:t>
            </w:r>
          </w:p>
        </w:tc>
        <w:tc>
          <w:tcPr>
            <w:tcW w:w="72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352DE"/>
              </w:rPr>
              <w:t>2025</w:t>
            </w:r>
          </w:p>
        </w:tc>
      </w:tr>
      <w:tr>
        <w:trPr>
          <w:trHeight w:val="195"/>
        </w:trPr>
        <w:tc>
          <w:tcPr>
            <w:tcW w:w="6260" w:type="dxa"/>
            <w:vAlign w:val="bottom"/>
          </w:tcPr>
          <w:p>
            <w:pPr>
              <w:ind w:left="20"/>
              <w:spacing w:after="0"/>
              <w:rPr>
                <w:sz w:val="20"/>
                <w:szCs w:val="20"/>
                <w:color w:val="auto"/>
              </w:rPr>
            </w:pPr>
            <w:r>
              <w:rPr>
                <w:rFonts w:ascii="Arial" w:cs="Arial" w:eastAsia="Arial" w:hAnsi="Arial"/>
                <w:sz w:val="14"/>
                <w:szCs w:val="14"/>
                <w:color w:val="auto"/>
              </w:rPr>
              <w:t>Net investment income - Fortitude Re funds withheld assets</w:t>
            </w:r>
          </w:p>
        </w:tc>
        <w:tc>
          <w:tcPr>
            <w:tcW w:w="340" w:type="dxa"/>
            <w:vAlign w:val="bottom"/>
          </w:tcPr>
          <w:p>
            <w:pPr>
              <w:jc w:val="right"/>
              <w:ind w:right="88"/>
              <w:spacing w:after="0"/>
              <w:rPr>
                <w:sz w:val="20"/>
                <w:szCs w:val="20"/>
                <w:color w:val="auto"/>
              </w:rPr>
            </w:pPr>
            <w:r>
              <w:rPr>
                <w:rFonts w:ascii="Arial" w:cs="Arial" w:eastAsia="Arial" w:hAnsi="Arial"/>
                <w:sz w:val="14"/>
                <w:szCs w:val="14"/>
                <w:b w:val="1"/>
                <w:bCs w:val="1"/>
                <w:color w:val="1252DE"/>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1252DE"/>
              </w:rPr>
              <w:t>16</w:t>
            </w:r>
          </w:p>
        </w:tc>
        <w:tc>
          <w:tcPr>
            <w:tcW w:w="72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6"/>
                <w:szCs w:val="16"/>
                <w:color w:val="auto"/>
              </w:rPr>
            </w:pPr>
          </w:p>
        </w:tc>
        <w:tc>
          <w:tcPr>
            <w:tcW w:w="400" w:type="dxa"/>
            <w:vAlign w:val="bottom"/>
          </w:tcPr>
          <w:p>
            <w:pPr>
              <w:jc w:val="right"/>
              <w:ind w:right="148"/>
              <w:spacing w:after="0"/>
              <w:rPr>
                <w:sz w:val="20"/>
                <w:szCs w:val="20"/>
                <w:color w:val="auto"/>
              </w:rPr>
            </w:pPr>
            <w:r>
              <w:rPr>
                <w:rFonts w:ascii="Arial" w:cs="Arial" w:eastAsia="Arial" w:hAnsi="Arial"/>
                <w:sz w:val="14"/>
                <w:szCs w:val="14"/>
                <w:b w:val="1"/>
                <w:bCs w:val="1"/>
                <w:color w:val="1352DE"/>
              </w:rPr>
              <w: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352DE"/>
              </w:rPr>
              <w:t>75</w:t>
            </w:r>
          </w:p>
        </w:tc>
        <w:tc>
          <w:tcPr>
            <w:tcW w:w="7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3"/>
        </w:trPr>
        <w:tc>
          <w:tcPr>
            <w:tcW w:w="6260" w:type="dxa"/>
            <w:vAlign w:val="bottom"/>
          </w:tcPr>
          <w:p>
            <w:pPr>
              <w:ind w:left="20"/>
              <w:spacing w:after="0"/>
              <w:rPr>
                <w:sz w:val="20"/>
                <w:szCs w:val="20"/>
                <w:color w:val="auto"/>
              </w:rPr>
            </w:pPr>
            <w:r>
              <w:rPr>
                <w:rFonts w:ascii="Arial" w:cs="Arial" w:eastAsia="Arial" w:hAnsi="Arial"/>
                <w:sz w:val="14"/>
                <w:szCs w:val="14"/>
                <w:b w:val="1"/>
                <w:bCs w:val="1"/>
                <w:color w:val="1352DE"/>
              </w:rPr>
              <w:t>Net realized gains (losses) on Fortitude Re funds withheld assets: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6260" w:type="dxa"/>
            <w:vAlign w:val="bottom"/>
          </w:tcPr>
          <w:p>
            <w:pPr>
              <w:ind w:left="140"/>
              <w:spacing w:after="0"/>
              <w:rPr>
                <w:sz w:val="20"/>
                <w:szCs w:val="20"/>
                <w:color w:val="auto"/>
              </w:rPr>
            </w:pPr>
            <w:r>
              <w:rPr>
                <w:rFonts w:ascii="Arial" w:cs="Arial" w:eastAsia="Arial" w:hAnsi="Arial"/>
                <w:sz w:val="14"/>
                <w:szCs w:val="14"/>
                <w:color w:val="auto"/>
              </w:rPr>
              <w:t>Net realized losses - Fortitude Re funds withheld assets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1252DE"/>
              </w:rPr>
              <w:t>(28)</w:t>
            </w:r>
          </w:p>
        </w:tc>
        <w:tc>
          <w:tcPr>
            <w:tcW w:w="7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1352DE"/>
              </w:rPr>
              <w:t>(47)</w:t>
            </w:r>
          </w:p>
        </w:tc>
        <w:tc>
          <w:tcPr>
            <w:tcW w:w="7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3"/>
        </w:trPr>
        <w:tc>
          <w:tcPr>
            <w:tcW w:w="626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Net realized gains (losses) - Fortitude Re funds withheld embedded derivative</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85</w:t>
            </w:r>
          </w:p>
        </w:tc>
        <w:tc>
          <w:tcPr>
            <w:tcW w:w="72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(54)</w:t>
            </w:r>
          </w:p>
        </w:tc>
        <w:tc>
          <w:tcPr>
            <w:tcW w:w="14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44</w:t>
            </w:r>
          </w:p>
        </w:tc>
        <w:tc>
          <w:tcPr>
            <w:tcW w:w="72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(109)</w:t>
            </w:r>
          </w:p>
        </w:tc>
      </w:tr>
      <w:tr>
        <w:trPr>
          <w:trHeight w:val="196"/>
        </w:trPr>
        <w:tc>
          <w:tcPr>
            <w:tcW w:w="626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Net realized gains (losses) on Fortitude Re funds withheld assets</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57</w:t>
            </w:r>
          </w:p>
        </w:tc>
        <w:tc>
          <w:tcPr>
            <w:tcW w:w="72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(59)</w:t>
            </w:r>
          </w:p>
        </w:tc>
        <w:tc>
          <w:tcPr>
            <w:tcW w:w="14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(3)</w:t>
            </w:r>
          </w:p>
        </w:tc>
        <w:tc>
          <w:tcPr>
            <w:tcW w:w="72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(168)</w:t>
            </w:r>
          </w:p>
        </w:tc>
      </w:tr>
      <w:tr>
        <w:trPr>
          <w:trHeight w:val="195"/>
        </w:trPr>
        <w:tc>
          <w:tcPr>
            <w:tcW w:w="6260" w:type="dxa"/>
            <w:vAlign w:val="bottom"/>
          </w:tcPr>
          <w:p>
            <w:pPr>
              <w:ind w:left="20"/>
              <w:spacing w:after="0"/>
              <w:rPr>
                <w:sz w:val="20"/>
                <w:szCs w:val="20"/>
                <w:color w:val="auto"/>
              </w:rPr>
            </w:pPr>
            <w:r>
              <w:rPr>
                <w:rFonts w:ascii="Arial" w:cs="Arial" w:eastAsia="Arial" w:hAnsi="Arial"/>
                <w:sz w:val="14"/>
                <w:szCs w:val="14"/>
                <w:b w:val="1"/>
                <w:bCs w:val="1"/>
                <w:color w:val="1352DE"/>
              </w:rPr>
              <w:t>Income (loss) before income tax expense (benefit)</w:t>
            </w:r>
          </w:p>
        </w:tc>
        <w:tc>
          <w:tcPr>
            <w:tcW w:w="34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1252DE"/>
              </w:rPr>
              <w:t>73</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352DE"/>
              </w:rPr>
              <w:t>72</w:t>
            </w:r>
          </w:p>
        </w:tc>
        <w:tc>
          <w:tcPr>
            <w:tcW w:w="7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4"/>
        </w:trPr>
        <w:tc>
          <w:tcPr>
            <w:tcW w:w="6260" w:type="dxa"/>
            <w:vAlign w:val="bottom"/>
            <w:tcBorders>
              <w:bottom w:val="single" w:sz="8" w:color="1352DE"/>
            </w:tcBorders>
          </w:tcPr>
          <w:p>
            <w:pPr>
              <w:ind w:left="20"/>
              <w:spacing w:after="0" w:line="205" w:lineRule="exact"/>
              <w:rPr>
                <w:sz w:val="20"/>
                <w:szCs w:val="20"/>
                <w:color w:val="auto"/>
              </w:rPr>
            </w:pPr>
            <w:r>
              <w:rPr>
                <w:rFonts w:ascii="Arial" w:cs="Arial" w:eastAsia="Arial" w:hAnsi="Arial"/>
                <w:sz w:val="14"/>
                <w:szCs w:val="14"/>
                <w:color w:val="auto"/>
              </w:rPr>
              <w:t>Income tax expense (benefit)</w:t>
            </w:r>
            <w:r>
              <w:rPr>
                <w:rFonts w:ascii="Arial" w:cs="Arial" w:eastAsia="Arial" w:hAnsi="Arial"/>
                <w:sz w:val="18"/>
                <w:szCs w:val="18"/>
                <w:color w:val="auto"/>
                <w:vertAlign w:val="superscript"/>
              </w:rPr>
              <w:t>(a)</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15</w:t>
            </w:r>
          </w:p>
        </w:tc>
        <w:tc>
          <w:tcPr>
            <w:tcW w:w="72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15</w:t>
            </w:r>
          </w:p>
        </w:tc>
        <w:tc>
          <w:tcPr>
            <w:tcW w:w="72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(13)</w:t>
            </w:r>
          </w:p>
        </w:tc>
      </w:tr>
      <w:tr>
        <w:trPr>
          <w:trHeight w:val="194"/>
        </w:trPr>
        <w:tc>
          <w:tcPr>
            <w:tcW w:w="6260" w:type="dxa"/>
            <w:vAlign w:val="bottom"/>
          </w:tcPr>
          <w:p>
            <w:pPr>
              <w:ind w:left="20"/>
              <w:spacing w:after="0"/>
              <w:rPr>
                <w:sz w:val="20"/>
                <w:szCs w:val="20"/>
                <w:color w:val="auto"/>
              </w:rPr>
            </w:pPr>
            <w:r>
              <w:rPr>
                <w:rFonts w:ascii="Arial" w:cs="Arial" w:eastAsia="Arial" w:hAnsi="Arial"/>
                <w:sz w:val="14"/>
                <w:szCs w:val="14"/>
                <w:b w:val="1"/>
                <w:bCs w:val="1"/>
                <w:color w:val="1352DE"/>
              </w:rPr>
              <w:t>Net income (loss)</w:t>
            </w:r>
          </w:p>
        </w:tc>
        <w:tc>
          <w:tcPr>
            <w:tcW w:w="34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1252DE"/>
              </w:rPr>
              <w:t>58</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1352DE"/>
              </w:rPr>
              <w:t>57</w:t>
            </w:r>
          </w:p>
        </w:tc>
        <w:tc>
          <w:tcPr>
            <w:tcW w:w="7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4"/>
        </w:trPr>
        <w:tc>
          <w:tcPr>
            <w:tcW w:w="6260" w:type="dxa"/>
            <w:vAlign w:val="bottom"/>
            <w:tcBorders>
              <w:bottom w:val="single" w:sz="8" w:color="1352DE"/>
            </w:tcBorders>
          </w:tcPr>
          <w:p>
            <w:pPr>
              <w:ind w:left="20"/>
              <w:spacing w:after="0" w:line="205" w:lineRule="exact"/>
              <w:rPr>
                <w:sz w:val="20"/>
                <w:szCs w:val="20"/>
                <w:color w:val="auto"/>
              </w:rPr>
            </w:pPr>
            <w:r>
              <w:rPr>
                <w:rFonts w:ascii="Arial" w:cs="Arial" w:eastAsia="Arial" w:hAnsi="Arial"/>
                <w:sz w:val="14"/>
                <w:szCs w:val="14"/>
                <w:color w:val="auto"/>
              </w:rPr>
              <w:t>Change in unrealized appreciation (depreciation) on available for sale securities</w:t>
            </w:r>
            <w:r>
              <w:rPr>
                <w:rFonts w:ascii="Arial" w:cs="Arial" w:eastAsia="Arial" w:hAnsi="Arial"/>
                <w:sz w:val="18"/>
                <w:szCs w:val="18"/>
                <w:color w:val="auto"/>
                <w:vertAlign w:val="superscript"/>
              </w:rPr>
              <w:t>(a)</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(58)</w:t>
            </w:r>
          </w:p>
        </w:tc>
        <w:tc>
          <w:tcPr>
            <w:tcW w:w="72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(58)</w:t>
            </w:r>
          </w:p>
        </w:tc>
        <w:tc>
          <w:tcPr>
            <w:tcW w:w="72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46</w:t>
            </w:r>
          </w:p>
        </w:tc>
      </w:tr>
      <w:tr>
        <w:trPr>
          <w:trHeight w:val="195"/>
        </w:trPr>
        <w:tc>
          <w:tcPr>
            <w:tcW w:w="626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Comprehensive loss</w:t>
            </w:r>
          </w:p>
        </w:tc>
        <w:tc>
          <w:tcPr>
            <w:tcW w:w="3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8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ind w:right="4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352DE"/>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w:t>
            </w:r>
          </w:p>
        </w:tc>
        <w:tc>
          <w:tcPr>
            <w:tcW w:w="72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(a) The income tax expense (benefit) and the tax impact in Accumulated other comprehensive income (loss) (AOCI) were computed using AIG’s U.S. statutory tax rate of 21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327660</wp:posOffset>
            </wp:positionV>
            <wp:extent cx="23317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7. Reinsurance</w:t>
      </w:r>
    </w:p>
    <w:p>
      <w:pPr>
        <w:spacing w:after="0" w:line="37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Various assets supporting the Fortitude Re funds withheld arrangements are reported at amortized cost, and as such, changes in the fair value of these assets are not reflected in the financial statements. However, changes in the fair value of these assets are included in the embedded derivative in the Fortitude Re funds withheld arrangement and the appreciation (depreciation) of the asset is the primary driver of the comprehensive income (loss) reflected above.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REINSURANCE – CREDIT LOSSES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total reinsurance recoverables as of September 30, 2026 were $40.1 billion. As of that date, utilizing AIG’s Obligor Risk Ratings (ORRs),</w:t>
      </w:r>
    </w:p>
    <w:p>
      <w:pPr>
        <w:spacing w:after="0" w:line="32" w:lineRule="exact"/>
        <w:rPr>
          <w:sz w:val="20"/>
          <w:szCs w:val="20"/>
          <w:color w:val="auto"/>
        </w:rPr>
      </w:pPr>
    </w:p>
    <w:p>
      <w:pPr>
        <w:ind w:right="20" w:firstLine="8"/>
        <w:spacing w:after="0" w:line="321" w:lineRule="auto"/>
        <w:tabs>
          <w:tab w:leader="none" w:pos="1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approximately 80 percent of the reinsurance recoverables were investment grade; (ii) approximately 17 percent of the reinsurance recoverables were non-investment grade and (iii) approximately 3 percent of the reinsurance recoverables related to entities that were not rated by AIG.</w:t>
      </w:r>
    </w:p>
    <w:p>
      <w:pPr>
        <w:spacing w:after="0" w:line="48"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total reinsurance recoverables as of December 31, 2025 were $40.7 billion. As of that date, utilizing AIG’s ORRs, (i) approximately 80 percent of the reinsurance recoverables were investment grade; (ii) approximately 17 percent of the reinsurance recoverables were non-investment grade; (iii) approximately 3 percent of the reinsurance recoverables related to entities that were not rated by AIG.</w:t>
      </w:r>
    </w:p>
    <w:p>
      <w:pPr>
        <w:spacing w:after="0" w:line="64"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As of September 30, 2026 and December 31, 2025, approximately 90 percent and 87 percent, respectively, of our non-investment grade reinsurance exposure related to captive insurers. These arrangements are typically collateralized by letters of credit, funds withheld or trust agreements.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see Note 8 to the Consolidated Financial Statements in the 2025 Annual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Reinsurance Recoverable Allowance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a rollforward of the reinsurance recoverable allowance: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Borders>
              <w:top w:val="single" w:sz="8" w:color="1352DE"/>
            </w:tcBorders>
          </w:tcPr>
          <w:p>
            <w:pPr>
              <w:spacing w:after="0"/>
              <w:rPr>
                <w:sz w:val="14"/>
                <w:szCs w:val="14"/>
                <w:color w:val="auto"/>
              </w:rPr>
            </w:pPr>
          </w:p>
        </w:tc>
        <w:tc>
          <w:tcPr>
            <w:tcW w:w="280" w:type="dxa"/>
            <w:vAlign w:val="bottom"/>
            <w:tcBorders>
              <w:top w:val="single" w:sz="8" w:color="1352DE"/>
            </w:tcBorders>
          </w:tcPr>
          <w:p>
            <w:pPr>
              <w:spacing w:after="0"/>
              <w:rPr>
                <w:sz w:val="14"/>
                <w:szCs w:val="14"/>
                <w:color w:val="auto"/>
              </w:rPr>
            </w:pPr>
          </w:p>
        </w:tc>
        <w:tc>
          <w:tcPr>
            <w:tcW w:w="1460" w:type="dxa"/>
            <w:vAlign w:val="bottom"/>
            <w:tcBorders>
              <w:top w:val="single" w:sz="8" w:color="1352DE"/>
            </w:tcBorders>
            <w:gridSpan w:val="2"/>
          </w:tcPr>
          <w:p>
            <w:pPr>
              <w:jc w:val="right"/>
              <w:spacing w:after="0"/>
              <w:rPr>
                <w:sz w:val="20"/>
                <w:szCs w:val="20"/>
                <w:color w:val="auto"/>
              </w:rPr>
            </w:pPr>
            <w:r>
              <w:rPr>
                <w:rFonts w:ascii="Arial" w:cs="Arial" w:eastAsia="Arial" w:hAnsi="Arial"/>
                <w:sz w:val="14"/>
                <w:szCs w:val="14"/>
                <w:color w:val="1352DE"/>
              </w:rPr>
              <w:t>Three Months Ended</w:t>
            </w:r>
          </w:p>
        </w:tc>
        <w:tc>
          <w:tcPr>
            <w:tcW w:w="360" w:type="dxa"/>
            <w:vAlign w:val="bottom"/>
            <w:tcBorders>
              <w:top w:val="single" w:sz="8" w:color="1352DE"/>
            </w:tcBorders>
          </w:tcPr>
          <w:p>
            <w:pPr>
              <w:spacing w:after="0"/>
              <w:rPr>
                <w:sz w:val="14"/>
                <w:szCs w:val="14"/>
                <w:color w:val="auto"/>
              </w:rPr>
            </w:pPr>
          </w:p>
        </w:tc>
        <w:tc>
          <w:tcPr>
            <w:tcW w:w="220" w:type="dxa"/>
            <w:vAlign w:val="bottom"/>
            <w:tcBorders>
              <w:top w:val="single" w:sz="8" w:color="1352DE"/>
            </w:tcBorders>
          </w:tcPr>
          <w:p>
            <w:pPr>
              <w:spacing w:after="0"/>
              <w:rPr>
                <w:sz w:val="14"/>
                <w:szCs w:val="14"/>
                <w:color w:val="auto"/>
              </w:rPr>
            </w:pPr>
          </w:p>
        </w:tc>
        <w:tc>
          <w:tcPr>
            <w:tcW w:w="300" w:type="dxa"/>
            <w:vAlign w:val="bottom"/>
            <w:tcBorders>
              <w:top w:val="single" w:sz="8" w:color="1352DE"/>
            </w:tcBorders>
          </w:tcPr>
          <w:p>
            <w:pPr>
              <w:spacing w:after="0"/>
              <w:rPr>
                <w:sz w:val="14"/>
                <w:szCs w:val="14"/>
                <w:color w:val="auto"/>
              </w:rPr>
            </w:pPr>
          </w:p>
        </w:tc>
        <w:tc>
          <w:tcPr>
            <w:tcW w:w="1420" w:type="dxa"/>
            <w:vAlign w:val="bottom"/>
            <w:tcBorders>
              <w:top w:val="single" w:sz="8" w:color="1352DE"/>
            </w:tcBorders>
            <w:gridSpan w:val="2"/>
          </w:tcPr>
          <w:p>
            <w:pPr>
              <w:jc w:val="right"/>
              <w:spacing w:after="0"/>
              <w:rPr>
                <w:sz w:val="20"/>
                <w:szCs w:val="20"/>
                <w:color w:val="auto"/>
              </w:rPr>
            </w:pPr>
            <w:r>
              <w:rPr>
                <w:rFonts w:ascii="Arial" w:cs="Arial" w:eastAsia="Arial" w:hAnsi="Arial"/>
                <w:sz w:val="14"/>
                <w:szCs w:val="14"/>
                <w:color w:val="1352DE"/>
              </w:rPr>
              <w:t>Nine Months Ended</w:t>
            </w:r>
          </w:p>
        </w:tc>
        <w:tc>
          <w:tcPr>
            <w:tcW w:w="380" w:type="dxa"/>
            <w:vAlign w:val="bottom"/>
            <w:tcBorders>
              <w:top w:val="single" w:sz="8" w:color="1352DE"/>
            </w:tcBorders>
          </w:tcPr>
          <w:p>
            <w:pPr>
              <w:spacing w:after="0"/>
              <w:rPr>
                <w:sz w:val="14"/>
                <w:szCs w:val="14"/>
                <w:color w:val="auto"/>
              </w:rPr>
            </w:pPr>
          </w:p>
        </w:tc>
      </w:tr>
      <w:tr>
        <w:trPr>
          <w:trHeight w:val="189"/>
        </w:trPr>
        <w:tc>
          <w:tcPr>
            <w:tcW w:w="6800" w:type="dxa"/>
            <w:vAlign w:val="bottom"/>
          </w:tcPr>
          <w:p>
            <w:pPr>
              <w:spacing w:after="0"/>
              <w:rPr>
                <w:sz w:val="16"/>
                <w:szCs w:val="16"/>
                <w:color w:val="auto"/>
              </w:rPr>
            </w:pPr>
          </w:p>
        </w:tc>
        <w:tc>
          <w:tcPr>
            <w:tcW w:w="280" w:type="dxa"/>
            <w:vAlign w:val="bottom"/>
            <w:tcBorders>
              <w:bottom w:val="single" w:sz="8" w:color="1352DE"/>
            </w:tcBorders>
          </w:tcPr>
          <w:p>
            <w:pPr>
              <w:spacing w:after="0"/>
              <w:rPr>
                <w:sz w:val="16"/>
                <w:szCs w:val="16"/>
                <w:color w:val="auto"/>
              </w:rPr>
            </w:pPr>
          </w:p>
        </w:tc>
        <w:tc>
          <w:tcPr>
            <w:tcW w:w="1460" w:type="dxa"/>
            <w:vAlign w:val="bottom"/>
            <w:tcBorders>
              <w:bottom w:val="single" w:sz="8" w:color="1352DE"/>
            </w:tcBorders>
            <w:gridSpan w:val="2"/>
          </w:tcPr>
          <w:p>
            <w:pPr>
              <w:jc w:val="right"/>
              <w:ind w:right="148"/>
              <w:spacing w:after="0"/>
              <w:rPr>
                <w:sz w:val="20"/>
                <w:szCs w:val="20"/>
                <w:color w:val="auto"/>
              </w:rPr>
            </w:pPr>
            <w:r>
              <w:rPr>
                <w:rFonts w:ascii="Arial" w:cs="Arial" w:eastAsia="Arial" w:hAnsi="Arial"/>
                <w:sz w:val="14"/>
                <w:szCs w:val="14"/>
                <w:color w:val="1352DE"/>
              </w:rPr>
              <w:t>September 30,</w:t>
            </w:r>
          </w:p>
        </w:tc>
        <w:tc>
          <w:tcPr>
            <w:tcW w:w="360" w:type="dxa"/>
            <w:vAlign w:val="bottom"/>
            <w:tcBorders>
              <w:bottom w:val="single" w:sz="8" w:color="1352DE"/>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1352DE"/>
            </w:tcBorders>
          </w:tcPr>
          <w:p>
            <w:pPr>
              <w:spacing w:after="0"/>
              <w:rPr>
                <w:sz w:val="16"/>
                <w:szCs w:val="16"/>
                <w:color w:val="auto"/>
              </w:rPr>
            </w:pPr>
          </w:p>
        </w:tc>
        <w:tc>
          <w:tcPr>
            <w:tcW w:w="1420" w:type="dxa"/>
            <w:vAlign w:val="bottom"/>
            <w:tcBorders>
              <w:bottom w:val="single" w:sz="8" w:color="1352DE"/>
            </w:tcBorders>
            <w:gridSpan w:val="2"/>
          </w:tcPr>
          <w:p>
            <w:pPr>
              <w:jc w:val="right"/>
              <w:ind w:right="128"/>
              <w:spacing w:after="0"/>
              <w:rPr>
                <w:sz w:val="20"/>
                <w:szCs w:val="20"/>
                <w:color w:val="auto"/>
              </w:rPr>
            </w:pPr>
            <w:r>
              <w:rPr>
                <w:rFonts w:ascii="Arial" w:cs="Arial" w:eastAsia="Arial" w:hAnsi="Arial"/>
                <w:sz w:val="14"/>
                <w:szCs w:val="14"/>
                <w:color w:val="1352DE"/>
              </w:rPr>
              <w:t>September 30,</w:t>
            </w:r>
          </w:p>
        </w:tc>
        <w:tc>
          <w:tcPr>
            <w:tcW w:w="380" w:type="dxa"/>
            <w:vAlign w:val="bottom"/>
            <w:tcBorders>
              <w:bottom w:val="single" w:sz="8" w:color="1352DE"/>
            </w:tcBorders>
          </w:tcPr>
          <w:p>
            <w:pPr>
              <w:spacing w:after="0"/>
              <w:rPr>
                <w:sz w:val="16"/>
                <w:szCs w:val="16"/>
                <w:color w:val="auto"/>
              </w:rPr>
            </w:pPr>
          </w:p>
        </w:tc>
      </w:tr>
      <w:tr>
        <w:trPr>
          <w:trHeight w:val="195"/>
        </w:trPr>
        <w:tc>
          <w:tcPr>
            <w:tcW w:w="68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1DE"/>
              </w:rPr>
              <w:t>(in millions)</w:t>
            </w:r>
          </w:p>
        </w:tc>
        <w:tc>
          <w:tcPr>
            <w:tcW w:w="280" w:type="dxa"/>
            <w:vAlign w:val="bottom"/>
            <w:tcBorders>
              <w:bottom w:val="single" w:sz="8" w:color="1352DE"/>
            </w:tcBorders>
          </w:tcPr>
          <w:p>
            <w:pPr>
              <w:spacing w:after="0"/>
              <w:rPr>
                <w:sz w:val="16"/>
                <w:szCs w:val="16"/>
                <w:color w:val="auto"/>
              </w:rPr>
            </w:pPr>
          </w:p>
        </w:tc>
        <w:tc>
          <w:tcPr>
            <w:tcW w:w="8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1DE"/>
              </w:rPr>
              <w:t>2026</w:t>
            </w:r>
          </w:p>
        </w:tc>
        <w:tc>
          <w:tcPr>
            <w:tcW w:w="660" w:type="dxa"/>
            <w:vAlign w:val="bottom"/>
            <w:tcBorders>
              <w:bottom w:val="single" w:sz="8" w:color="1352DE"/>
            </w:tcBorders>
          </w:tcPr>
          <w:p>
            <w:pPr>
              <w:spacing w:after="0"/>
              <w:rPr>
                <w:sz w:val="16"/>
                <w:szCs w:val="16"/>
                <w:color w:val="auto"/>
              </w:rPr>
            </w:pPr>
          </w:p>
        </w:tc>
        <w:tc>
          <w:tcPr>
            <w:tcW w:w="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1DE"/>
              </w:rPr>
              <w:t>2025</w:t>
            </w:r>
          </w:p>
        </w:tc>
        <w:tc>
          <w:tcPr>
            <w:tcW w:w="220" w:type="dxa"/>
            <w:vAlign w:val="bottom"/>
            <w:tcBorders>
              <w:bottom w:val="single" w:sz="8" w:color="1352DE"/>
            </w:tcBorders>
          </w:tcPr>
          <w:p>
            <w:pPr>
              <w:spacing w:after="0"/>
              <w:rPr>
                <w:sz w:val="16"/>
                <w:szCs w:val="16"/>
                <w:color w:val="auto"/>
              </w:rPr>
            </w:pPr>
          </w:p>
        </w:tc>
        <w:tc>
          <w:tcPr>
            <w:tcW w:w="300" w:type="dxa"/>
            <w:vAlign w:val="bottom"/>
            <w:tcBorders>
              <w:bottom w:val="single" w:sz="8" w:color="1352DE"/>
            </w:tcBorders>
          </w:tcPr>
          <w:p>
            <w:pPr>
              <w:spacing w:after="0"/>
              <w:rPr>
                <w:sz w:val="16"/>
                <w:szCs w:val="16"/>
                <w:color w:val="auto"/>
              </w:rPr>
            </w:pPr>
          </w:p>
        </w:tc>
        <w:tc>
          <w:tcPr>
            <w:tcW w:w="80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1DE"/>
              </w:rPr>
              <w:t>2026</w:t>
            </w:r>
          </w:p>
        </w:tc>
        <w:tc>
          <w:tcPr>
            <w:tcW w:w="620" w:type="dxa"/>
            <w:vAlign w:val="bottom"/>
            <w:tcBorders>
              <w:bottom w:val="single" w:sz="8" w:color="1352DE"/>
            </w:tcBorders>
          </w:tcPr>
          <w:p>
            <w:pPr>
              <w:spacing w:after="0"/>
              <w:rPr>
                <w:sz w:val="16"/>
                <w:szCs w:val="16"/>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1DE"/>
              </w:rPr>
              <w:t>2025</w:t>
            </w:r>
          </w:p>
        </w:tc>
      </w:tr>
      <w:tr>
        <w:trPr>
          <w:trHeight w:val="195"/>
        </w:trPr>
        <w:tc>
          <w:tcPr>
            <w:tcW w:w="6800" w:type="dxa"/>
            <w:vAlign w:val="bottom"/>
          </w:tcPr>
          <w:p>
            <w:pPr>
              <w:ind w:left="20"/>
              <w:spacing w:after="0"/>
              <w:rPr>
                <w:sz w:val="20"/>
                <w:szCs w:val="20"/>
                <w:color w:val="auto"/>
              </w:rPr>
            </w:pPr>
            <w:r>
              <w:rPr>
                <w:rFonts w:ascii="Arial" w:cs="Arial" w:eastAsia="Arial" w:hAnsi="Arial"/>
                <w:sz w:val="14"/>
                <w:szCs w:val="14"/>
                <w:b w:val="1"/>
                <w:bCs w:val="1"/>
                <w:color w:val="1251DE"/>
              </w:rPr>
              <w:t>Balance, beginning of period</w:t>
            </w:r>
          </w:p>
        </w:tc>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1251DE"/>
              </w:rPr>
              <w:t>$</w:t>
            </w: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1251DE"/>
              </w:rPr>
              <w:t>296</w:t>
            </w:r>
          </w:p>
        </w:tc>
        <w:tc>
          <w:tcPr>
            <w:tcW w:w="6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276</w:t>
            </w:r>
          </w:p>
        </w:tc>
        <w:tc>
          <w:tcPr>
            <w:tcW w:w="22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b w:val="1"/>
                <w:bCs w:val="1"/>
                <w:color w:val="1251DE"/>
              </w:rPr>
              <w:t>$</w:t>
            </w: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1251DE"/>
              </w:rPr>
              <w:t>297</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203"/>
        </w:trPr>
        <w:tc>
          <w:tcPr>
            <w:tcW w:w="6800" w:type="dxa"/>
            <w:vAlign w:val="bottom"/>
          </w:tcPr>
          <w:p>
            <w:pPr>
              <w:ind w:left="140"/>
              <w:spacing w:after="0"/>
              <w:rPr>
                <w:sz w:val="20"/>
                <w:szCs w:val="20"/>
                <w:color w:val="auto"/>
              </w:rPr>
            </w:pPr>
            <w:r>
              <w:rPr>
                <w:rFonts w:ascii="Arial" w:cs="Arial" w:eastAsia="Arial" w:hAnsi="Arial"/>
                <w:sz w:val="14"/>
                <w:szCs w:val="14"/>
                <w:color w:val="auto"/>
              </w:rPr>
              <w:t>Addition to (release of) allowance for expected credit losses and disputes, net</w:t>
            </w:r>
          </w:p>
        </w:tc>
        <w:tc>
          <w:tcPr>
            <w:tcW w:w="280" w:type="dxa"/>
            <w:vAlign w:val="bottom"/>
          </w:tcPr>
          <w:p>
            <w:pPr>
              <w:spacing w:after="0"/>
              <w:rPr>
                <w:sz w:val="17"/>
                <w:szCs w:val="17"/>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1251DE"/>
              </w:rPr>
              <w:t>10</w:t>
            </w:r>
          </w:p>
        </w:tc>
        <w:tc>
          <w:tcPr>
            <w:tcW w:w="660" w:type="dxa"/>
            <w:vAlign w:val="bottom"/>
          </w:tcPr>
          <w:p>
            <w:pPr>
              <w:spacing w:after="0"/>
              <w:rPr>
                <w:sz w:val="17"/>
                <w:szCs w:val="17"/>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1251DE"/>
              </w:rPr>
              <w:t>15</w:t>
            </w:r>
          </w:p>
        </w:tc>
        <w:tc>
          <w:tcPr>
            <w:tcW w:w="6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6800" w:type="dxa"/>
            <w:vAlign w:val="bottom"/>
          </w:tcPr>
          <w:p>
            <w:pPr>
              <w:ind w:left="140"/>
              <w:spacing w:after="0"/>
              <w:rPr>
                <w:sz w:val="20"/>
                <w:szCs w:val="20"/>
                <w:color w:val="auto"/>
              </w:rPr>
            </w:pPr>
            <w:r>
              <w:rPr>
                <w:rFonts w:ascii="Arial" w:cs="Arial" w:eastAsia="Arial" w:hAnsi="Arial"/>
                <w:sz w:val="14"/>
                <w:szCs w:val="14"/>
                <w:color w:val="auto"/>
              </w:rPr>
              <w:t>Write-offs charged against the allowance for credit losses and disputes</w:t>
            </w:r>
          </w:p>
        </w:tc>
        <w:tc>
          <w:tcPr>
            <w:tcW w:w="280" w:type="dxa"/>
            <w:vAlign w:val="bottom"/>
          </w:tcPr>
          <w:p>
            <w:pPr>
              <w:spacing w:after="0"/>
              <w:rPr>
                <w:sz w:val="17"/>
                <w:szCs w:val="17"/>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1251DE"/>
              </w:rPr>
              <w:t>—</w:t>
            </w:r>
          </w:p>
        </w:tc>
        <w:tc>
          <w:tcPr>
            <w:tcW w:w="660" w:type="dxa"/>
            <w:vAlign w:val="bottom"/>
          </w:tcPr>
          <w:p>
            <w:pPr>
              <w:spacing w:after="0"/>
              <w:rPr>
                <w:sz w:val="17"/>
                <w:szCs w:val="17"/>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1251DE"/>
              </w:rPr>
              <w:t>(6)</w:t>
            </w:r>
          </w:p>
        </w:tc>
        <w:tc>
          <w:tcPr>
            <w:tcW w:w="6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680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Other changes</w:t>
            </w:r>
          </w:p>
        </w:tc>
        <w:tc>
          <w:tcPr>
            <w:tcW w:w="28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1DE"/>
              </w:rPr>
              <w:t>2</w:t>
            </w:r>
          </w:p>
        </w:tc>
        <w:tc>
          <w:tcPr>
            <w:tcW w:w="660" w:type="dxa"/>
            <w:vAlign w:val="bottom"/>
            <w:tcBorders>
              <w:bottom w:val="single" w:sz="8" w:color="1352DE"/>
            </w:tcBorders>
          </w:tcPr>
          <w:p>
            <w:pPr>
              <w:spacing w:after="0"/>
              <w:rPr>
                <w:sz w:val="17"/>
                <w:szCs w:val="17"/>
                <w:color w:val="auto"/>
              </w:rPr>
            </w:pPr>
          </w:p>
        </w:tc>
        <w:tc>
          <w:tcPr>
            <w:tcW w:w="3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1DE"/>
              </w:rPr>
              <w:t>2</w:t>
            </w:r>
          </w:p>
        </w:tc>
        <w:tc>
          <w:tcPr>
            <w:tcW w:w="62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68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1DE"/>
              </w:rPr>
              <w:t>Balance, end of period</w:t>
            </w:r>
          </w:p>
        </w:tc>
        <w:tc>
          <w:tcPr>
            <w:tcW w:w="2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1DE"/>
              </w:rPr>
              <w:t>$</w:t>
            </w:r>
          </w:p>
        </w:tc>
        <w:tc>
          <w:tcPr>
            <w:tcW w:w="80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1DE"/>
              </w:rPr>
              <w:t>308</w:t>
            </w:r>
          </w:p>
        </w:tc>
        <w:tc>
          <w:tcPr>
            <w:tcW w:w="660" w:type="dxa"/>
            <w:vAlign w:val="bottom"/>
            <w:tcBorders>
              <w:bottom w:val="single" w:sz="8" w:color="1352DE"/>
            </w:tcBorders>
          </w:tcPr>
          <w:p>
            <w:pPr>
              <w:jc w:val="right"/>
              <w:ind w:right="3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275</w:t>
            </w:r>
          </w:p>
        </w:tc>
        <w:tc>
          <w:tcPr>
            <w:tcW w:w="22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1DE"/>
              </w:rPr>
              <w:t>$</w:t>
            </w:r>
          </w:p>
        </w:tc>
        <w:tc>
          <w:tcPr>
            <w:tcW w:w="80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1DE"/>
              </w:rPr>
              <w:t>308</w:t>
            </w:r>
          </w:p>
        </w:tc>
        <w:tc>
          <w:tcPr>
            <w:tcW w:w="620" w:type="dxa"/>
            <w:vAlign w:val="bottom"/>
            <w:tcBorders>
              <w:bottom w:val="single" w:sz="8" w:color="1352DE"/>
            </w:tcBorders>
          </w:tcPr>
          <w:p>
            <w:pPr>
              <w:jc w:val="right"/>
              <w:ind w:right="3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275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Past-Due Status</w:t>
      </w:r>
    </w:p>
    <w:p>
      <w:pPr>
        <w:spacing w:after="0" w:line="81"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We consider a reinsurance asset to be past due when it is 90 days past due. The allowance for credit losses is estimated excluding disputed amounts. An allowance for disputes is established using the losses incurred method for contingencies. Past due balances on claims that are not in dispute were not material for any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234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color w:val="001871"/>
        </w:rPr>
        <w:t>8. Deferred Policy Acquisition Costs</w:t>
      </w:r>
    </w:p>
    <w:p>
      <w:pPr>
        <w:spacing w:after="0" w:line="229"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DAC represent costs that are directly related to the successful acquisition of new or renewal of existing insurance contracts. Such DAC generally include commissions, premium taxes and certain other underwriting costs. We also defer a portion of employee total compensation and payroll-related fringe benefits directly related to time spent performing specific acquisition or renewal activities, including costs associated with the time spent on underwriting, policy issuance and processing, and sales force contract selling.</w:t>
      </w:r>
    </w:p>
    <w:p>
      <w:pPr>
        <w:spacing w:after="0" w:line="54"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DAC is amortized over the period in which the related premiums written are earned. DAC is grouped consistent with the manner in which the insurance contracts are acquired, serviced and measured for profitability and reviewed for recoverability based on the profitability of the underlying insurance contracts.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a rollforward of 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234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352DE"/>
        </w:rPr>
        <w:t>Nine Months Ended September 30,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352DE"/>
              </w:rPr>
              <w:t>(in millions)</w:t>
            </w:r>
          </w:p>
        </w:tc>
        <w:tc>
          <w:tcPr>
            <w:tcW w:w="362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352DE"/>
              </w:rPr>
              <w:t>2026</w:t>
            </w:r>
          </w:p>
        </w:tc>
        <w:tc>
          <w:tcPr>
            <w:tcW w:w="4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352DE"/>
              </w:rPr>
              <w:t>2025</w:t>
            </w:r>
          </w:p>
        </w:tc>
      </w:tr>
      <w:tr>
        <w:trPr>
          <w:trHeight w:val="195"/>
        </w:trPr>
        <w:tc>
          <w:tcPr>
            <w:tcW w:w="5580" w:type="dxa"/>
            <w:vAlign w:val="bottom"/>
          </w:tcPr>
          <w:p>
            <w:pPr>
              <w:ind w:left="20"/>
              <w:spacing w:after="0"/>
              <w:rPr>
                <w:sz w:val="20"/>
                <w:szCs w:val="20"/>
                <w:color w:val="auto"/>
              </w:rPr>
            </w:pPr>
            <w:r>
              <w:rPr>
                <w:rFonts w:ascii="Arial" w:cs="Arial" w:eastAsia="Arial" w:hAnsi="Arial"/>
                <w:sz w:val="14"/>
                <w:szCs w:val="14"/>
                <w:b w:val="1"/>
                <w:bCs w:val="1"/>
                <w:color w:val="1352DE"/>
              </w:rPr>
              <w:t>Balance, beginning of year</w:t>
            </w:r>
          </w:p>
        </w:tc>
        <w:tc>
          <w:tcPr>
            <w:tcW w:w="3620" w:type="dxa"/>
            <w:vAlign w:val="bottom"/>
          </w:tcPr>
          <w:p>
            <w:pPr>
              <w:jc w:val="right"/>
              <w:ind w:right="168"/>
              <w:spacing w:after="0"/>
              <w:rPr>
                <w:sz w:val="20"/>
                <w:szCs w:val="20"/>
                <w:color w:val="auto"/>
              </w:rPr>
            </w:pPr>
            <w:r>
              <w:rPr>
                <w:rFonts w:ascii="Arial" w:cs="Arial" w:eastAsia="Arial" w:hAnsi="Arial"/>
                <w:sz w:val="14"/>
                <w:szCs w:val="14"/>
                <w:b w:val="1"/>
                <w:bCs w:val="1"/>
                <w:color w:val="1352DE"/>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1352DE"/>
              </w:rPr>
              <w:t>2,106</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2,065</w:t>
            </w:r>
          </w:p>
        </w:tc>
      </w:tr>
      <w:tr>
        <w:trPr>
          <w:trHeight w:val="203"/>
        </w:trPr>
        <w:tc>
          <w:tcPr>
            <w:tcW w:w="5580" w:type="dxa"/>
            <w:vAlign w:val="bottom"/>
          </w:tcPr>
          <w:p>
            <w:pPr>
              <w:ind w:left="140"/>
              <w:spacing w:after="0"/>
              <w:rPr>
                <w:sz w:val="20"/>
                <w:szCs w:val="20"/>
                <w:color w:val="auto"/>
              </w:rPr>
            </w:pPr>
            <w:r>
              <w:rPr>
                <w:rFonts w:ascii="Arial" w:cs="Arial" w:eastAsia="Arial" w:hAnsi="Arial"/>
                <w:sz w:val="14"/>
                <w:szCs w:val="14"/>
                <w:color w:val="auto"/>
              </w:rPr>
              <w:t>Capitalization</w:t>
            </w:r>
          </w:p>
        </w:tc>
        <w:tc>
          <w:tcPr>
            <w:tcW w:w="362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1352DE"/>
              </w:rPr>
              <w:t>2,873</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2,536</w:t>
            </w:r>
          </w:p>
        </w:tc>
      </w:tr>
      <w:tr>
        <w:trPr>
          <w:trHeight w:val="203"/>
        </w:trPr>
        <w:tc>
          <w:tcPr>
            <w:tcW w:w="5580" w:type="dxa"/>
            <w:vAlign w:val="bottom"/>
          </w:tcPr>
          <w:p>
            <w:pPr>
              <w:ind w:left="140"/>
              <w:spacing w:after="0"/>
              <w:rPr>
                <w:sz w:val="20"/>
                <w:szCs w:val="20"/>
                <w:color w:val="auto"/>
              </w:rPr>
            </w:pPr>
            <w:r>
              <w:rPr>
                <w:rFonts w:ascii="Arial" w:cs="Arial" w:eastAsia="Arial" w:hAnsi="Arial"/>
                <w:sz w:val="14"/>
                <w:szCs w:val="14"/>
                <w:color w:val="auto"/>
              </w:rPr>
              <w:t>Amortization expense</w:t>
            </w:r>
          </w:p>
        </w:tc>
        <w:tc>
          <w:tcPr>
            <w:tcW w:w="36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1352DE"/>
              </w:rPr>
              <w:t>(2,658)</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(2,522)</w:t>
            </w:r>
          </w:p>
        </w:tc>
      </w:tr>
      <w:tr>
        <w:trPr>
          <w:trHeight w:val="203"/>
        </w:trPr>
        <w:tc>
          <w:tcPr>
            <w:tcW w:w="558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Other, including foreign exchange</w:t>
            </w:r>
          </w:p>
        </w:tc>
        <w:tc>
          <w:tcPr>
            <w:tcW w:w="362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352DE"/>
              </w:rPr>
              <w:t>12</w:t>
            </w:r>
          </w:p>
        </w:tc>
        <w:tc>
          <w:tcPr>
            <w:tcW w:w="4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56</w:t>
            </w:r>
          </w:p>
        </w:tc>
      </w:tr>
      <w:tr>
        <w:trPr>
          <w:trHeight w:val="222"/>
        </w:trPr>
        <w:tc>
          <w:tcPr>
            <w:tcW w:w="5580" w:type="dxa"/>
            <w:vAlign w:val="bottom"/>
          </w:tcPr>
          <w:p>
            <w:pPr>
              <w:ind w:left="40"/>
              <w:spacing w:after="0"/>
              <w:rPr>
                <w:sz w:val="20"/>
                <w:szCs w:val="20"/>
                <w:color w:val="auto"/>
              </w:rPr>
            </w:pPr>
            <w:r>
              <w:rPr>
                <w:rFonts w:ascii="Arial" w:cs="Arial" w:eastAsia="Arial" w:hAnsi="Arial"/>
                <w:sz w:val="14"/>
                <w:szCs w:val="14"/>
                <w:b w:val="1"/>
                <w:bCs w:val="1"/>
                <w:color w:val="1352DE"/>
              </w:rPr>
              <w:t>Balance, end of period</w:t>
            </w:r>
          </w:p>
        </w:tc>
        <w:tc>
          <w:tcPr>
            <w:tcW w:w="3620" w:type="dxa"/>
            <w:vAlign w:val="bottom"/>
          </w:tcPr>
          <w:p>
            <w:pPr>
              <w:jc w:val="right"/>
              <w:ind w:right="168"/>
              <w:spacing w:after="0"/>
              <w:rPr>
                <w:sz w:val="20"/>
                <w:szCs w:val="20"/>
                <w:color w:val="auto"/>
              </w:rPr>
            </w:pPr>
            <w:r>
              <w:rPr>
                <w:rFonts w:ascii="Arial" w:cs="Arial" w:eastAsia="Arial" w:hAnsi="Arial"/>
                <w:sz w:val="14"/>
                <w:szCs w:val="14"/>
                <w:b w:val="1"/>
                <w:bCs w:val="1"/>
                <w:color w:val="1352DE"/>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1352DE"/>
              </w:rPr>
              <w:t>2,333</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2,135</w:t>
            </w:r>
          </w:p>
        </w:tc>
      </w:tr>
      <w:tr>
        <w:trPr>
          <w:trHeight w:val="29"/>
        </w:trPr>
        <w:tc>
          <w:tcPr>
            <w:tcW w:w="5580" w:type="dxa"/>
            <w:vAlign w:val="bottom"/>
            <w:tcBorders>
              <w:bottom w:val="single" w:sz="8" w:color="1352DE"/>
            </w:tcBorders>
          </w:tcPr>
          <w:p>
            <w:pPr>
              <w:spacing w:after="0"/>
              <w:rPr>
                <w:sz w:val="2"/>
                <w:szCs w:val="2"/>
                <w:color w:val="auto"/>
              </w:rPr>
            </w:pPr>
          </w:p>
        </w:tc>
        <w:tc>
          <w:tcPr>
            <w:tcW w:w="3620" w:type="dxa"/>
            <w:vAlign w:val="bottom"/>
            <w:tcBorders>
              <w:bottom w:val="single" w:sz="8" w:color="1352DE"/>
            </w:tcBorders>
          </w:tcPr>
          <w:p>
            <w:pPr>
              <w:spacing w:after="0"/>
              <w:rPr>
                <w:sz w:val="2"/>
                <w:szCs w:val="2"/>
                <w:color w:val="auto"/>
              </w:rPr>
            </w:pPr>
          </w:p>
        </w:tc>
        <w:tc>
          <w:tcPr>
            <w:tcW w:w="840" w:type="dxa"/>
            <w:vAlign w:val="bottom"/>
            <w:tcBorders>
              <w:bottom w:val="single" w:sz="8" w:color="1352DE"/>
            </w:tcBorders>
          </w:tcPr>
          <w:p>
            <w:pPr>
              <w:spacing w:after="0"/>
              <w:rPr>
                <w:sz w:val="2"/>
                <w:szCs w:val="2"/>
                <w:color w:val="auto"/>
              </w:rPr>
            </w:pPr>
          </w:p>
        </w:tc>
        <w:tc>
          <w:tcPr>
            <w:tcW w:w="460" w:type="dxa"/>
            <w:vAlign w:val="bottom"/>
            <w:tcBorders>
              <w:bottom w:val="single" w:sz="8" w:color="1352DE"/>
            </w:tcBorders>
          </w:tcPr>
          <w:p>
            <w:pPr>
              <w:spacing w:after="0"/>
              <w:rPr>
                <w:sz w:val="2"/>
                <w:szCs w:val="2"/>
                <w:color w:val="auto"/>
              </w:rPr>
            </w:pPr>
          </w:p>
        </w:tc>
        <w:tc>
          <w:tcPr>
            <w:tcW w:w="720" w:type="dxa"/>
            <w:vAlign w:val="bottom"/>
            <w:tcBorders>
              <w:bottom w:val="single" w:sz="8" w:color="1352D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24771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760" w:hanging="734"/>
        <w:spacing w:after="0"/>
        <w:tabs>
          <w:tab w:leader="none" w:pos="760" w:val="left"/>
        </w:tabs>
        <w:numPr>
          <w:ilvl w:val="0"/>
          <w:numId w:val="38"/>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770"/>
        </w:rPr>
        <w:t>9.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9. Variable Interest Entities</w:t>
      </w:r>
    </w:p>
    <w:p>
      <w:pPr>
        <w:spacing w:after="0" w:line="22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enter into various arrangements with Variable Interest Entities (VIEs) in the normal course of business and consolidate the VIEs when we determine we are the primary beneficiary. This analysis includes a review of the VIE’s capital structure, related contractual relationships and terms, nature of the VIE’s operations and purpose, nature of the VIE’s interests issued and our involvement with the entity. When assessing the need to consolidate a VIE, we evaluate the design of the VIE as well as the related risks to which the entity was designed to expose the variable interest holders.</w:t>
      </w:r>
    </w:p>
    <w:p>
      <w:pPr>
        <w:spacing w:after="0" w:line="8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primary beneficiary is the entity that has both (i) the power to direct the activities of the VIE that most significantly affect the entity’s economic performance and (ii) the obligation to absorb losses or the right to receive benefits that could be potentially significant to the VIE. While also considering these factors, the consolidation conclusion depends on the breadth of our decision-making ability and our ability to influence activities that significantly affect the economic performance of the VIE.</w:t>
      </w:r>
    </w:p>
    <w:p>
      <w:pPr>
        <w:spacing w:after="0" w:line="5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For unconsolidated VIEs we calculate our maximum exposure to loss to be (i) the amount invested in the debt or equity of the VIE, (ii) the notional amount of VIE assets or liabilities where we have also provided credit protection to the VIE with the VIE as the referenced obligation, and (iii) other commitments and guarantees to the VIE.</w:t>
      </w:r>
    </w:p>
    <w:p>
      <w:pPr>
        <w:spacing w:after="0" w:line="185" w:lineRule="exact"/>
        <w:rPr>
          <w:sz w:val="20"/>
          <w:szCs w:val="20"/>
          <w:color w:val="auto"/>
        </w:rPr>
      </w:pPr>
    </w:p>
    <w:p>
      <w:pPr>
        <w:ind w:right="220"/>
        <w:spacing w:after="0" w:line="349" w:lineRule="auto"/>
        <w:rPr>
          <w:sz w:val="20"/>
          <w:szCs w:val="20"/>
          <w:color w:val="auto"/>
        </w:rPr>
      </w:pPr>
      <w:r>
        <w:rPr>
          <w:rFonts w:ascii="Arial" w:cs="Arial" w:eastAsia="Arial" w:hAnsi="Arial"/>
          <w:sz w:val="16"/>
          <w:szCs w:val="16"/>
          <w:b w:val="1"/>
          <w:bCs w:val="1"/>
          <w:color w:val="1352DE"/>
        </w:rPr>
        <w:t>The following table presents total assets of unconsolidated VIEs in which we hold a variable interest, as well as our maximum exposure to loss associated with these VIEs: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Borders>
              <w:top w:val="single" w:sz="8" w:color="1352DE"/>
            </w:tcBorders>
          </w:tcPr>
          <w:p>
            <w:pPr>
              <w:spacing w:after="0"/>
              <w:rPr>
                <w:sz w:val="18"/>
                <w:szCs w:val="18"/>
                <w:color w:val="auto"/>
              </w:rPr>
            </w:pPr>
          </w:p>
        </w:tc>
        <w:tc>
          <w:tcPr>
            <w:tcW w:w="1720" w:type="dxa"/>
            <w:vAlign w:val="bottom"/>
            <w:tcBorders>
              <w:top w:val="single" w:sz="8" w:color="1352DE"/>
            </w:tcBorders>
          </w:tcPr>
          <w:p>
            <w:pPr>
              <w:spacing w:after="0"/>
              <w:rPr>
                <w:sz w:val="18"/>
                <w:szCs w:val="18"/>
                <w:color w:val="auto"/>
              </w:rPr>
            </w:pPr>
          </w:p>
        </w:tc>
        <w:tc>
          <w:tcPr>
            <w:tcW w:w="1060" w:type="dxa"/>
            <w:vAlign w:val="bottom"/>
            <w:tcBorders>
              <w:top w:val="single" w:sz="8" w:color="1352DE"/>
            </w:tcBorders>
          </w:tcPr>
          <w:p>
            <w:pPr>
              <w:spacing w:after="0"/>
              <w:rPr>
                <w:sz w:val="18"/>
                <w:szCs w:val="18"/>
                <w:color w:val="auto"/>
              </w:rPr>
            </w:pPr>
          </w:p>
        </w:tc>
        <w:tc>
          <w:tcPr>
            <w:tcW w:w="380" w:type="dxa"/>
            <w:vAlign w:val="bottom"/>
            <w:tcBorders>
              <w:top w:val="single" w:sz="8" w:color="1352DE"/>
              <w:bottom w:val="single" w:sz="8" w:color="1352DE"/>
            </w:tcBorders>
          </w:tcPr>
          <w:p>
            <w:pPr>
              <w:spacing w:after="0"/>
              <w:rPr>
                <w:sz w:val="18"/>
                <w:szCs w:val="18"/>
                <w:color w:val="auto"/>
              </w:rPr>
            </w:pPr>
          </w:p>
        </w:tc>
        <w:tc>
          <w:tcPr>
            <w:tcW w:w="2640" w:type="dxa"/>
            <w:vAlign w:val="bottom"/>
            <w:tcBorders>
              <w:top w:val="single" w:sz="8" w:color="1352DE"/>
              <w:bottom w:val="single" w:sz="8" w:color="1352DE"/>
            </w:tcBorders>
            <w:gridSpan w:val="4"/>
          </w:tcPr>
          <w:p>
            <w:pPr>
              <w:ind w:left="840"/>
              <w:spacing w:after="0"/>
              <w:rPr>
                <w:sz w:val="20"/>
                <w:szCs w:val="20"/>
                <w:color w:val="auto"/>
              </w:rPr>
            </w:pPr>
            <w:r>
              <w:rPr>
                <w:rFonts w:ascii="Arial" w:cs="Arial" w:eastAsia="Arial" w:hAnsi="Arial"/>
                <w:sz w:val="14"/>
                <w:szCs w:val="14"/>
                <w:color w:val="1251DE"/>
              </w:rPr>
              <w:t>Maximum Exposure to Loss</w:t>
            </w:r>
          </w:p>
        </w:tc>
        <w:tc>
          <w:tcPr>
            <w:tcW w:w="440" w:type="dxa"/>
            <w:vAlign w:val="bottom"/>
            <w:tcBorders>
              <w:top w:val="single" w:sz="8" w:color="1352DE"/>
              <w:bottom w:val="single" w:sz="8" w:color="1352DE"/>
            </w:tcBorders>
          </w:tcPr>
          <w:p>
            <w:pPr>
              <w:spacing w:after="0"/>
              <w:rPr>
                <w:sz w:val="18"/>
                <w:szCs w:val="18"/>
                <w:color w:val="auto"/>
              </w:rPr>
            </w:pPr>
          </w:p>
        </w:tc>
        <w:tc>
          <w:tcPr>
            <w:tcW w:w="74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60" w:type="dxa"/>
            <w:vAlign w:val="bottom"/>
          </w:tcPr>
          <w:p>
            <w:pPr>
              <w:jc w:val="right"/>
              <w:ind w:right="168"/>
              <w:spacing w:after="0" w:line="159" w:lineRule="exact"/>
              <w:rPr>
                <w:sz w:val="20"/>
                <w:szCs w:val="20"/>
                <w:color w:val="auto"/>
              </w:rPr>
            </w:pPr>
            <w:r>
              <w:rPr>
                <w:rFonts w:ascii="Arial" w:cs="Arial" w:eastAsia="Arial" w:hAnsi="Arial"/>
                <w:sz w:val="14"/>
                <w:szCs w:val="14"/>
                <w:color w:val="1251DE"/>
              </w:rPr>
              <w:t>Total VIE</w:t>
            </w:r>
          </w:p>
        </w:tc>
        <w:tc>
          <w:tcPr>
            <w:tcW w:w="380" w:type="dxa"/>
            <w:vAlign w:val="bottom"/>
          </w:tcPr>
          <w:p>
            <w:pPr>
              <w:spacing w:after="0"/>
              <w:rPr>
                <w:sz w:val="13"/>
                <w:szCs w:val="13"/>
                <w:color w:val="auto"/>
              </w:rPr>
            </w:pPr>
          </w:p>
        </w:tc>
        <w:tc>
          <w:tcPr>
            <w:tcW w:w="980" w:type="dxa"/>
            <w:vAlign w:val="bottom"/>
          </w:tcPr>
          <w:p>
            <w:pPr>
              <w:jc w:val="right"/>
              <w:ind w:right="8"/>
              <w:spacing w:after="0" w:line="159" w:lineRule="exact"/>
              <w:rPr>
                <w:sz w:val="20"/>
                <w:szCs w:val="20"/>
                <w:color w:val="auto"/>
              </w:rPr>
            </w:pPr>
            <w:r>
              <w:rPr>
                <w:rFonts w:ascii="Arial" w:cs="Arial" w:eastAsia="Arial" w:hAnsi="Arial"/>
                <w:sz w:val="14"/>
                <w:szCs w:val="14"/>
                <w:color w:val="1251DE"/>
              </w:rPr>
              <w:t>On-Balance</w:t>
            </w:r>
          </w:p>
        </w:tc>
        <w:tc>
          <w:tcPr>
            <w:tcW w:w="32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1251DE"/>
              </w:rPr>
              <w:t>Off-Balance</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1251DE"/>
              </w:rPr>
              <w:t>Total</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1DE"/>
              </w:rPr>
              <w:t>(in millions)</w:t>
            </w:r>
          </w:p>
        </w:tc>
        <w:tc>
          <w:tcPr>
            <w:tcW w:w="1720" w:type="dxa"/>
            <w:vAlign w:val="bottom"/>
            <w:tcBorders>
              <w:bottom w:val="single" w:sz="8" w:color="1352DE"/>
            </w:tcBorders>
          </w:tcPr>
          <w:p>
            <w:pPr>
              <w:spacing w:after="0"/>
              <w:rPr>
                <w:sz w:val="16"/>
                <w:szCs w:val="16"/>
                <w:color w:val="auto"/>
              </w:rPr>
            </w:pPr>
          </w:p>
        </w:tc>
        <w:tc>
          <w:tcPr>
            <w:tcW w:w="106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1251DE"/>
              </w:rPr>
              <w:t>Assets</w:t>
            </w:r>
          </w:p>
        </w:tc>
        <w:tc>
          <w:tcPr>
            <w:tcW w:w="380" w:type="dxa"/>
            <w:vAlign w:val="bottom"/>
            <w:tcBorders>
              <w:bottom w:val="single" w:sz="8" w:color="1352DE"/>
            </w:tcBorders>
          </w:tcPr>
          <w:p>
            <w:pPr>
              <w:spacing w:after="0"/>
              <w:rPr>
                <w:sz w:val="16"/>
                <w:szCs w:val="16"/>
                <w:color w:val="auto"/>
              </w:rPr>
            </w:pPr>
          </w:p>
        </w:tc>
        <w:tc>
          <w:tcPr>
            <w:tcW w:w="9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251DE"/>
              </w:rPr>
              <w:t>Sheet</w:t>
            </w:r>
            <w:r>
              <w:rPr>
                <w:rFonts w:ascii="Arial" w:cs="Arial" w:eastAsia="Arial" w:hAnsi="Arial"/>
                <w:sz w:val="9"/>
                <w:szCs w:val="9"/>
                <w:color w:val="1251DE"/>
              </w:rPr>
              <w:t>(b)</w:t>
            </w:r>
          </w:p>
        </w:tc>
        <w:tc>
          <w:tcPr>
            <w:tcW w:w="32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1DE"/>
              </w:rPr>
              <w:t>Sheet</w:t>
            </w:r>
          </w:p>
        </w:tc>
        <w:tc>
          <w:tcPr>
            <w:tcW w:w="420" w:type="dxa"/>
            <w:vAlign w:val="bottom"/>
            <w:tcBorders>
              <w:bottom w:val="single" w:sz="8" w:color="1352DE"/>
            </w:tcBorders>
          </w:tcPr>
          <w:p>
            <w:pPr>
              <w:spacing w:after="0"/>
              <w:rPr>
                <w:sz w:val="16"/>
                <w:szCs w:val="16"/>
                <w:color w:val="auto"/>
              </w:rPr>
            </w:pPr>
          </w:p>
        </w:tc>
        <w:tc>
          <w:tcPr>
            <w:tcW w:w="440" w:type="dxa"/>
            <w:vAlign w:val="bottom"/>
            <w:tcBorders>
              <w:bottom w:val="single" w:sz="8" w:color="1352DE"/>
            </w:tcBorders>
          </w:tcPr>
          <w:p>
            <w:pPr>
              <w:spacing w:after="0"/>
              <w:rPr>
                <w:sz w:val="16"/>
                <w:szCs w:val="16"/>
                <w:color w:val="auto"/>
              </w:rPr>
            </w:pPr>
          </w:p>
        </w:tc>
        <w:tc>
          <w:tcPr>
            <w:tcW w:w="74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b w:val="1"/>
                <w:bCs w:val="1"/>
                <w:color w:val="1251DE"/>
              </w:rPr>
              <w:t>September 30, 2026</w:t>
            </w:r>
          </w:p>
        </w:tc>
        <w:tc>
          <w:tcPr>
            <w:tcW w:w="1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1251DE"/>
              </w:rPr>
              <w:t>(c)</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140"/>
              <w:spacing w:after="0"/>
              <w:rPr>
                <w:sz w:val="20"/>
                <w:szCs w:val="20"/>
                <w:color w:val="auto"/>
              </w:rPr>
            </w:pPr>
            <w:r>
              <w:rPr>
                <w:rFonts w:ascii="Arial" w:cs="Arial" w:eastAsia="Arial" w:hAnsi="Arial"/>
                <w:sz w:val="14"/>
                <w:szCs w:val="14"/>
                <w:color w:val="auto"/>
              </w:rPr>
              <w:t>Private equity funds and other investments</w:t>
            </w:r>
          </w:p>
        </w:tc>
        <w:tc>
          <w:tcPr>
            <w:tcW w:w="1720" w:type="dxa"/>
            <w:vAlign w:val="bottom"/>
          </w:tcPr>
          <w:p>
            <w:pPr>
              <w:jc w:val="right"/>
              <w:ind w:right="168"/>
              <w:spacing w:after="0"/>
              <w:rPr>
                <w:sz w:val="20"/>
                <w:szCs w:val="20"/>
                <w:color w:val="auto"/>
              </w:rPr>
            </w:pPr>
            <w:r>
              <w:rPr>
                <w:rFonts w:ascii="Arial" w:cs="Arial" w:eastAsia="Arial" w:hAnsi="Arial"/>
                <w:sz w:val="14"/>
                <w:szCs w:val="14"/>
                <w:b w:val="1"/>
                <w:bCs w:val="1"/>
                <w:color w:val="1251DE"/>
              </w:rPr>
              <w:t>$</w:t>
            </w: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1251DE"/>
              </w:rPr>
              <w:t>288,270</w:t>
            </w:r>
          </w:p>
        </w:tc>
        <w:tc>
          <w:tcPr>
            <w:tcW w:w="380" w:type="dxa"/>
            <w:vAlign w:val="bottom"/>
          </w:tcPr>
          <w:p>
            <w:pPr>
              <w:jc w:val="right"/>
              <w:ind w:right="88"/>
              <w:spacing w:after="0"/>
              <w:rPr>
                <w:sz w:val="20"/>
                <w:szCs w:val="20"/>
                <w:color w:val="auto"/>
              </w:rPr>
            </w:pPr>
            <w:r>
              <w:rPr>
                <w:rFonts w:ascii="Arial" w:cs="Arial" w:eastAsia="Arial" w:hAnsi="Arial"/>
                <w:sz w:val="14"/>
                <w:szCs w:val="14"/>
                <w:b w:val="1"/>
                <w:bCs w:val="1"/>
                <w:color w:val="1251DE"/>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1DE"/>
              </w:rPr>
              <w:t>2,828</w:t>
            </w: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1251DE"/>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1251DE"/>
              </w:rPr>
              <w:t>1,146</w:t>
            </w:r>
          </w:p>
        </w:tc>
        <w:tc>
          <w:tcPr>
            <w:tcW w:w="420" w:type="dxa"/>
            <w:vAlign w:val="bottom"/>
            <w:vMerge w:val="continue"/>
          </w:tcPr>
          <w:p>
            <w:pPr>
              <w:spacing w:after="0"/>
              <w:rPr>
                <w:sz w:val="16"/>
                <w:szCs w:val="16"/>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1251DE"/>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1251DE"/>
              </w:rPr>
              <w:t>3,974</w:t>
            </w:r>
          </w:p>
        </w:tc>
        <w:tc>
          <w:tcPr>
            <w:tcW w:w="0" w:type="dxa"/>
            <w:vAlign w:val="bottom"/>
          </w:tcPr>
          <w:p>
            <w:pPr>
              <w:spacing w:after="0"/>
              <w:rPr>
                <w:sz w:val="1"/>
                <w:szCs w:val="1"/>
                <w:color w:val="auto"/>
              </w:rPr>
            </w:pPr>
          </w:p>
        </w:tc>
      </w:tr>
      <w:tr>
        <w:trPr>
          <w:trHeight w:val="228"/>
        </w:trPr>
        <w:tc>
          <w:tcPr>
            <w:tcW w:w="424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(a)</w:t>
            </w:r>
          </w:p>
        </w:tc>
        <w:tc>
          <w:tcPr>
            <w:tcW w:w="1720" w:type="dxa"/>
            <w:vAlign w:val="bottom"/>
            <w:tcBorders>
              <w:bottom w:val="single" w:sz="8" w:color="1352DE"/>
            </w:tcBorders>
          </w:tcPr>
          <w:p>
            <w:pPr>
              <w:spacing w:after="0"/>
              <w:rPr>
                <w:sz w:val="19"/>
                <w:szCs w:val="19"/>
                <w:color w:val="auto"/>
              </w:rPr>
            </w:pPr>
          </w:p>
        </w:tc>
        <w:tc>
          <w:tcPr>
            <w:tcW w:w="106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1DE"/>
              </w:rPr>
              <w:t>5,148</w:t>
            </w:r>
          </w:p>
        </w:tc>
        <w:tc>
          <w:tcPr>
            <w:tcW w:w="380" w:type="dxa"/>
            <w:vAlign w:val="bottom"/>
            <w:tcBorders>
              <w:bottom w:val="single" w:sz="8" w:color="1352DE"/>
            </w:tcBorders>
          </w:tcPr>
          <w:p>
            <w:pPr>
              <w:spacing w:after="0"/>
              <w:rPr>
                <w:sz w:val="19"/>
                <w:szCs w:val="19"/>
                <w:color w:val="auto"/>
              </w:rPr>
            </w:pPr>
          </w:p>
        </w:tc>
        <w:tc>
          <w:tcPr>
            <w:tcW w:w="9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1DE"/>
              </w:rPr>
              <w:t>128</w:t>
            </w:r>
          </w:p>
        </w:tc>
        <w:tc>
          <w:tcPr>
            <w:tcW w:w="320" w:type="dxa"/>
            <w:vAlign w:val="bottom"/>
            <w:tcBorders>
              <w:bottom w:val="single" w:sz="8" w:color="1352DE"/>
            </w:tcBorders>
          </w:tcPr>
          <w:p>
            <w:pPr>
              <w:spacing w:after="0"/>
              <w:rPr>
                <w:sz w:val="19"/>
                <w:szCs w:val="19"/>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1DE"/>
              </w:rPr>
              <w:t>281</w:t>
            </w:r>
          </w:p>
        </w:tc>
        <w:tc>
          <w:tcPr>
            <w:tcW w:w="420" w:type="dxa"/>
            <w:vAlign w:val="bottom"/>
            <w:tcBorders>
              <w:bottom w:val="single" w:sz="8" w:color="1352DE"/>
            </w:tcBorders>
          </w:tcPr>
          <w:p>
            <w:pPr>
              <w:ind w:left="20"/>
              <w:spacing w:after="0"/>
              <w:rPr>
                <w:sz w:val="20"/>
                <w:szCs w:val="20"/>
                <w:color w:val="auto"/>
              </w:rPr>
            </w:pPr>
            <w:r>
              <w:rPr>
                <w:rFonts w:ascii="Arial" w:cs="Arial" w:eastAsia="Arial" w:hAnsi="Arial"/>
                <w:sz w:val="9"/>
                <w:szCs w:val="9"/>
                <w:b w:val="1"/>
                <w:bCs w:val="1"/>
                <w:color w:val="1251DE"/>
              </w:rPr>
              <w:t>(d)</w:t>
            </w:r>
          </w:p>
        </w:tc>
        <w:tc>
          <w:tcPr>
            <w:tcW w:w="440" w:type="dxa"/>
            <w:vAlign w:val="bottom"/>
            <w:tcBorders>
              <w:bottom w:val="single" w:sz="8" w:color="1352DE"/>
            </w:tcBorders>
          </w:tcPr>
          <w:p>
            <w:pPr>
              <w:spacing w:after="0"/>
              <w:rPr>
                <w:sz w:val="19"/>
                <w:szCs w:val="19"/>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1DE"/>
              </w:rPr>
              <w:t>409</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1DE"/>
              </w:rPr>
              <w:t>Total</w:t>
            </w:r>
          </w:p>
        </w:tc>
        <w:tc>
          <w:tcPr>
            <w:tcW w:w="172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1DE"/>
              </w:rPr>
              <w:t>$</w:t>
            </w:r>
          </w:p>
        </w:tc>
        <w:tc>
          <w:tcPr>
            <w:tcW w:w="106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1DE"/>
              </w:rPr>
              <w:t>293,418</w:t>
            </w:r>
          </w:p>
        </w:tc>
        <w:tc>
          <w:tcPr>
            <w:tcW w:w="38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1DE"/>
              </w:rPr>
              <w:t>$</w:t>
            </w:r>
          </w:p>
        </w:tc>
        <w:tc>
          <w:tcPr>
            <w:tcW w:w="9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1DE"/>
              </w:rPr>
              <w:t>2,956</w:t>
            </w:r>
          </w:p>
        </w:tc>
        <w:tc>
          <w:tcPr>
            <w:tcW w:w="3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1DE"/>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1DE"/>
              </w:rPr>
              <w:t>1,427</w:t>
            </w:r>
          </w:p>
        </w:tc>
        <w:tc>
          <w:tcPr>
            <w:tcW w:w="420" w:type="dxa"/>
            <w:vAlign w:val="bottom"/>
            <w:tcBorders>
              <w:bottom w:val="single" w:sz="8" w:color="1352DE"/>
            </w:tcBorders>
          </w:tcPr>
          <w:p>
            <w:pPr>
              <w:spacing w:after="0"/>
              <w:rPr>
                <w:sz w:val="16"/>
                <w:szCs w:val="16"/>
                <w:color w:val="auto"/>
              </w:rPr>
            </w:pPr>
          </w:p>
        </w:tc>
        <w:tc>
          <w:tcPr>
            <w:tcW w:w="44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b w:val="1"/>
                <w:bCs w:val="1"/>
                <w:color w:val="1251DE"/>
              </w:rPr>
              <w:t>$</w:t>
            </w: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1DE"/>
              </w:rPr>
              <w:t>4,383</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4"/>
                <w:szCs w:val="14"/>
                <w:color w:val="1251DE"/>
              </w:rPr>
              <w:t>December 31, 2025</w:t>
            </w:r>
          </w:p>
        </w:tc>
        <w:tc>
          <w:tcPr>
            <w:tcW w:w="1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color w:val="auto"/>
              </w:rPr>
              <w:t>(c)</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240" w:type="dxa"/>
            <w:vAlign w:val="bottom"/>
          </w:tcPr>
          <w:p>
            <w:pPr>
              <w:ind w:left="140"/>
              <w:spacing w:after="0"/>
              <w:rPr>
                <w:sz w:val="20"/>
                <w:szCs w:val="20"/>
                <w:color w:val="auto"/>
              </w:rPr>
            </w:pPr>
            <w:r>
              <w:rPr>
                <w:rFonts w:ascii="Arial" w:cs="Arial" w:eastAsia="Arial" w:hAnsi="Arial"/>
                <w:sz w:val="14"/>
                <w:szCs w:val="14"/>
                <w:color w:val="auto"/>
              </w:rPr>
              <w:t>Private equity funds and other investments</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403,956</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3,078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1,219</w:t>
            </w:r>
          </w:p>
        </w:tc>
        <w:tc>
          <w:tcPr>
            <w:tcW w:w="420" w:type="dxa"/>
            <w:vAlign w:val="bottom"/>
            <w:vMerge w:val="continue"/>
          </w:tcPr>
          <w:p>
            <w:pPr>
              <w:spacing w:after="0"/>
              <w:rPr>
                <w:sz w:val="17"/>
                <w:szCs w:val="17"/>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4,297</w:t>
            </w:r>
          </w:p>
        </w:tc>
        <w:tc>
          <w:tcPr>
            <w:tcW w:w="0" w:type="dxa"/>
            <w:vAlign w:val="bottom"/>
          </w:tcPr>
          <w:p>
            <w:pPr>
              <w:spacing w:after="0"/>
              <w:rPr>
                <w:sz w:val="1"/>
                <w:szCs w:val="1"/>
                <w:color w:val="auto"/>
              </w:rPr>
            </w:pPr>
          </w:p>
        </w:tc>
      </w:tr>
      <w:tr>
        <w:trPr>
          <w:trHeight w:val="228"/>
        </w:trPr>
        <w:tc>
          <w:tcPr>
            <w:tcW w:w="424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(a)</w:t>
            </w:r>
          </w:p>
        </w:tc>
        <w:tc>
          <w:tcPr>
            <w:tcW w:w="1720" w:type="dxa"/>
            <w:vAlign w:val="bottom"/>
            <w:tcBorders>
              <w:bottom w:val="single" w:sz="8" w:color="1352DE"/>
            </w:tcBorders>
          </w:tcPr>
          <w:p>
            <w:pPr>
              <w:spacing w:after="0"/>
              <w:rPr>
                <w:sz w:val="19"/>
                <w:szCs w:val="19"/>
                <w:color w:val="auto"/>
              </w:rPr>
            </w:pPr>
          </w:p>
        </w:tc>
        <w:tc>
          <w:tcPr>
            <w:tcW w:w="106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color w:val="auto"/>
              </w:rPr>
              <w:t>4,776</w:t>
            </w:r>
          </w:p>
        </w:tc>
        <w:tc>
          <w:tcPr>
            <w:tcW w:w="380" w:type="dxa"/>
            <w:vAlign w:val="bottom"/>
            <w:tcBorders>
              <w:bottom w:val="single" w:sz="8" w:color="1352DE"/>
            </w:tcBorders>
          </w:tcPr>
          <w:p>
            <w:pPr>
              <w:spacing w:after="0"/>
              <w:rPr>
                <w:sz w:val="19"/>
                <w:szCs w:val="19"/>
                <w:color w:val="auto"/>
              </w:rPr>
            </w:pPr>
          </w:p>
        </w:tc>
        <w:tc>
          <w:tcPr>
            <w:tcW w:w="9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188</w:t>
            </w:r>
          </w:p>
        </w:tc>
        <w:tc>
          <w:tcPr>
            <w:tcW w:w="320" w:type="dxa"/>
            <w:vAlign w:val="bottom"/>
            <w:tcBorders>
              <w:bottom w:val="single" w:sz="8" w:color="1352DE"/>
            </w:tcBorders>
          </w:tcPr>
          <w:p>
            <w:pPr>
              <w:spacing w:after="0"/>
              <w:rPr>
                <w:sz w:val="19"/>
                <w:szCs w:val="19"/>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302</w:t>
            </w:r>
          </w:p>
        </w:tc>
        <w:tc>
          <w:tcPr>
            <w:tcW w:w="420" w:type="dxa"/>
            <w:vAlign w:val="bottom"/>
            <w:tcBorders>
              <w:bottom w:val="single" w:sz="8" w:color="1352DE"/>
            </w:tcBorders>
          </w:tcPr>
          <w:p>
            <w:pPr>
              <w:ind w:left="20"/>
              <w:spacing w:after="0"/>
              <w:rPr>
                <w:sz w:val="20"/>
                <w:szCs w:val="20"/>
                <w:color w:val="auto"/>
              </w:rPr>
            </w:pPr>
            <w:r>
              <w:rPr>
                <w:rFonts w:ascii="Arial" w:cs="Arial" w:eastAsia="Arial" w:hAnsi="Arial"/>
                <w:sz w:val="9"/>
                <w:szCs w:val="9"/>
                <w:color w:val="auto"/>
              </w:rPr>
              <w:t>(d)</w:t>
            </w:r>
          </w:p>
        </w:tc>
        <w:tc>
          <w:tcPr>
            <w:tcW w:w="440" w:type="dxa"/>
            <w:vAlign w:val="bottom"/>
            <w:tcBorders>
              <w:bottom w:val="single" w:sz="8" w:color="1352DE"/>
            </w:tcBorders>
          </w:tcPr>
          <w:p>
            <w:pPr>
              <w:spacing w:after="0"/>
              <w:rPr>
                <w:sz w:val="19"/>
                <w:szCs w:val="19"/>
                <w:color w:val="auto"/>
              </w:rPr>
            </w:pP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1DE"/>
              </w:rPr>
              <w:t>Total</w:t>
            </w:r>
          </w:p>
        </w:tc>
        <w:tc>
          <w:tcPr>
            <w:tcW w:w="172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color w:val="auto"/>
              </w:rPr>
              <w:t>408,732</w:t>
            </w:r>
          </w:p>
        </w:tc>
        <w:tc>
          <w:tcPr>
            <w:tcW w:w="38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3,266</w:t>
            </w:r>
          </w:p>
        </w:tc>
        <w:tc>
          <w:tcPr>
            <w:tcW w:w="3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1,521</w:t>
            </w:r>
          </w:p>
        </w:tc>
        <w:tc>
          <w:tcPr>
            <w:tcW w:w="420" w:type="dxa"/>
            <w:vAlign w:val="bottom"/>
            <w:tcBorders>
              <w:bottom w:val="single" w:sz="8" w:color="1352DE"/>
            </w:tcBorders>
          </w:tcPr>
          <w:p>
            <w:pPr>
              <w:spacing w:after="0"/>
              <w:rPr>
                <w:sz w:val="16"/>
                <w:szCs w:val="16"/>
                <w:color w:val="auto"/>
              </w:rPr>
            </w:pPr>
          </w:p>
        </w:tc>
        <w:tc>
          <w:tcPr>
            <w:tcW w:w="44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4,787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140" w:hanging="212"/>
        <w:spacing w:after="0" w:line="306" w:lineRule="auto"/>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 xml:space="preserve">At September 30, 2026 and December 31, 2025, excludes approximately $759 million and $1.1 billion, respectively, of VIE assets related to AIGFP and its consolidated subsidiaries, with maximum off-balance sheet exposure to loss of $747 million and $1.1 billion, respectively. </w:t>
      </w:r>
      <w:r>
        <w:rPr>
          <w:rFonts w:ascii="Arial" w:cs="Arial" w:eastAsia="Arial" w:hAnsi="Arial"/>
          <w:sz w:val="12"/>
          <w:szCs w:val="12"/>
          <w:i w:val="1"/>
          <w:iCs w:val="1"/>
          <w:color w:val="auto"/>
        </w:rPr>
        <w:t>For additional information, see Note 7 to the Consolidated Financial Statements in the 2025 Annual Report.</w:t>
      </w:r>
    </w:p>
    <w:p>
      <w:pPr>
        <w:spacing w:after="0" w:line="26" w:lineRule="exact"/>
        <w:rPr>
          <w:rFonts w:ascii="Arial" w:cs="Arial" w:eastAsia="Arial" w:hAnsi="Arial"/>
          <w:sz w:val="12"/>
          <w:szCs w:val="12"/>
          <w:color w:val="auto"/>
        </w:rPr>
      </w:pPr>
    </w:p>
    <w:p>
      <w:pPr>
        <w:ind w:left="220" w:hanging="212"/>
        <w:spacing w:after="0"/>
        <w:tabs>
          <w:tab w:leader="none" w:pos="2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At September 30, 2026 and December 31, 2025, $3.0 billion and $3.3 billion, respectively, of our total unconsolidated VIE assets were recorded as Other invested assets.</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These amounts represent our unfunded commitments to invest in private equity funds.</w:t>
      </w:r>
    </w:p>
    <w:p>
      <w:pPr>
        <w:spacing w:after="0" w:line="80" w:lineRule="exact"/>
        <w:rPr>
          <w:rFonts w:ascii="Arial" w:cs="Arial" w:eastAsia="Arial" w:hAnsi="Arial"/>
          <w:sz w:val="13"/>
          <w:szCs w:val="13"/>
          <w:color w:val="auto"/>
        </w:rPr>
      </w:pPr>
    </w:p>
    <w:p>
      <w:pPr>
        <w:ind w:left="220" w:right="120" w:hanging="212"/>
        <w:spacing w:after="0" w:line="286" w:lineRule="auto"/>
        <w:tabs>
          <w:tab w:leader="none" w:pos="208"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These amounts represent our estimate of the maximum exposure to loss under certain insurance policies issued to VIEs if a hypothetical loss occurred to the extent of the full amount of the insured value. Our insurance policies cover defined risks and our estimate of liability is included in our insurance reserves on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234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7"/>
          <w:szCs w:val="27"/>
          <w:color w:val="001871"/>
        </w:rPr>
        <w:t>10. Derivatives and Hedge Accounting</w:t>
      </w:r>
    </w:p>
    <w:p>
      <w:pPr>
        <w:spacing w:after="0" w:line="22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use derivatives and other financial instruments as part of our financial risk management programs and as part of our investment operations. Interest rate derivatives (such as interest rate swaps) are used to manage interest rate risk associated with embedded derivatives contained in insurance contract liabilities, fixed maturity securities, outstanding medium- and long-term notes as well as other interest rate-sensitive assets and liabilities. Foreign exchange derivatives (principally foreign exchange forwards and swaps) are used to economically mitigate risk associated with non-U.S. dollar denominated debt, net capital exposures, foreign currency transactions, and foreign denominated investments. Equity derivatives are used to economically mitigate financial risk associated with embedded derivatives. We use credit derivatives to manage our credit exposures. The derivatives are effective economic hedges of the exposures that they are meant to offset. In addition to hedging activities, we also enter into derivative contracts with respect to investment operations, which may include, among other things, credit default swaps (CDSs), total return swaps and purchases of investments with embedded derivatives, such as equity-linked notes and convertible bonds.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29</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10. Derivatives and Hedge Accounting</w:t>
      </w:r>
    </w:p>
    <w:p>
      <w:pPr>
        <w:spacing w:after="0" w:line="200" w:lineRule="exact"/>
        <w:rPr>
          <w:sz w:val="20"/>
          <w:szCs w:val="20"/>
          <w:color w:val="auto"/>
        </w:rPr>
      </w:pPr>
    </w:p>
    <w:p>
      <w:pPr>
        <w:spacing w:after="0" w:line="299" w:lineRule="exact"/>
        <w:rPr>
          <w:sz w:val="20"/>
          <w:szCs w:val="20"/>
          <w:color w:val="auto"/>
        </w:rPr>
      </w:pPr>
    </w:p>
    <w:p>
      <w:pPr>
        <w:ind w:right="560"/>
        <w:spacing w:after="0" w:line="349" w:lineRule="auto"/>
        <w:rPr>
          <w:sz w:val="20"/>
          <w:szCs w:val="20"/>
          <w:color w:val="auto"/>
        </w:rPr>
      </w:pPr>
      <w:r>
        <w:rPr>
          <w:rFonts w:ascii="Arial" w:cs="Arial" w:eastAsia="Arial" w:hAnsi="Arial"/>
          <w:sz w:val="16"/>
          <w:szCs w:val="16"/>
          <w:b w:val="1"/>
          <w:bCs w:val="1"/>
          <w:color w:val="1352DE"/>
        </w:rPr>
        <w:t>The following table presents the notional amounts of our derivatives and the fair value of derivative assets and liabilities in the Condensed Consolidated Balance Sheets: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Borders>
              <w:top w:val="single" w:sz="8" w:color="1352DE"/>
            </w:tcBorders>
          </w:tcPr>
          <w:p>
            <w:pPr>
              <w:spacing w:after="0"/>
              <w:rPr>
                <w:sz w:val="18"/>
                <w:szCs w:val="18"/>
                <w:color w:val="auto"/>
              </w:rPr>
            </w:pPr>
          </w:p>
        </w:tc>
        <w:tc>
          <w:tcPr>
            <w:tcW w:w="200" w:type="dxa"/>
            <w:vAlign w:val="bottom"/>
            <w:tcBorders>
              <w:top w:val="single" w:sz="8" w:color="1352DE"/>
              <w:bottom w:val="single" w:sz="8" w:color="1352DE"/>
            </w:tcBorders>
          </w:tcPr>
          <w:p>
            <w:pPr>
              <w:spacing w:after="0"/>
              <w:rPr>
                <w:sz w:val="18"/>
                <w:szCs w:val="18"/>
                <w:color w:val="auto"/>
              </w:rPr>
            </w:pPr>
          </w:p>
        </w:tc>
        <w:tc>
          <w:tcPr>
            <w:tcW w:w="840" w:type="dxa"/>
            <w:vAlign w:val="bottom"/>
            <w:tcBorders>
              <w:top w:val="single" w:sz="8" w:color="1352DE"/>
              <w:bottom w:val="single" w:sz="8" w:color="1352DE"/>
            </w:tcBorders>
          </w:tcPr>
          <w:p>
            <w:pPr>
              <w:spacing w:after="0"/>
              <w:rPr>
                <w:sz w:val="18"/>
                <w:szCs w:val="18"/>
                <w:color w:val="auto"/>
              </w:rPr>
            </w:pPr>
          </w:p>
        </w:tc>
        <w:tc>
          <w:tcPr>
            <w:tcW w:w="280" w:type="dxa"/>
            <w:vAlign w:val="bottom"/>
            <w:tcBorders>
              <w:top w:val="single" w:sz="8" w:color="1352DE"/>
              <w:bottom w:val="single" w:sz="8" w:color="1352DE"/>
            </w:tcBorders>
          </w:tcPr>
          <w:p>
            <w:pPr>
              <w:spacing w:after="0"/>
              <w:rPr>
                <w:sz w:val="18"/>
                <w:szCs w:val="18"/>
                <w:color w:val="auto"/>
              </w:rPr>
            </w:pPr>
          </w:p>
        </w:tc>
        <w:tc>
          <w:tcPr>
            <w:tcW w:w="1900" w:type="dxa"/>
            <w:vAlign w:val="bottom"/>
            <w:tcBorders>
              <w:top w:val="single" w:sz="8" w:color="1352DE"/>
              <w:bottom w:val="single" w:sz="8" w:color="1352DE"/>
            </w:tcBorders>
            <w:gridSpan w:val="4"/>
          </w:tcPr>
          <w:p>
            <w:pPr>
              <w:jc w:val="right"/>
              <w:ind w:right="368"/>
              <w:spacing w:after="0"/>
              <w:rPr>
                <w:sz w:val="20"/>
                <w:szCs w:val="20"/>
                <w:color w:val="auto"/>
              </w:rPr>
            </w:pPr>
            <w:r>
              <w:rPr>
                <w:rFonts w:ascii="Arial" w:cs="Arial" w:eastAsia="Arial" w:hAnsi="Arial"/>
                <w:sz w:val="14"/>
                <w:szCs w:val="14"/>
                <w:b w:val="1"/>
                <w:bCs w:val="1"/>
                <w:color w:val="1352DE"/>
              </w:rPr>
              <w:t>September 30, 2026</w:t>
            </w:r>
          </w:p>
        </w:tc>
        <w:tc>
          <w:tcPr>
            <w:tcW w:w="380" w:type="dxa"/>
            <w:vAlign w:val="bottom"/>
            <w:tcBorders>
              <w:top w:val="single" w:sz="8" w:color="1352DE"/>
              <w:bottom w:val="single" w:sz="8" w:color="1352DE"/>
            </w:tcBorders>
          </w:tcPr>
          <w:p>
            <w:pPr>
              <w:spacing w:after="0"/>
              <w:rPr>
                <w:sz w:val="18"/>
                <w:szCs w:val="18"/>
                <w:color w:val="auto"/>
              </w:rPr>
            </w:pPr>
          </w:p>
        </w:tc>
        <w:tc>
          <w:tcPr>
            <w:tcW w:w="620" w:type="dxa"/>
            <w:vAlign w:val="bottom"/>
            <w:tcBorders>
              <w:top w:val="single" w:sz="8" w:color="1352DE"/>
              <w:bottom w:val="single" w:sz="8" w:color="1352DE"/>
            </w:tcBorders>
          </w:tcPr>
          <w:p>
            <w:pPr>
              <w:spacing w:after="0"/>
              <w:rPr>
                <w:sz w:val="18"/>
                <w:szCs w:val="18"/>
                <w:color w:val="auto"/>
              </w:rPr>
            </w:pPr>
          </w:p>
        </w:tc>
        <w:tc>
          <w:tcPr>
            <w:tcW w:w="140" w:type="dxa"/>
            <w:vAlign w:val="bottom"/>
            <w:tcBorders>
              <w:top w:val="single" w:sz="8" w:color="1352DE"/>
            </w:tcBorders>
          </w:tcPr>
          <w:p>
            <w:pPr>
              <w:spacing w:after="0"/>
              <w:rPr>
                <w:sz w:val="18"/>
                <w:szCs w:val="18"/>
                <w:color w:val="auto"/>
              </w:rPr>
            </w:pPr>
          </w:p>
        </w:tc>
        <w:tc>
          <w:tcPr>
            <w:tcW w:w="200" w:type="dxa"/>
            <w:vAlign w:val="bottom"/>
            <w:tcBorders>
              <w:top w:val="single" w:sz="8" w:color="1352DE"/>
              <w:bottom w:val="single" w:sz="8" w:color="1352DE"/>
            </w:tcBorders>
          </w:tcPr>
          <w:p>
            <w:pPr>
              <w:spacing w:after="0"/>
              <w:rPr>
                <w:sz w:val="18"/>
                <w:szCs w:val="18"/>
                <w:color w:val="auto"/>
              </w:rPr>
            </w:pPr>
          </w:p>
        </w:tc>
        <w:tc>
          <w:tcPr>
            <w:tcW w:w="820" w:type="dxa"/>
            <w:vAlign w:val="bottom"/>
            <w:tcBorders>
              <w:top w:val="single" w:sz="8" w:color="1352DE"/>
              <w:bottom w:val="single" w:sz="8" w:color="1352DE"/>
            </w:tcBorders>
          </w:tcPr>
          <w:p>
            <w:pPr>
              <w:spacing w:after="0"/>
              <w:rPr>
                <w:sz w:val="18"/>
                <w:szCs w:val="18"/>
                <w:color w:val="auto"/>
              </w:rPr>
            </w:pPr>
          </w:p>
        </w:tc>
        <w:tc>
          <w:tcPr>
            <w:tcW w:w="300" w:type="dxa"/>
            <w:vAlign w:val="bottom"/>
            <w:tcBorders>
              <w:top w:val="single" w:sz="8" w:color="1352DE"/>
              <w:bottom w:val="single" w:sz="8" w:color="1352DE"/>
            </w:tcBorders>
          </w:tcPr>
          <w:p>
            <w:pPr>
              <w:spacing w:after="0"/>
              <w:rPr>
                <w:sz w:val="18"/>
                <w:szCs w:val="18"/>
                <w:color w:val="auto"/>
              </w:rPr>
            </w:pPr>
          </w:p>
        </w:tc>
        <w:tc>
          <w:tcPr>
            <w:tcW w:w="1920" w:type="dxa"/>
            <w:vAlign w:val="bottom"/>
            <w:tcBorders>
              <w:top w:val="single" w:sz="8" w:color="1352DE"/>
              <w:bottom w:val="single" w:sz="8" w:color="1352DE"/>
            </w:tcBorders>
            <w:gridSpan w:val="4"/>
          </w:tcPr>
          <w:p>
            <w:pPr>
              <w:jc w:val="right"/>
              <w:ind w:right="408"/>
              <w:spacing w:after="0"/>
              <w:rPr>
                <w:sz w:val="20"/>
                <w:szCs w:val="20"/>
                <w:color w:val="auto"/>
              </w:rPr>
            </w:pPr>
            <w:r>
              <w:rPr>
                <w:rFonts w:ascii="Arial" w:cs="Arial" w:eastAsia="Arial" w:hAnsi="Arial"/>
                <w:sz w:val="14"/>
                <w:szCs w:val="14"/>
                <w:color w:val="1352DE"/>
              </w:rPr>
              <w:t>December 31, 2025</w:t>
            </w:r>
          </w:p>
        </w:tc>
        <w:tc>
          <w:tcPr>
            <w:tcW w:w="380" w:type="dxa"/>
            <w:vAlign w:val="bottom"/>
            <w:tcBorders>
              <w:top w:val="single" w:sz="8" w:color="1352DE"/>
              <w:bottom w:val="single" w:sz="8" w:color="1352DE"/>
            </w:tcBorders>
          </w:tcPr>
          <w:p>
            <w:pPr>
              <w:spacing w:after="0"/>
              <w:rPr>
                <w:sz w:val="18"/>
                <w:szCs w:val="18"/>
                <w:color w:val="auto"/>
              </w:rPr>
            </w:pPr>
          </w:p>
        </w:tc>
        <w:tc>
          <w:tcPr>
            <w:tcW w:w="62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20" w:type="dxa"/>
            <w:vAlign w:val="bottom"/>
          </w:tcPr>
          <w:p>
            <w:pPr>
              <w:spacing w:after="0"/>
              <w:rPr>
                <w:sz w:val="16"/>
                <w:szCs w:val="16"/>
                <w:color w:val="auto"/>
              </w:rPr>
            </w:pPr>
          </w:p>
        </w:tc>
        <w:tc>
          <w:tcPr>
            <w:tcW w:w="200" w:type="dxa"/>
            <w:vAlign w:val="bottom"/>
            <w:tcBorders>
              <w:bottom w:val="single" w:sz="8" w:color="1352DE"/>
            </w:tcBorders>
          </w:tcPr>
          <w:p>
            <w:pPr>
              <w:spacing w:after="0"/>
              <w:rPr>
                <w:sz w:val="16"/>
                <w:szCs w:val="16"/>
                <w:color w:val="auto"/>
              </w:rPr>
            </w:pPr>
          </w:p>
        </w:tc>
        <w:tc>
          <w:tcPr>
            <w:tcW w:w="1760" w:type="dxa"/>
            <w:vAlign w:val="bottom"/>
            <w:tcBorders>
              <w:bottom w:val="single" w:sz="8" w:color="1352DE"/>
            </w:tcBorders>
            <w:gridSpan w:val="3"/>
          </w:tcPr>
          <w:p>
            <w:pPr>
              <w:jc w:val="right"/>
              <w:ind w:right="128"/>
              <w:spacing w:after="0"/>
              <w:rPr>
                <w:sz w:val="20"/>
                <w:szCs w:val="20"/>
                <w:color w:val="auto"/>
              </w:rPr>
            </w:pPr>
            <w:r>
              <w:rPr>
                <w:rFonts w:ascii="Arial" w:cs="Arial" w:eastAsia="Arial" w:hAnsi="Arial"/>
                <w:sz w:val="14"/>
                <w:szCs w:val="14"/>
                <w:color w:val="1352DE"/>
              </w:rPr>
              <w:t>Gross Derivative Assets</w:t>
            </w:r>
          </w:p>
        </w:tc>
        <w:tc>
          <w:tcPr>
            <w:tcW w:w="140" w:type="dxa"/>
            <w:vAlign w:val="bottom"/>
          </w:tcPr>
          <w:p>
            <w:pPr>
              <w:spacing w:after="0"/>
              <w:rPr>
                <w:sz w:val="16"/>
                <w:szCs w:val="16"/>
                <w:color w:val="auto"/>
              </w:rPr>
            </w:pPr>
          </w:p>
        </w:tc>
        <w:tc>
          <w:tcPr>
            <w:tcW w:w="200" w:type="dxa"/>
            <w:vAlign w:val="bottom"/>
            <w:tcBorders>
              <w:bottom w:val="single" w:sz="8" w:color="1352DE"/>
            </w:tcBorders>
          </w:tcPr>
          <w:p>
            <w:pPr>
              <w:spacing w:after="0"/>
              <w:rPr>
                <w:sz w:val="16"/>
                <w:szCs w:val="16"/>
                <w:color w:val="auto"/>
              </w:rPr>
            </w:pPr>
          </w:p>
        </w:tc>
        <w:tc>
          <w:tcPr>
            <w:tcW w:w="1920" w:type="dxa"/>
            <w:vAlign w:val="bottom"/>
            <w:tcBorders>
              <w:bottom w:val="single" w:sz="8" w:color="1352DE"/>
            </w:tcBorders>
            <w:gridSpan w:val="3"/>
          </w:tcPr>
          <w:p>
            <w:pPr>
              <w:jc w:val="right"/>
              <w:ind w:right="148"/>
              <w:spacing w:after="0"/>
              <w:rPr>
                <w:sz w:val="20"/>
                <w:szCs w:val="20"/>
                <w:color w:val="auto"/>
              </w:rPr>
            </w:pPr>
            <w:r>
              <w:rPr>
                <w:rFonts w:ascii="Arial" w:cs="Arial" w:eastAsia="Arial" w:hAnsi="Arial"/>
                <w:sz w:val="14"/>
                <w:szCs w:val="14"/>
                <w:color w:val="1352DE"/>
              </w:rPr>
              <w:t>Gross Derivative Liabilities</w:t>
            </w:r>
          </w:p>
        </w:tc>
        <w:tc>
          <w:tcPr>
            <w:tcW w:w="140" w:type="dxa"/>
            <w:vAlign w:val="bottom"/>
          </w:tcPr>
          <w:p>
            <w:pPr>
              <w:spacing w:after="0"/>
              <w:rPr>
                <w:sz w:val="16"/>
                <w:szCs w:val="16"/>
                <w:color w:val="auto"/>
              </w:rPr>
            </w:pPr>
          </w:p>
        </w:tc>
        <w:tc>
          <w:tcPr>
            <w:tcW w:w="200" w:type="dxa"/>
            <w:vAlign w:val="bottom"/>
            <w:tcBorders>
              <w:bottom w:val="single" w:sz="8" w:color="1352DE"/>
            </w:tcBorders>
          </w:tcPr>
          <w:p>
            <w:pPr>
              <w:spacing w:after="0"/>
              <w:rPr>
                <w:sz w:val="16"/>
                <w:szCs w:val="16"/>
                <w:color w:val="auto"/>
              </w:rPr>
            </w:pPr>
          </w:p>
        </w:tc>
        <w:tc>
          <w:tcPr>
            <w:tcW w:w="1760" w:type="dxa"/>
            <w:vAlign w:val="bottom"/>
            <w:tcBorders>
              <w:bottom w:val="single" w:sz="8" w:color="1352DE"/>
            </w:tcBorders>
            <w:gridSpan w:val="3"/>
          </w:tcPr>
          <w:p>
            <w:pPr>
              <w:jc w:val="right"/>
              <w:ind w:right="148"/>
              <w:spacing w:after="0"/>
              <w:rPr>
                <w:sz w:val="20"/>
                <w:szCs w:val="20"/>
                <w:color w:val="auto"/>
              </w:rPr>
            </w:pPr>
            <w:r>
              <w:rPr>
                <w:rFonts w:ascii="Arial" w:cs="Arial" w:eastAsia="Arial" w:hAnsi="Arial"/>
                <w:sz w:val="14"/>
                <w:szCs w:val="14"/>
                <w:color w:val="1352DE"/>
              </w:rPr>
              <w:t>Gross Derivative Assets</w:t>
            </w:r>
          </w:p>
        </w:tc>
        <w:tc>
          <w:tcPr>
            <w:tcW w:w="120" w:type="dxa"/>
            <w:vAlign w:val="bottom"/>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1940" w:type="dxa"/>
            <w:vAlign w:val="bottom"/>
            <w:tcBorders>
              <w:bottom w:val="single" w:sz="8" w:color="1352DE"/>
            </w:tcBorders>
            <w:gridSpan w:val="3"/>
          </w:tcPr>
          <w:p>
            <w:pPr>
              <w:jc w:val="right"/>
              <w:ind w:right="148"/>
              <w:spacing w:after="0"/>
              <w:rPr>
                <w:sz w:val="20"/>
                <w:szCs w:val="20"/>
                <w:color w:val="auto"/>
              </w:rPr>
            </w:pPr>
            <w:r>
              <w:rPr>
                <w:rFonts w:ascii="Arial" w:cs="Arial" w:eastAsia="Arial" w:hAnsi="Arial"/>
                <w:sz w:val="14"/>
                <w:szCs w:val="14"/>
                <w:color w:val="1352DE"/>
              </w:rPr>
              <w:t>Gross Derivative Liabilities</w:t>
            </w:r>
          </w:p>
        </w:tc>
        <w:tc>
          <w:tcPr>
            <w:tcW w:w="0" w:type="dxa"/>
            <w:vAlign w:val="bottom"/>
          </w:tcPr>
          <w:p>
            <w:pPr>
              <w:spacing w:after="0"/>
              <w:rPr>
                <w:sz w:val="1"/>
                <w:szCs w:val="1"/>
                <w:color w:val="auto"/>
              </w:rPr>
            </w:pPr>
          </w:p>
        </w:tc>
      </w:tr>
      <w:tr>
        <w:trPr>
          <w:trHeight w:val="150"/>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Arial" w:cs="Arial" w:eastAsia="Arial" w:hAnsi="Arial"/>
                <w:sz w:val="14"/>
                <w:szCs w:val="14"/>
                <w:color w:val="1352DE"/>
              </w:rPr>
              <w:t>Notional</w:t>
            </w:r>
          </w:p>
        </w:tc>
        <w:tc>
          <w:tcPr>
            <w:tcW w:w="280" w:type="dxa"/>
            <w:vAlign w:val="bottom"/>
          </w:tcPr>
          <w:p>
            <w:pPr>
              <w:spacing w:after="0"/>
              <w:rPr>
                <w:sz w:val="13"/>
                <w:szCs w:val="13"/>
                <w:color w:val="auto"/>
              </w:rPr>
            </w:pPr>
          </w:p>
        </w:tc>
        <w:tc>
          <w:tcPr>
            <w:tcW w:w="78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1352DE"/>
              </w:rPr>
              <w:t>Fair</w:t>
            </w:r>
          </w:p>
        </w:tc>
        <w:tc>
          <w:tcPr>
            <w:tcW w:w="20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1352DE"/>
              </w:rPr>
              <w:t>Notional</w:t>
            </w:r>
          </w:p>
        </w:tc>
        <w:tc>
          <w:tcPr>
            <w:tcW w:w="380" w:type="dxa"/>
            <w:vAlign w:val="bottom"/>
          </w:tcPr>
          <w:p>
            <w:pPr>
              <w:spacing w:after="0"/>
              <w:rPr>
                <w:sz w:val="13"/>
                <w:szCs w:val="13"/>
                <w:color w:val="auto"/>
              </w:rPr>
            </w:pPr>
          </w:p>
        </w:tc>
        <w:tc>
          <w:tcPr>
            <w:tcW w:w="7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1352DE"/>
              </w:rPr>
              <w:t>Fair</w:t>
            </w:r>
          </w:p>
        </w:tc>
        <w:tc>
          <w:tcPr>
            <w:tcW w:w="200" w:type="dxa"/>
            <w:vAlign w:val="bottom"/>
          </w:tcPr>
          <w:p>
            <w:pPr>
              <w:spacing w:after="0"/>
              <w:rPr>
                <w:sz w:val="13"/>
                <w:szCs w:val="13"/>
                <w:color w:val="auto"/>
              </w:rPr>
            </w:pPr>
          </w:p>
        </w:tc>
        <w:tc>
          <w:tcPr>
            <w:tcW w:w="820" w:type="dxa"/>
            <w:vAlign w:val="bottom"/>
          </w:tcPr>
          <w:p>
            <w:pPr>
              <w:jc w:val="right"/>
              <w:ind w:right="8"/>
              <w:spacing w:after="0" w:line="151" w:lineRule="exact"/>
              <w:rPr>
                <w:sz w:val="20"/>
                <w:szCs w:val="20"/>
                <w:color w:val="auto"/>
              </w:rPr>
            </w:pPr>
            <w:r>
              <w:rPr>
                <w:rFonts w:ascii="Arial" w:cs="Arial" w:eastAsia="Arial" w:hAnsi="Arial"/>
                <w:sz w:val="14"/>
                <w:szCs w:val="14"/>
                <w:color w:val="1352DE"/>
              </w:rPr>
              <w:t>Notional</w:t>
            </w:r>
          </w:p>
        </w:tc>
        <w:tc>
          <w:tcPr>
            <w:tcW w:w="300" w:type="dxa"/>
            <w:vAlign w:val="bottom"/>
          </w:tcPr>
          <w:p>
            <w:pPr>
              <w:spacing w:after="0"/>
              <w:rPr>
                <w:sz w:val="13"/>
                <w:szCs w:val="13"/>
                <w:color w:val="auto"/>
              </w:rPr>
            </w:pPr>
          </w:p>
        </w:tc>
        <w:tc>
          <w:tcPr>
            <w:tcW w:w="76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1352DE"/>
              </w:rPr>
              <w:t>Fair</w:t>
            </w:r>
          </w:p>
        </w:tc>
        <w:tc>
          <w:tcPr>
            <w:tcW w:w="220" w:type="dxa"/>
            <w:vAlign w:val="bottom"/>
          </w:tcPr>
          <w:p>
            <w:pPr>
              <w:spacing w:after="0"/>
              <w:rPr>
                <w:sz w:val="13"/>
                <w:szCs w:val="13"/>
                <w:color w:val="auto"/>
              </w:rPr>
            </w:pPr>
          </w:p>
        </w:tc>
        <w:tc>
          <w:tcPr>
            <w:tcW w:w="940" w:type="dxa"/>
            <w:vAlign w:val="bottom"/>
          </w:tcPr>
          <w:p>
            <w:pPr>
              <w:jc w:val="right"/>
              <w:ind w:right="8"/>
              <w:spacing w:after="0" w:line="151" w:lineRule="exact"/>
              <w:rPr>
                <w:sz w:val="20"/>
                <w:szCs w:val="20"/>
                <w:color w:val="auto"/>
              </w:rPr>
            </w:pPr>
            <w:r>
              <w:rPr>
                <w:rFonts w:ascii="Arial" w:cs="Arial" w:eastAsia="Arial" w:hAnsi="Arial"/>
                <w:sz w:val="14"/>
                <w:szCs w:val="14"/>
                <w:color w:val="1352DE"/>
              </w:rPr>
              <w:t>Notional</w:t>
            </w:r>
          </w:p>
        </w:tc>
        <w:tc>
          <w:tcPr>
            <w:tcW w:w="3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1352DE"/>
              </w:rPr>
              <w:t>Fair</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352DE"/>
              </w:rPr>
              <w:t>(in millions)</w:t>
            </w:r>
          </w:p>
        </w:tc>
        <w:tc>
          <w:tcPr>
            <w:tcW w:w="2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352DE"/>
              </w:rPr>
              <w:t>Amount</w:t>
            </w:r>
          </w:p>
        </w:tc>
        <w:tc>
          <w:tcPr>
            <w:tcW w:w="28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4"/>
                <w:szCs w:val="14"/>
                <w:color w:val="1352DE"/>
              </w:rPr>
              <w:t>Value</w:t>
            </w:r>
          </w:p>
        </w:tc>
        <w:tc>
          <w:tcPr>
            <w:tcW w:w="20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352DE"/>
              </w:rPr>
              <w:t>Amount</w:t>
            </w:r>
          </w:p>
        </w:tc>
        <w:tc>
          <w:tcPr>
            <w:tcW w:w="38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4"/>
                <w:szCs w:val="14"/>
                <w:color w:val="1352DE"/>
              </w:rPr>
              <w:t>Value</w:t>
            </w:r>
          </w:p>
        </w:tc>
        <w:tc>
          <w:tcPr>
            <w:tcW w:w="200" w:type="dxa"/>
            <w:vAlign w:val="bottom"/>
            <w:tcBorders>
              <w:bottom w:val="single" w:sz="8" w:color="1352DE"/>
            </w:tcBorders>
          </w:tcPr>
          <w:p>
            <w:pPr>
              <w:spacing w:after="0"/>
              <w:rPr>
                <w:sz w:val="16"/>
                <w:szCs w:val="16"/>
                <w:color w:val="auto"/>
              </w:rPr>
            </w:pPr>
          </w:p>
        </w:tc>
        <w:tc>
          <w:tcPr>
            <w:tcW w:w="8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Amount</w:t>
            </w:r>
          </w:p>
        </w:tc>
        <w:tc>
          <w:tcPr>
            <w:tcW w:w="30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gridSpan w:val="2"/>
          </w:tcPr>
          <w:p>
            <w:pPr>
              <w:jc w:val="right"/>
              <w:ind w:right="140"/>
              <w:spacing w:after="0"/>
              <w:rPr>
                <w:sz w:val="20"/>
                <w:szCs w:val="20"/>
                <w:color w:val="auto"/>
              </w:rPr>
            </w:pPr>
            <w:r>
              <w:rPr>
                <w:rFonts w:ascii="Arial" w:cs="Arial" w:eastAsia="Arial" w:hAnsi="Arial"/>
                <w:sz w:val="14"/>
                <w:szCs w:val="14"/>
                <w:color w:val="1352DE"/>
              </w:rPr>
              <w:t>Value</w:t>
            </w:r>
          </w:p>
        </w:tc>
        <w:tc>
          <w:tcPr>
            <w:tcW w:w="22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Amount</w:t>
            </w:r>
          </w:p>
        </w:tc>
        <w:tc>
          <w:tcPr>
            <w:tcW w:w="380" w:type="dxa"/>
            <w:vAlign w:val="bottom"/>
            <w:tcBorders>
              <w:bottom w:val="single" w:sz="8" w:color="1352DE"/>
            </w:tcBorders>
          </w:tcPr>
          <w:p>
            <w:pPr>
              <w:spacing w:after="0"/>
              <w:rPr>
                <w:sz w:val="16"/>
                <w:szCs w:val="16"/>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352DE"/>
              </w:rPr>
              <w:t>Value</w:t>
            </w:r>
          </w:p>
        </w:tc>
        <w:tc>
          <w:tcPr>
            <w:tcW w:w="0" w:type="dxa"/>
            <w:vAlign w:val="bottom"/>
          </w:tcPr>
          <w:p>
            <w:pPr>
              <w:spacing w:after="0"/>
              <w:rPr>
                <w:sz w:val="1"/>
                <w:szCs w:val="1"/>
                <w:color w:val="auto"/>
              </w:rPr>
            </w:pPr>
          </w:p>
        </w:tc>
      </w:tr>
      <w:tr>
        <w:trPr>
          <w:trHeight w:val="144"/>
        </w:trPr>
        <w:tc>
          <w:tcPr>
            <w:tcW w:w="2620" w:type="dxa"/>
            <w:vAlign w:val="bottom"/>
          </w:tcPr>
          <w:p>
            <w:pPr>
              <w:ind w:left="20"/>
              <w:spacing w:after="0" w:line="144" w:lineRule="exact"/>
              <w:rPr>
                <w:sz w:val="20"/>
                <w:szCs w:val="20"/>
                <w:color w:val="auto"/>
              </w:rPr>
            </w:pPr>
            <w:r>
              <w:rPr>
                <w:rFonts w:ascii="Arial" w:cs="Arial" w:eastAsia="Arial" w:hAnsi="Arial"/>
                <w:sz w:val="14"/>
                <w:szCs w:val="14"/>
                <w:b w:val="1"/>
                <w:bCs w:val="1"/>
                <w:color w:val="1352DE"/>
              </w:rPr>
              <w:t>Derivatives designated as hedging</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140"/>
              <w:spacing w:after="0" w:line="205" w:lineRule="exact"/>
              <w:rPr>
                <w:sz w:val="20"/>
                <w:szCs w:val="20"/>
                <w:color w:val="auto"/>
              </w:rPr>
            </w:pPr>
            <w:r>
              <w:rPr>
                <w:rFonts w:ascii="Arial" w:cs="Arial" w:eastAsia="Arial" w:hAnsi="Arial"/>
                <w:sz w:val="14"/>
                <w:szCs w:val="14"/>
                <w:b w:val="1"/>
                <w:bCs w:val="1"/>
                <w:color w:val="1352DE"/>
              </w:rPr>
              <w:t>instruments:</w:t>
            </w:r>
            <w:r>
              <w:rPr>
                <w:rFonts w:ascii="Arial" w:cs="Arial" w:eastAsia="Arial" w:hAnsi="Arial"/>
                <w:sz w:val="18"/>
                <w:szCs w:val="18"/>
                <w:b w:val="1"/>
                <w:bCs w:val="1"/>
                <w:color w:val="1352DE"/>
                <w:vertAlign w:val="superscript"/>
              </w:rPr>
              <w:t>(a)</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14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1352DE"/>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1352DE"/>
              </w:rPr>
              <w:t>930</w:t>
            </w:r>
          </w:p>
        </w:tc>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1352DE"/>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22</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1352DE"/>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352DE"/>
              </w:rPr>
              <w:t>598</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1352DE"/>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1352DE"/>
              </w:rPr>
              <w:t>49</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1,438</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52"/>
        </w:trPr>
        <w:tc>
          <w:tcPr>
            <w:tcW w:w="2620" w:type="dxa"/>
            <w:vAlign w:val="bottom"/>
          </w:tcPr>
          <w:p>
            <w:pPr>
              <w:ind w:left="20"/>
              <w:spacing w:after="0" w:line="153" w:lineRule="exact"/>
              <w:rPr>
                <w:sz w:val="20"/>
                <w:szCs w:val="20"/>
                <w:color w:val="auto"/>
              </w:rPr>
            </w:pPr>
            <w:r>
              <w:rPr>
                <w:rFonts w:ascii="Arial" w:cs="Arial" w:eastAsia="Arial" w:hAnsi="Arial"/>
                <w:sz w:val="14"/>
                <w:szCs w:val="14"/>
                <w:b w:val="1"/>
                <w:bCs w:val="1"/>
                <w:color w:val="1352DE"/>
              </w:rPr>
              <w:t>Derivatives not designated as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140"/>
              <w:spacing w:after="0" w:line="205" w:lineRule="exact"/>
              <w:rPr>
                <w:sz w:val="20"/>
                <w:szCs w:val="20"/>
                <w:color w:val="auto"/>
              </w:rPr>
            </w:pPr>
            <w:r>
              <w:rPr>
                <w:rFonts w:ascii="Arial" w:cs="Arial" w:eastAsia="Arial" w:hAnsi="Arial"/>
                <w:sz w:val="14"/>
                <w:szCs w:val="14"/>
                <w:b w:val="1"/>
                <w:bCs w:val="1"/>
                <w:color w:val="1352DE"/>
              </w:rPr>
              <w:t>hedging instruments:</w:t>
            </w:r>
            <w:r>
              <w:rPr>
                <w:rFonts w:ascii="Arial" w:cs="Arial" w:eastAsia="Arial" w:hAnsi="Arial"/>
                <w:sz w:val="18"/>
                <w:szCs w:val="18"/>
                <w:b w:val="1"/>
                <w:bCs w:val="1"/>
                <w:color w:val="1352DE"/>
                <w:vertAlign w:val="superscript"/>
              </w:rPr>
              <w:t>(a)</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140"/>
              <w:spacing w:after="0"/>
              <w:rPr>
                <w:sz w:val="20"/>
                <w:szCs w:val="20"/>
                <w:color w:val="auto"/>
              </w:rPr>
            </w:pPr>
            <w:r>
              <w:rPr>
                <w:rFonts w:ascii="Arial" w:cs="Arial" w:eastAsia="Arial" w:hAnsi="Arial"/>
                <w:sz w:val="14"/>
                <w:szCs w:val="14"/>
                <w:color w:val="auto"/>
              </w:rPr>
              <w:t>Interest rate contracts</w:t>
            </w:r>
          </w:p>
        </w:tc>
        <w:tc>
          <w:tcPr>
            <w:tcW w:w="20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1352DE"/>
              </w:rPr>
              <w:t>913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182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352DE"/>
              </w:rPr>
              <w:t>990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352DE"/>
              </w:rPr>
              <w:t>212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935</w:t>
            </w:r>
          </w:p>
        </w:tc>
        <w:tc>
          <w:tcPr>
            <w:tcW w:w="3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1,012</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1352DE"/>
              </w:rPr>
              <w:t>2,347</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68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352DE"/>
              </w:rPr>
              <w:t>1,839</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352DE"/>
              </w:rPr>
              <w:t>45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1,154</w:t>
            </w:r>
          </w:p>
        </w:tc>
        <w:tc>
          <w:tcPr>
            <w:tcW w:w="3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2,576</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Credit contracts</w:t>
            </w:r>
            <w:r>
              <w:rPr>
                <w:rFonts w:ascii="Arial" w:cs="Arial" w:eastAsia="Arial" w:hAnsi="Arial"/>
                <w:sz w:val="9"/>
                <w:szCs w:val="9"/>
                <w:color w:val="auto"/>
              </w:rPr>
              <w:t>(b)</w:t>
            </w:r>
          </w:p>
        </w:tc>
        <w:tc>
          <w:tcPr>
            <w:tcW w:w="2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41</w:t>
            </w:r>
          </w:p>
        </w:tc>
        <w:tc>
          <w:tcPr>
            <w:tcW w:w="2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24</w:t>
            </w: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46</w:t>
            </w:r>
          </w:p>
        </w:tc>
        <w:tc>
          <w:tcPr>
            <w:tcW w:w="38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24</w:t>
            </w: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42</w:t>
            </w:r>
          </w:p>
        </w:tc>
        <w:tc>
          <w:tcPr>
            <w:tcW w:w="30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47</w:t>
            </w:r>
          </w:p>
        </w:tc>
        <w:tc>
          <w:tcPr>
            <w:tcW w:w="38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Total derivatives, gross</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w:t>
            </w:r>
          </w:p>
        </w:tc>
        <w:tc>
          <w:tcPr>
            <w:tcW w:w="8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4,231</w:t>
            </w:r>
          </w:p>
        </w:tc>
        <w:tc>
          <w:tcPr>
            <w:tcW w:w="2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3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296</w:t>
            </w: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w:t>
            </w: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352DE"/>
              </w:rPr>
              <w:t>3,473</w:t>
            </w:r>
          </w:p>
        </w:tc>
        <w:tc>
          <w:tcPr>
            <w:tcW w:w="380" w:type="dxa"/>
            <w:vAlign w:val="bottom"/>
            <w:tcBorders>
              <w:bottom w:val="single" w:sz="8" w:color="1352DE"/>
            </w:tcBorders>
          </w:tcPr>
          <w:p>
            <w:pPr>
              <w:jc w:val="right"/>
              <w:ind w:right="188"/>
              <w:spacing w:after="0"/>
              <w:rPr>
                <w:sz w:val="20"/>
                <w:szCs w:val="20"/>
                <w:color w:val="auto"/>
              </w:rPr>
            </w:pPr>
            <w:r>
              <w:rPr>
                <w:rFonts w:ascii="Arial" w:cs="Arial" w:eastAsia="Arial" w:hAnsi="Arial"/>
                <w:sz w:val="14"/>
                <w:szCs w:val="14"/>
                <w:b w:val="1"/>
                <w:bCs w:val="1"/>
                <w:color w:val="1352DE"/>
              </w:rPr>
              <w:t>$</w:t>
            </w: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330</w:t>
            </w: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2,337</w:t>
            </w:r>
          </w:p>
        </w:tc>
        <w:tc>
          <w:tcPr>
            <w:tcW w:w="3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338</w:t>
            </w:r>
          </w:p>
        </w:tc>
        <w:tc>
          <w:tcPr>
            <w:tcW w:w="12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5,073</w:t>
            </w:r>
          </w:p>
        </w:tc>
        <w:tc>
          <w:tcPr>
            <w:tcW w:w="38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Arial" w:cs="Arial" w:eastAsia="Arial" w:hAnsi="Arial"/>
                <w:sz w:val="14"/>
                <w:szCs w:val="14"/>
                <w:b w:val="1"/>
                <w:bCs w:val="1"/>
                <w:color w:val="1352DE"/>
              </w:rPr>
              <w:t>Counterparty netting</w:t>
            </w:r>
            <w:r>
              <w:rPr>
                <w:rFonts w:ascii="Arial" w:cs="Arial" w:eastAsia="Arial" w:hAnsi="Arial"/>
                <w:sz w:val="9"/>
                <w:szCs w:val="9"/>
                <w:b w:val="1"/>
                <w:bCs w:val="1"/>
                <w:color w:val="1352DE"/>
              </w:rPr>
              <w:t>(c)</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352DE"/>
              </w:rPr>
              <w:t>(142)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352DE"/>
              </w:rPr>
              <w:t>(142)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Cash collateral</w:t>
            </w:r>
            <w:r>
              <w:rPr>
                <w:rFonts w:ascii="Arial" w:cs="Arial" w:eastAsia="Arial" w:hAnsi="Arial"/>
                <w:sz w:val="9"/>
                <w:szCs w:val="9"/>
                <w:b w:val="1"/>
                <w:bCs w:val="1"/>
                <w:color w:val="1352DE"/>
              </w:rPr>
              <w:t>(d)</w:t>
            </w:r>
          </w:p>
        </w:tc>
        <w:tc>
          <w:tcPr>
            <w:tcW w:w="2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(143)</w:t>
            </w: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(138)</w:t>
            </w: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5"/>
        </w:trPr>
        <w:tc>
          <w:tcPr>
            <w:tcW w:w="2620" w:type="dxa"/>
            <w:vAlign w:val="bottom"/>
          </w:tcPr>
          <w:p>
            <w:pPr>
              <w:ind w:left="20"/>
              <w:spacing w:after="0" w:line="145" w:lineRule="exact"/>
              <w:rPr>
                <w:sz w:val="20"/>
                <w:szCs w:val="20"/>
                <w:color w:val="auto"/>
              </w:rPr>
            </w:pPr>
            <w:r>
              <w:rPr>
                <w:rFonts w:ascii="Arial" w:cs="Arial" w:eastAsia="Arial" w:hAnsi="Arial"/>
                <w:sz w:val="14"/>
                <w:szCs w:val="14"/>
                <w:b w:val="1"/>
                <w:bCs w:val="1"/>
                <w:color w:val="1352DE"/>
              </w:rPr>
              <w:t>Total derivatives on Condensed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1352DE"/>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1352DE"/>
              </w:rPr>
              <w:t>11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1352DE"/>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1352DE"/>
              </w:rPr>
              <w:t>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1"/>
        </w:trPr>
        <w:tc>
          <w:tcPr>
            <w:tcW w:w="2620" w:type="dxa"/>
            <w:vAlign w:val="bottom"/>
            <w:tcBorders>
              <w:bottom w:val="single" w:sz="8" w:color="1352DE"/>
            </w:tcBorders>
          </w:tcPr>
          <w:p>
            <w:pPr>
              <w:ind w:left="140"/>
              <w:spacing w:after="0" w:line="201" w:lineRule="exact"/>
              <w:rPr>
                <w:sz w:val="20"/>
                <w:szCs w:val="20"/>
                <w:color w:val="auto"/>
              </w:rPr>
            </w:pPr>
            <w:r>
              <w:rPr>
                <w:rFonts w:ascii="Arial" w:cs="Arial" w:eastAsia="Arial" w:hAnsi="Arial"/>
                <w:sz w:val="14"/>
                <w:szCs w:val="14"/>
                <w:b w:val="1"/>
                <w:bCs w:val="1"/>
                <w:color w:val="1352DE"/>
              </w:rPr>
              <w:t>Consolidated Balance Sheets</w:t>
            </w:r>
            <w:r>
              <w:rPr>
                <w:rFonts w:ascii="Arial" w:cs="Arial" w:eastAsia="Arial" w:hAnsi="Arial"/>
                <w:sz w:val="18"/>
                <w:szCs w:val="18"/>
                <w:b w:val="1"/>
                <w:bCs w:val="1"/>
                <w:color w:val="1352DE"/>
                <w:vertAlign w:val="superscript"/>
              </w:rPr>
              <w:t>(e)</w:t>
            </w:r>
          </w:p>
        </w:tc>
        <w:tc>
          <w:tcPr>
            <w:tcW w:w="2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vMerge w:val="continue"/>
          </w:tcPr>
          <w:p>
            <w:pPr>
              <w:spacing w:after="0"/>
              <w:rPr>
                <w:sz w:val="17"/>
                <w:szCs w:val="17"/>
                <w:color w:val="auto"/>
              </w:rPr>
            </w:pPr>
          </w:p>
        </w:tc>
        <w:tc>
          <w:tcPr>
            <w:tcW w:w="640" w:type="dxa"/>
            <w:vAlign w:val="bottom"/>
            <w:tcBorders>
              <w:bottom w:val="single" w:sz="8" w:color="1352DE"/>
            </w:tcBorders>
            <w:vMerge w:val="continue"/>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vMerge w:val="continue"/>
          </w:tcPr>
          <w:p>
            <w:pPr>
              <w:spacing w:after="0"/>
              <w:rPr>
                <w:sz w:val="17"/>
                <w:szCs w:val="17"/>
                <w:color w:val="auto"/>
              </w:rPr>
            </w:pPr>
          </w:p>
        </w:tc>
        <w:tc>
          <w:tcPr>
            <w:tcW w:w="620" w:type="dxa"/>
            <w:vAlign w:val="bottom"/>
            <w:tcBorders>
              <w:bottom w:val="single" w:sz="8" w:color="1352DE"/>
            </w:tcBorders>
            <w:vMerge w:val="continue"/>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spacing w:after="0"/>
              <w:rPr>
                <w:sz w:val="17"/>
                <w:szCs w:val="17"/>
                <w:color w:val="auto"/>
              </w:rPr>
            </w:pPr>
          </w:p>
        </w:tc>
        <w:tc>
          <w:tcPr>
            <w:tcW w:w="300" w:type="dxa"/>
            <w:vAlign w:val="bottom"/>
            <w:tcBorders>
              <w:bottom w:val="single" w:sz="8" w:color="1352DE"/>
            </w:tcBorders>
            <w:vMerge w:val="continue"/>
          </w:tcPr>
          <w:p>
            <w:pPr>
              <w:spacing w:after="0"/>
              <w:rPr>
                <w:sz w:val="17"/>
                <w:szCs w:val="17"/>
                <w:color w:val="auto"/>
              </w:rPr>
            </w:pPr>
          </w:p>
        </w:tc>
        <w:tc>
          <w:tcPr>
            <w:tcW w:w="640" w:type="dxa"/>
            <w:vAlign w:val="bottom"/>
            <w:tcBorders>
              <w:bottom w:val="single" w:sz="8" w:color="1352DE"/>
            </w:tcBorders>
            <w:vMerge w:val="continue"/>
          </w:tcPr>
          <w:p>
            <w:pPr>
              <w:spacing w:after="0"/>
              <w:rPr>
                <w:sz w:val="17"/>
                <w:szCs w:val="17"/>
                <w:color w:val="auto"/>
              </w:rPr>
            </w:pPr>
          </w:p>
        </w:tc>
        <w:tc>
          <w:tcPr>
            <w:tcW w:w="12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vMerge w:val="continue"/>
          </w:tcPr>
          <w:p>
            <w:pPr>
              <w:spacing w:after="0"/>
              <w:rPr>
                <w:sz w:val="17"/>
                <w:szCs w:val="17"/>
                <w:color w:val="auto"/>
              </w:rPr>
            </w:pPr>
          </w:p>
        </w:tc>
        <w:tc>
          <w:tcPr>
            <w:tcW w:w="620" w:type="dxa"/>
            <w:vAlign w:val="bottom"/>
            <w:tcBorders>
              <w:bottom w:val="single" w:sz="8" w:color="1352DE"/>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Fair value amounts are shown before the effects of counterparty netting adjustments and offsetting cash collateral.</w:t>
      </w:r>
    </w:p>
    <w:p>
      <w:pPr>
        <w:spacing w:after="0" w:line="80" w:lineRule="exact"/>
        <w:rPr>
          <w:rFonts w:ascii="Arial" w:cs="Arial" w:eastAsia="Arial" w:hAnsi="Arial"/>
          <w:sz w:val="13"/>
          <w:szCs w:val="13"/>
          <w:color w:val="auto"/>
        </w:rPr>
      </w:pPr>
    </w:p>
    <w:p>
      <w:pPr>
        <w:ind w:left="220" w:right="200" w:hanging="212"/>
        <w:spacing w:after="0" w:line="286" w:lineRule="auto"/>
        <w:tabs>
          <w:tab w:leader="none" w:pos="208" w:val="left"/>
        </w:tabs>
        <w:numPr>
          <w:ilvl w:val="0"/>
          <w:numId w:val="40"/>
        </w:numPr>
        <w:rPr>
          <w:rFonts w:ascii="Arial" w:cs="Arial" w:eastAsia="Arial" w:hAnsi="Arial"/>
          <w:sz w:val="13"/>
          <w:szCs w:val="13"/>
          <w:color w:val="auto"/>
        </w:rPr>
      </w:pPr>
      <w:r>
        <w:rPr>
          <w:rFonts w:ascii="Arial" w:cs="Arial" w:eastAsia="Arial" w:hAnsi="Arial"/>
          <w:sz w:val="13"/>
          <w:szCs w:val="13"/>
          <w:color w:val="auto"/>
        </w:rPr>
        <w:t>As of September 30, 2026 and December 31, 2025, included CDSs on super senior multi-sector CLO with a net notional amount of $38 million and $38 million (fair value liability of $23 million and $25 million, respectively). The net notional amount represents the maximum exposure to loss on the portfolio.</w:t>
      </w:r>
    </w:p>
    <w:p>
      <w:pPr>
        <w:spacing w:after="0" w:line="35" w:lineRule="exact"/>
        <w:rPr>
          <w:rFonts w:ascii="Arial" w:cs="Arial" w:eastAsia="Arial" w:hAnsi="Arial"/>
          <w:sz w:val="13"/>
          <w:szCs w:val="13"/>
          <w:color w:val="auto"/>
        </w:rPr>
      </w:pPr>
    </w:p>
    <w:p>
      <w:pPr>
        <w:ind w:left="220" w:hanging="212"/>
        <w:spacing w:after="0"/>
        <w:tabs>
          <w:tab w:leader="none" w:pos="2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netting of derivative exposures covered by a qualifying master netting agreement.</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cash collateral posted and received that is eligible for netting.</w:t>
      </w:r>
    </w:p>
    <w:p>
      <w:pPr>
        <w:spacing w:after="0" w:line="80" w:lineRule="exact"/>
        <w:rPr>
          <w:rFonts w:ascii="Arial" w:cs="Arial" w:eastAsia="Arial" w:hAnsi="Arial"/>
          <w:sz w:val="13"/>
          <w:szCs w:val="13"/>
          <w:color w:val="auto"/>
        </w:rPr>
      </w:pPr>
    </w:p>
    <w:p>
      <w:pPr>
        <w:ind w:left="220" w:right="20" w:hanging="212"/>
        <w:spacing w:after="0" w:line="261" w:lineRule="auto"/>
        <w:tabs>
          <w:tab w:leader="none" w:pos="208"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Freestanding derivatives only, excludes embedded derivatives. Derivative instrument assets and liabilities are recorded in Other assets and Other liabilities, respectively. Fair value of assets related to bifurcated embedded derivatives was $2.7 billion at September 30, 2026 and $3.0 billion at December 31, 2025. Fair value of liabilities related to bifurcated embedded derivatives was zero at both September 30, 2026 and December 31, 2025. A bifurcated embedded derivative is generally presented with the host contract in the Condensed Consolidated Balance Sheets. Embedded derivatives are primarily related to the funds withheld arrangement with Fortitude Re. </w:t>
      </w:r>
      <w:r>
        <w:rPr>
          <w:rFonts w:ascii="Arial" w:cs="Arial" w:eastAsia="Arial" w:hAnsi="Arial"/>
          <w:sz w:val="13"/>
          <w:szCs w:val="13"/>
          <w:i w:val="1"/>
          <w:iCs w:val="1"/>
          <w:color w:val="auto"/>
        </w:rPr>
        <w:t>For additional information, see Note 7.</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COLLATERAL</w:t>
      </w:r>
    </w:p>
    <w:p>
      <w:pPr>
        <w:spacing w:after="0" w:line="10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engage in derivative transactions that are not subject to a clearing requirement directly with unaffiliated third parties, in most cases, under International Swaps and Derivatives Association, Inc. (ISDA) Master Agreements. An ISDA Master Agreement is an agreement governing multiple derivative transactions between two counterparties. Many of the ISDA Master Agreements also include Credit Support Annex provisions, which provide for collateral postings that may vary at various ratings and threshold levels. We attempt to reduce our risk with certain counterparties by entering into agreements that enable collateral to be obtained from a counterparty on an upfront or contingent basis. We minimize the risk that counterparties might be unable to fulfill their contractual obligations by monitoring counterparty credit exposure and collateral value and generally requiring additional collateral to be posted upon the occurrence of certain events or circumstances. In addition, certain derivative transactions have provisions that require collateral to be posted by us upon a downgrade of our long-term debt ratings or give the counterparty the right to terminate the transaction. In the case of some of the derivative transactions, upon a downgrade of our long-term debt ratings, as an alternative to posting collateral and subject to certain conditions, we may assign the transaction to an obligor with higher debt ratings or arrange for a substitute guarantee of our obligations by an obligor with higher debt ratings or take other similar action. The actual amount of collateral required to be posted to counterparties in the event of such downgrades, or the aggregate amount of payments that we could be required to make, depends on market conditions, the fair value of outstanding affected transactions and other factors prevailing at and after the time of the downgrade.</w:t>
      </w:r>
    </w:p>
    <w:p>
      <w:pPr>
        <w:spacing w:after="0" w:line="2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Collateral posted by us to third parties for derivative transactions was $245 million and $362 million at September 30, 2026 and December 31, 2025, respectively. In the case of collateral posted under derivative transactions that are not subject to clearing, this collateral can generally be repledged or resold by the counterparties. Collateral provided to us from third parties for derivative transactions was $189 million and $222 million at September 30, 2026 and December 31, 2025, respectively. In the case of collateral provided to us under derivative transactions that are not subject to clearing, we generally can repledge or resell collateral.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OFFSETTING</w:t>
      </w:r>
    </w:p>
    <w:p>
      <w:pPr>
        <w:spacing w:after="0" w:line="10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elected to present all derivative receivables and derivative payables, and the related cash collateral received and paid, on a net basis on our Condensed Consolidated Balance Sheets when a legally enforceable ISDA Master Agreement exists between us and our derivative counterparty. The ISDA Master Agreement generally provides for the net settlement of all, or a specified group, of these derivative transactions, as well as transferred collateral, through a single payment, and in a single currency, as applicable. The net settlement provisions apply in the event of a default on, or affecting any, one derivative transaction or a termination event affecting all, or a specified group of, derivative transactions governed by the ISDA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24771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hanging="734"/>
        <w:spacing w:after="0"/>
        <w:tabs>
          <w:tab w:leader="none" w:pos="760" w:val="left"/>
        </w:tabs>
        <w:numPr>
          <w:ilvl w:val="0"/>
          <w:numId w:val="41"/>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10. Derivatives and Hedge Accounting</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HEDGE ACCOUNTING</w:t>
      </w:r>
    </w:p>
    <w:p>
      <w:pPr>
        <w:spacing w:after="0" w:line="10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designate certain derivatives entered into with third parties as fair value hedges of available for sale investment securities held by our insurance subsidiaries. The fair value hedges include foreign currency forwards and cross currency swaps designated as hedges of the change in fair value of foreign currency denominated available for sale securities attributable to changes in foreign exchange rates.</w:t>
      </w:r>
    </w:p>
    <w:p>
      <w:pPr>
        <w:spacing w:after="0" w:line="6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use foreign currency denominated debt as hedging instruments in net investment hedge relationships to mitigate the foreign exchange risk associated with our non-U.S. dollar functional currency foreign subsidiaries. For net investment hedge relationships where issued debt is used as a hedging instrument, we assess the hedge effectiveness and measure the amount of ineffectiveness based on changes in spot rates. For the three and nine months ended September 30, 2026, we recognized gains (losses) of $(16) million and $34 million, respectively, and for the three and nine months ended September 30, 2025, we recognized gains (losses) of $15 million and $(157) million, respectively, included in Change in foreign currency translation adjustments in OCI related to the net investment hedge relationships.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 qualitative methodology is utilized to assess hedge effectiveness.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gain (loss) recognized in income on our derivative instruments in fair value hedging relationships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Condensed Consolidated Statements of Income (Loss):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Borders>
              <w:top w:val="single" w:sz="8" w:color="1352DE"/>
            </w:tcBorders>
          </w:tcPr>
          <w:p>
            <w:pPr>
              <w:spacing w:after="0"/>
              <w:rPr>
                <w:sz w:val="18"/>
                <w:szCs w:val="18"/>
                <w:color w:val="auto"/>
              </w:rPr>
            </w:pPr>
          </w:p>
        </w:tc>
        <w:tc>
          <w:tcPr>
            <w:tcW w:w="240" w:type="dxa"/>
            <w:vAlign w:val="bottom"/>
            <w:tcBorders>
              <w:top w:val="single" w:sz="8" w:color="1352DE"/>
              <w:bottom w:val="single" w:sz="8" w:color="1352DE"/>
            </w:tcBorders>
          </w:tcPr>
          <w:p>
            <w:pPr>
              <w:spacing w:after="0"/>
              <w:rPr>
                <w:sz w:val="18"/>
                <w:szCs w:val="18"/>
                <w:color w:val="auto"/>
              </w:rPr>
            </w:pPr>
          </w:p>
        </w:tc>
        <w:tc>
          <w:tcPr>
            <w:tcW w:w="3280" w:type="dxa"/>
            <w:vAlign w:val="bottom"/>
            <w:tcBorders>
              <w:top w:val="single" w:sz="8" w:color="1352DE"/>
              <w:bottom w:val="single" w:sz="8" w:color="1352DE"/>
            </w:tcBorders>
            <w:gridSpan w:val="4"/>
          </w:tcPr>
          <w:p>
            <w:pPr>
              <w:jc w:val="right"/>
              <w:ind w:right="28"/>
              <w:spacing w:after="0"/>
              <w:rPr>
                <w:sz w:val="20"/>
                <w:szCs w:val="20"/>
                <w:color w:val="auto"/>
              </w:rPr>
            </w:pPr>
            <w:r>
              <w:rPr>
                <w:rFonts w:ascii="Arial" w:cs="Arial" w:eastAsia="Arial" w:hAnsi="Arial"/>
                <w:sz w:val="14"/>
                <w:szCs w:val="14"/>
                <w:color w:val="1252DE"/>
              </w:rPr>
              <w:t>Gains/(Losses) Recognized in Income for:</w:t>
            </w:r>
          </w:p>
        </w:tc>
        <w:tc>
          <w:tcPr>
            <w:tcW w:w="640" w:type="dxa"/>
            <w:vAlign w:val="bottom"/>
            <w:tcBorders>
              <w:top w:val="single" w:sz="8" w:color="1352DE"/>
              <w:bottom w:val="single" w:sz="8" w:color="1352DE"/>
            </w:tcBorders>
          </w:tcPr>
          <w:p>
            <w:pPr>
              <w:spacing w:after="0"/>
              <w:rPr>
                <w:sz w:val="18"/>
                <w:szCs w:val="18"/>
                <w:color w:val="auto"/>
              </w:rPr>
            </w:pPr>
          </w:p>
        </w:tc>
        <w:tc>
          <w:tcPr>
            <w:tcW w:w="480" w:type="dxa"/>
            <w:vAlign w:val="bottom"/>
            <w:tcBorders>
              <w:top w:val="single" w:sz="8" w:color="1352DE"/>
            </w:tcBorders>
          </w:tcPr>
          <w:p>
            <w:pPr>
              <w:spacing w:after="0"/>
              <w:rPr>
                <w:sz w:val="18"/>
                <w:szCs w:val="18"/>
                <w:color w:val="auto"/>
              </w:rPr>
            </w:pPr>
          </w:p>
        </w:tc>
        <w:tc>
          <w:tcPr>
            <w:tcW w:w="900" w:type="dxa"/>
            <w:vAlign w:val="bottom"/>
            <w:tcBorders>
              <w:top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1252DE"/>
              </w:rPr>
              <w:t>Hedging</w:t>
            </w:r>
          </w:p>
        </w:tc>
        <w:tc>
          <w:tcPr>
            <w:tcW w:w="3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1252DE"/>
              </w:rPr>
              <w:t>Excluded</w:t>
            </w:r>
          </w:p>
        </w:tc>
        <w:tc>
          <w:tcPr>
            <w:tcW w:w="7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1252DE"/>
              </w:rPr>
              <w:t>Hedged</w:t>
            </w:r>
          </w:p>
        </w:tc>
        <w:tc>
          <w:tcPr>
            <w:tcW w:w="4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1252DE"/>
              </w:rPr>
              <w:t>Net Impact</w:t>
            </w:r>
          </w:p>
        </w:tc>
        <w:tc>
          <w:tcPr>
            <w:tcW w:w="0" w:type="dxa"/>
            <w:vAlign w:val="bottom"/>
          </w:tcPr>
          <w:p>
            <w:pPr>
              <w:spacing w:after="0"/>
              <w:rPr>
                <w:sz w:val="1"/>
                <w:szCs w:val="1"/>
                <w:color w:val="auto"/>
              </w:rPr>
            </w:pPr>
          </w:p>
        </w:tc>
      </w:tr>
      <w:tr>
        <w:trPr>
          <w:trHeight w:val="206"/>
        </w:trPr>
        <w:tc>
          <w:tcPr>
            <w:tcW w:w="56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40" w:type="dxa"/>
            <w:vAlign w:val="bottom"/>
            <w:tcBorders>
              <w:bottom w:val="single" w:sz="8" w:color="1352DE"/>
            </w:tcBorders>
          </w:tcPr>
          <w:p>
            <w:pPr>
              <w:spacing w:after="0"/>
              <w:rPr>
                <w:sz w:val="17"/>
                <w:szCs w:val="17"/>
                <w:color w:val="auto"/>
              </w:rPr>
            </w:pPr>
          </w:p>
        </w:tc>
        <w:tc>
          <w:tcPr>
            <w:tcW w:w="10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1252DE"/>
              </w:rPr>
              <w:t>Derivatives</w:t>
            </w:r>
            <w:r>
              <w:rPr>
                <w:rFonts w:ascii="Arial" w:cs="Arial" w:eastAsia="Arial" w:hAnsi="Arial"/>
                <w:sz w:val="18"/>
                <w:szCs w:val="18"/>
                <w:color w:val="1252DE"/>
                <w:vertAlign w:val="superscript"/>
              </w:rPr>
              <w:t>(a)</w:t>
            </w:r>
          </w:p>
        </w:tc>
        <w:tc>
          <w:tcPr>
            <w:tcW w:w="320" w:type="dxa"/>
            <w:vAlign w:val="bottom"/>
            <w:tcBorders>
              <w:bottom w:val="single" w:sz="8" w:color="1352DE"/>
            </w:tcBorders>
          </w:tcPr>
          <w:p>
            <w:pPr>
              <w:spacing w:after="0"/>
              <w:rPr>
                <w:sz w:val="17"/>
                <w:szCs w:val="17"/>
                <w:color w:val="auto"/>
              </w:rPr>
            </w:pPr>
          </w:p>
        </w:tc>
        <w:tc>
          <w:tcPr>
            <w:tcW w:w="11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1252DE"/>
              </w:rPr>
              <w:t>Components</w:t>
            </w:r>
            <w:r>
              <w:rPr>
                <w:rFonts w:ascii="Arial" w:cs="Arial" w:eastAsia="Arial" w:hAnsi="Arial"/>
                <w:sz w:val="18"/>
                <w:szCs w:val="18"/>
                <w:color w:val="1252DE"/>
                <w:vertAlign w:val="superscript"/>
              </w:rPr>
              <w:t>(b)</w:t>
            </w:r>
          </w:p>
        </w:tc>
        <w:tc>
          <w:tcPr>
            <w:tcW w:w="72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Items</w:t>
            </w:r>
          </w:p>
        </w:tc>
        <w:tc>
          <w:tcPr>
            <w:tcW w:w="48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80" w:type="dxa"/>
            <w:vAlign w:val="bottom"/>
          </w:tcPr>
          <w:p>
            <w:pPr>
              <w:ind w:left="20"/>
              <w:spacing w:after="0"/>
              <w:rPr>
                <w:sz w:val="20"/>
                <w:szCs w:val="20"/>
                <w:color w:val="auto"/>
              </w:rPr>
            </w:pPr>
            <w:r>
              <w:rPr>
                <w:rFonts w:ascii="Arial" w:cs="Arial" w:eastAsia="Arial" w:hAnsi="Arial"/>
                <w:sz w:val="14"/>
                <w:szCs w:val="14"/>
                <w:b w:val="1"/>
                <w:bCs w:val="1"/>
                <w:color w:val="1252DE"/>
              </w:rPr>
              <w:t>Three Months Ended September 30, 2026</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b w:val="1"/>
                <w:bCs w:val="1"/>
                <w:color w:val="1252DE"/>
              </w:rPr>
              <w:t>Foreign exchange contracts: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8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Net realized gains/(losses)</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10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30</w:t>
            </w:r>
          </w:p>
        </w:tc>
        <w:tc>
          <w:tcPr>
            <w:tcW w:w="3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16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16</w:t>
            </w:r>
          </w:p>
        </w:tc>
        <w:tc>
          <w:tcPr>
            <w:tcW w:w="720" w:type="dxa"/>
            <w:vAlign w:val="bottom"/>
            <w:tcBorders>
              <w:bottom w:val="single" w:sz="8" w:color="1352DE"/>
            </w:tcBorders>
          </w:tcPr>
          <w:p>
            <w:pPr>
              <w:jc w:val="right"/>
              <w:ind w:right="468"/>
              <w:spacing w:after="0"/>
              <w:rPr>
                <w:sz w:val="20"/>
                <w:szCs w:val="20"/>
                <w:color w:val="auto"/>
              </w:rPr>
            </w:pPr>
            <w:r>
              <w:rPr>
                <w:rFonts w:ascii="Arial" w:cs="Arial" w:eastAsia="Arial" w:hAnsi="Arial"/>
                <w:sz w:val="14"/>
                <w:szCs w:val="14"/>
                <w:b w:val="1"/>
                <w:bCs w:val="1"/>
                <w:color w:val="12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(30)</w:t>
            </w:r>
          </w:p>
        </w:tc>
        <w:tc>
          <w:tcPr>
            <w:tcW w:w="4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16</w:t>
            </w:r>
          </w:p>
        </w:tc>
        <w:tc>
          <w:tcPr>
            <w:tcW w:w="0" w:type="dxa"/>
            <w:vAlign w:val="bottom"/>
          </w:tcPr>
          <w:p>
            <w:pPr>
              <w:spacing w:after="0"/>
              <w:rPr>
                <w:sz w:val="1"/>
                <w:szCs w:val="1"/>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4"/>
                <w:szCs w:val="14"/>
                <w:color w:val="1252DE"/>
              </w:rPr>
              <w:t>Three Months Ended September 30, 2025</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4"/>
                <w:szCs w:val="14"/>
                <w:b w:val="1"/>
                <w:bCs w:val="1"/>
                <w:color w:val="1252DE"/>
              </w:rPr>
              <w:t>Foreign exchange contracts: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8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Net realized gains/(losses)</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(25)</w:t>
            </w:r>
          </w:p>
        </w:tc>
        <w:tc>
          <w:tcPr>
            <w:tcW w:w="3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(4)</w:t>
            </w:r>
          </w:p>
        </w:tc>
        <w:tc>
          <w:tcPr>
            <w:tcW w:w="720" w:type="dxa"/>
            <w:vAlign w:val="bottom"/>
            <w:tcBorders>
              <w:bottom w:val="single" w:sz="8" w:color="1352DE"/>
            </w:tcBorders>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25</w:t>
            </w:r>
          </w:p>
        </w:tc>
        <w:tc>
          <w:tcPr>
            <w:tcW w:w="4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4"/>
                <w:szCs w:val="14"/>
                <w:b w:val="1"/>
                <w:bCs w:val="1"/>
                <w:color w:val="1252DE"/>
              </w:rPr>
              <w:t>Nine Months Ended September 30, 2026</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b w:val="1"/>
                <w:bCs w:val="1"/>
                <w:color w:val="1252DE"/>
              </w:rPr>
              <w:t>Foreign exchange contracts: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Net realized gains/(losses)</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10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9</w:t>
            </w:r>
          </w:p>
        </w:tc>
        <w:tc>
          <w:tcPr>
            <w:tcW w:w="3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16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11</w:t>
            </w:r>
          </w:p>
        </w:tc>
        <w:tc>
          <w:tcPr>
            <w:tcW w:w="720" w:type="dxa"/>
            <w:vAlign w:val="bottom"/>
            <w:tcBorders>
              <w:bottom w:val="single" w:sz="8" w:color="1352DE"/>
            </w:tcBorders>
          </w:tcPr>
          <w:p>
            <w:pPr>
              <w:jc w:val="right"/>
              <w:ind w:right="468"/>
              <w:spacing w:after="0"/>
              <w:rPr>
                <w:sz w:val="20"/>
                <w:szCs w:val="20"/>
                <w:color w:val="auto"/>
              </w:rPr>
            </w:pPr>
            <w:r>
              <w:rPr>
                <w:rFonts w:ascii="Arial" w:cs="Arial" w:eastAsia="Arial" w:hAnsi="Arial"/>
                <w:sz w:val="14"/>
                <w:szCs w:val="14"/>
                <w:b w:val="1"/>
                <w:bCs w:val="1"/>
                <w:color w:val="1252DE"/>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(9)</w:t>
            </w:r>
          </w:p>
        </w:tc>
        <w:tc>
          <w:tcPr>
            <w:tcW w:w="4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11</w:t>
            </w:r>
          </w:p>
        </w:tc>
        <w:tc>
          <w:tcPr>
            <w:tcW w:w="0" w:type="dxa"/>
            <w:vAlign w:val="bottom"/>
          </w:tcPr>
          <w:p>
            <w:pPr>
              <w:spacing w:after="0"/>
              <w:rPr>
                <w:sz w:val="1"/>
                <w:szCs w:val="1"/>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4"/>
                <w:szCs w:val="14"/>
                <w:color w:val="1252DE"/>
              </w:rPr>
              <w:t>Nine Months Ended September 30, 2025</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4"/>
                <w:szCs w:val="14"/>
                <w:b w:val="1"/>
                <w:bCs w:val="1"/>
                <w:color w:val="1252DE"/>
              </w:rPr>
              <w:t>Foreign exchange contracts: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68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Net realized gains/(losses)</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(52)</w:t>
            </w:r>
          </w:p>
        </w:tc>
        <w:tc>
          <w:tcPr>
            <w:tcW w:w="3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1352DE"/>
            </w:tcBorders>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52</w:t>
            </w:r>
          </w:p>
        </w:tc>
        <w:tc>
          <w:tcPr>
            <w:tcW w:w="4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Gains and losses on derivative instruments designated and qualifying in fair value hedges that are included in the assessment of hedge effectiveness.</w:t>
      </w:r>
    </w:p>
    <w:p>
      <w:pPr>
        <w:spacing w:after="0" w:line="80" w:lineRule="exact"/>
        <w:rPr>
          <w:rFonts w:ascii="Arial" w:cs="Arial" w:eastAsia="Arial" w:hAnsi="Arial"/>
          <w:sz w:val="13"/>
          <w:szCs w:val="13"/>
          <w:color w:val="auto"/>
        </w:rPr>
      </w:pPr>
    </w:p>
    <w:p>
      <w:pPr>
        <w:ind w:left="220" w:right="280" w:hanging="212"/>
        <w:spacing w:after="0" w:line="264" w:lineRule="auto"/>
        <w:tabs>
          <w:tab w:leader="none" w:pos="208" w:val="left"/>
        </w:tabs>
        <w:numPr>
          <w:ilvl w:val="0"/>
          <w:numId w:val="42"/>
        </w:numPr>
        <w:rPr>
          <w:rFonts w:ascii="Arial" w:cs="Arial" w:eastAsia="Arial" w:hAnsi="Arial"/>
          <w:sz w:val="13"/>
          <w:szCs w:val="13"/>
          <w:color w:val="auto"/>
        </w:rPr>
      </w:pPr>
      <w:r>
        <w:rPr>
          <w:rFonts w:ascii="Arial" w:cs="Arial" w:eastAsia="Arial" w:hAnsi="Arial"/>
          <w:sz w:val="13"/>
          <w:szCs w:val="13"/>
          <w:color w:val="auto"/>
        </w:rPr>
        <w:t>Gains and losses on derivative instruments designated and qualifying in fair value hedges that are excluded from the assessment of hedge effectiveness and recognized in income on a mark-to-market basis.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DERIVATIVES NOT DESIGNATED AS HEDGING INSTRUMENTS</w:t>
      </w:r>
    </w:p>
    <w:p>
      <w:pPr>
        <w:spacing w:after="0" w:line="144"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b w:val="1"/>
          <w:bCs w:val="1"/>
          <w:color w:val="1251DE"/>
        </w:rPr>
        <w:t>The following table presents the effect of derivative instruments not designated as hedging instruments in the Condensed Consolidated Statements of Income (Loss):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Borders>
              <w:top w:val="single" w:sz="8" w:color="1352DE"/>
            </w:tcBorders>
          </w:tcPr>
          <w:p>
            <w:pPr>
              <w:spacing w:after="0"/>
              <w:rPr>
                <w:sz w:val="18"/>
                <w:szCs w:val="18"/>
                <w:color w:val="auto"/>
              </w:rPr>
            </w:pPr>
          </w:p>
        </w:tc>
        <w:tc>
          <w:tcPr>
            <w:tcW w:w="220" w:type="dxa"/>
            <w:vAlign w:val="bottom"/>
            <w:tcBorders>
              <w:top w:val="single" w:sz="8" w:color="1352DE"/>
              <w:bottom w:val="single" w:sz="8" w:color="1352DE"/>
            </w:tcBorders>
          </w:tcPr>
          <w:p>
            <w:pPr>
              <w:spacing w:after="0"/>
              <w:rPr>
                <w:sz w:val="18"/>
                <w:szCs w:val="18"/>
                <w:color w:val="auto"/>
              </w:rPr>
            </w:pPr>
          </w:p>
        </w:tc>
        <w:tc>
          <w:tcPr>
            <w:tcW w:w="680" w:type="dxa"/>
            <w:vAlign w:val="bottom"/>
            <w:tcBorders>
              <w:top w:val="single" w:sz="8" w:color="1352DE"/>
              <w:bottom w:val="single" w:sz="8" w:color="1352DE"/>
            </w:tcBorders>
          </w:tcPr>
          <w:p>
            <w:pPr>
              <w:spacing w:after="0"/>
              <w:rPr>
                <w:sz w:val="18"/>
                <w:szCs w:val="18"/>
                <w:color w:val="auto"/>
              </w:rPr>
            </w:pPr>
          </w:p>
        </w:tc>
        <w:tc>
          <w:tcPr>
            <w:tcW w:w="3140" w:type="dxa"/>
            <w:vAlign w:val="bottom"/>
            <w:tcBorders>
              <w:top w:val="single" w:sz="8" w:color="1352DE"/>
              <w:bottom w:val="single" w:sz="8" w:color="1352DE"/>
            </w:tcBorders>
            <w:gridSpan w:val="6"/>
          </w:tcPr>
          <w:p>
            <w:pPr>
              <w:jc w:val="right"/>
              <w:ind w:right="464"/>
              <w:spacing w:after="0"/>
              <w:rPr>
                <w:sz w:val="20"/>
                <w:szCs w:val="20"/>
                <w:color w:val="auto"/>
              </w:rPr>
            </w:pPr>
            <w:r>
              <w:rPr>
                <w:rFonts w:ascii="Arial" w:cs="Arial" w:eastAsia="Arial" w:hAnsi="Arial"/>
                <w:sz w:val="15"/>
                <w:szCs w:val="15"/>
                <w:color w:val="1352DE"/>
              </w:rPr>
              <w:t>Gains (Losses) Recognized in Income</w:t>
            </w:r>
          </w:p>
        </w:tc>
        <w:tc>
          <w:tcPr>
            <w:tcW w:w="38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4"/>
          </w:tcPr>
          <w:p>
            <w:pPr>
              <w:ind w:left="120"/>
              <w:spacing w:after="0" w:line="144" w:lineRule="exact"/>
              <w:rPr>
                <w:sz w:val="20"/>
                <w:szCs w:val="20"/>
                <w:color w:val="auto"/>
              </w:rPr>
            </w:pPr>
            <w:r>
              <w:rPr>
                <w:rFonts w:ascii="Arial" w:cs="Arial" w:eastAsia="Arial" w:hAnsi="Arial"/>
                <w:sz w:val="15"/>
                <w:szCs w:val="15"/>
                <w:color w:val="1352DE"/>
              </w:rPr>
              <w:t>Three Months Ended</w:t>
            </w:r>
          </w:p>
        </w:tc>
        <w:tc>
          <w:tcPr>
            <w:tcW w:w="260" w:type="dxa"/>
            <w:vAlign w:val="bottom"/>
          </w:tcPr>
          <w:p>
            <w:pPr>
              <w:spacing w:after="0"/>
              <w:rPr>
                <w:sz w:val="12"/>
                <w:szCs w:val="12"/>
                <w:color w:val="auto"/>
              </w:rPr>
            </w:pPr>
          </w:p>
        </w:tc>
        <w:tc>
          <w:tcPr>
            <w:tcW w:w="1480" w:type="dxa"/>
            <w:vAlign w:val="bottom"/>
            <w:gridSpan w:val="2"/>
          </w:tcPr>
          <w:p>
            <w:pPr>
              <w:jc w:val="right"/>
              <w:spacing w:after="0" w:line="144" w:lineRule="exact"/>
              <w:rPr>
                <w:sz w:val="20"/>
                <w:szCs w:val="20"/>
                <w:color w:val="auto"/>
              </w:rPr>
            </w:pPr>
            <w:r>
              <w:rPr>
                <w:rFonts w:ascii="Arial" w:cs="Arial" w:eastAsia="Arial" w:hAnsi="Arial"/>
                <w:sz w:val="15"/>
                <w:szCs w:val="15"/>
                <w:color w:val="1352DE"/>
              </w:rPr>
              <w:t>Nine Months Ended</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220" w:type="dxa"/>
            <w:vAlign w:val="bottom"/>
            <w:tcBorders>
              <w:bottom w:val="single" w:sz="8" w:color="1352DE"/>
            </w:tcBorders>
          </w:tcPr>
          <w:p>
            <w:pPr>
              <w:spacing w:after="0"/>
              <w:rPr>
                <w:sz w:val="18"/>
                <w:szCs w:val="18"/>
                <w:color w:val="auto"/>
              </w:rPr>
            </w:pPr>
          </w:p>
        </w:tc>
        <w:tc>
          <w:tcPr>
            <w:tcW w:w="1420" w:type="dxa"/>
            <w:vAlign w:val="bottom"/>
            <w:tcBorders>
              <w:bottom w:val="single" w:sz="8" w:color="1352DE"/>
            </w:tcBorders>
            <w:gridSpan w:val="2"/>
          </w:tcPr>
          <w:p>
            <w:pPr>
              <w:jc w:val="right"/>
              <w:ind w:right="4"/>
              <w:spacing w:after="0"/>
              <w:rPr>
                <w:sz w:val="20"/>
                <w:szCs w:val="20"/>
                <w:color w:val="auto"/>
              </w:rPr>
            </w:pPr>
            <w:r>
              <w:rPr>
                <w:rFonts w:ascii="Arial" w:cs="Arial" w:eastAsia="Arial" w:hAnsi="Arial"/>
                <w:sz w:val="15"/>
                <w:szCs w:val="15"/>
                <w:color w:val="1352DE"/>
              </w:rPr>
              <w:t>September 30,</w:t>
            </w:r>
          </w:p>
        </w:tc>
        <w:tc>
          <w:tcPr>
            <w:tcW w:w="460" w:type="dxa"/>
            <w:vAlign w:val="bottom"/>
            <w:tcBorders>
              <w:bottom w:val="single" w:sz="8" w:color="1352DE"/>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1352DE"/>
            </w:tcBorders>
          </w:tcPr>
          <w:p>
            <w:pPr>
              <w:spacing w:after="0"/>
              <w:rPr>
                <w:sz w:val="18"/>
                <w:szCs w:val="18"/>
                <w:color w:val="auto"/>
              </w:rPr>
            </w:pPr>
          </w:p>
        </w:tc>
        <w:tc>
          <w:tcPr>
            <w:tcW w:w="1480" w:type="dxa"/>
            <w:vAlign w:val="bottom"/>
            <w:tcBorders>
              <w:bottom w:val="single" w:sz="8" w:color="1352DE"/>
            </w:tcBorders>
            <w:gridSpan w:val="2"/>
          </w:tcPr>
          <w:p>
            <w:pPr>
              <w:jc w:val="right"/>
              <w:ind w:right="104"/>
              <w:spacing w:after="0"/>
              <w:rPr>
                <w:sz w:val="20"/>
                <w:szCs w:val="20"/>
                <w:color w:val="auto"/>
              </w:rPr>
            </w:pPr>
            <w:r>
              <w:rPr>
                <w:rFonts w:ascii="Arial" w:cs="Arial" w:eastAsia="Arial" w:hAnsi="Arial"/>
                <w:sz w:val="15"/>
                <w:szCs w:val="15"/>
                <w:color w:val="1352DE"/>
              </w:rPr>
              <w:t>September 30,</w:t>
            </w:r>
          </w:p>
        </w:tc>
        <w:tc>
          <w:tcPr>
            <w:tcW w:w="38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352DE"/>
              </w:rPr>
              <w:t>(in millions)</w:t>
            </w:r>
          </w:p>
        </w:tc>
        <w:tc>
          <w:tcPr>
            <w:tcW w:w="220" w:type="dxa"/>
            <w:vAlign w:val="bottom"/>
            <w:tcBorders>
              <w:bottom w:val="single" w:sz="8" w:color="1352DE"/>
            </w:tcBorders>
          </w:tcPr>
          <w:p>
            <w:pPr>
              <w:spacing w:after="0"/>
              <w:rPr>
                <w:sz w:val="17"/>
                <w:szCs w:val="17"/>
                <w:color w:val="auto"/>
              </w:rPr>
            </w:pPr>
          </w:p>
        </w:tc>
        <w:tc>
          <w:tcPr>
            <w:tcW w:w="1420" w:type="dxa"/>
            <w:vAlign w:val="bottom"/>
            <w:tcBorders>
              <w:bottom w:val="single" w:sz="8" w:color="1352DE"/>
            </w:tcBorders>
            <w:gridSpan w:val="2"/>
          </w:tcPr>
          <w:p>
            <w:pPr>
              <w:jc w:val="right"/>
              <w:ind w:right="624"/>
              <w:spacing w:after="0"/>
              <w:rPr>
                <w:sz w:val="20"/>
                <w:szCs w:val="20"/>
                <w:color w:val="auto"/>
              </w:rPr>
            </w:pPr>
            <w:r>
              <w:rPr>
                <w:rFonts w:ascii="Arial" w:cs="Arial" w:eastAsia="Arial" w:hAnsi="Arial"/>
                <w:sz w:val="15"/>
                <w:szCs w:val="15"/>
                <w:b w:val="1"/>
                <w:bCs w:val="1"/>
                <w:color w:val="1352DE"/>
              </w:rPr>
              <w:t>2026</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352DE"/>
              </w:rPr>
              <w:t>2025</w:t>
            </w:r>
          </w:p>
        </w:tc>
        <w:tc>
          <w:tcPr>
            <w:tcW w:w="200" w:type="dxa"/>
            <w:vAlign w:val="bottom"/>
            <w:tcBorders>
              <w:bottom w:val="single" w:sz="8" w:color="1352DE"/>
            </w:tcBorders>
          </w:tcPr>
          <w:p>
            <w:pPr>
              <w:spacing w:after="0"/>
              <w:rPr>
                <w:sz w:val="17"/>
                <w:szCs w:val="17"/>
                <w:color w:val="auto"/>
              </w:rPr>
            </w:pPr>
          </w:p>
        </w:tc>
        <w:tc>
          <w:tcPr>
            <w:tcW w:w="26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352DE"/>
              </w:rPr>
              <w:t>2026</w:t>
            </w:r>
          </w:p>
        </w:tc>
        <w:tc>
          <w:tcPr>
            <w:tcW w:w="680" w:type="dxa"/>
            <w:vAlign w:val="bottom"/>
            <w:tcBorders>
              <w:bottom w:val="single" w:sz="8" w:color="1352DE"/>
            </w:tcBorders>
          </w:tcPr>
          <w:p>
            <w:pPr>
              <w:spacing w:after="0"/>
              <w:rPr>
                <w:sz w:val="17"/>
                <w:szCs w:val="17"/>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352DE"/>
              </w:rPr>
              <w:t>2025</w:t>
            </w:r>
          </w:p>
        </w:tc>
        <w:tc>
          <w:tcPr>
            <w:tcW w:w="0" w:type="dxa"/>
            <w:vAlign w:val="bottom"/>
          </w:tcPr>
          <w:p>
            <w:pPr>
              <w:spacing w:after="0"/>
              <w:rPr>
                <w:sz w:val="1"/>
                <w:szCs w:val="1"/>
                <w:color w:val="auto"/>
              </w:rPr>
            </w:pPr>
          </w:p>
        </w:tc>
      </w:tr>
      <w:tr>
        <w:trPr>
          <w:trHeight w:val="192"/>
        </w:trPr>
        <w:tc>
          <w:tcPr>
            <w:tcW w:w="6800" w:type="dxa"/>
            <w:vAlign w:val="bottom"/>
          </w:tcPr>
          <w:p>
            <w:pPr>
              <w:ind w:left="20"/>
              <w:spacing w:after="0"/>
              <w:rPr>
                <w:sz w:val="20"/>
                <w:szCs w:val="20"/>
                <w:color w:val="auto"/>
              </w:rPr>
            </w:pPr>
            <w:r>
              <w:rPr>
                <w:rFonts w:ascii="Arial" w:cs="Arial" w:eastAsia="Arial" w:hAnsi="Arial"/>
                <w:sz w:val="15"/>
                <w:szCs w:val="15"/>
                <w:b w:val="1"/>
                <w:bCs w:val="1"/>
                <w:color w:val="1352DE"/>
              </w:rPr>
              <w:t>By Derivative Type:</w:t>
            </w: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1252DE"/>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1252DE"/>
              </w:rPr>
              <w:t>2</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1352DE"/>
              </w:rPr>
              <w:t>$</w:t>
            </w:r>
          </w:p>
        </w:tc>
        <w:tc>
          <w:tcPr>
            <w:tcW w:w="8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1352DE"/>
              </w:rPr>
              <w:t>1</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00" w:type="dxa"/>
            <w:vAlign w:val="bottom"/>
          </w:tcPr>
          <w:p>
            <w:pPr>
              <w:ind w:left="140"/>
              <w:spacing w:after="0"/>
              <w:rPr>
                <w:sz w:val="20"/>
                <w:szCs w:val="20"/>
                <w:color w:val="auto"/>
              </w:rPr>
            </w:pPr>
            <w:r>
              <w:rPr>
                <w:rFonts w:ascii="Arial" w:cs="Arial" w:eastAsia="Arial" w:hAnsi="Arial"/>
                <w:sz w:val="15"/>
                <w:szCs w:val="15"/>
                <w:color w:val="auto"/>
              </w:rPr>
              <w:t>Interest rate contracts</w:t>
            </w:r>
          </w:p>
        </w:tc>
        <w:tc>
          <w:tcPr>
            <w:tcW w:w="2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3"/>
        </w:trPr>
        <w:tc>
          <w:tcPr>
            <w:tcW w:w="6800" w:type="dxa"/>
            <w:vAlign w:val="bottom"/>
          </w:tcPr>
          <w:p>
            <w:pPr>
              <w:ind w:left="140"/>
              <w:spacing w:after="0"/>
              <w:rPr>
                <w:sz w:val="20"/>
                <w:szCs w:val="20"/>
                <w:color w:val="auto"/>
              </w:rPr>
            </w:pPr>
            <w:r>
              <w:rPr>
                <w:rFonts w:ascii="Arial" w:cs="Arial" w:eastAsia="Arial" w:hAnsi="Arial"/>
                <w:sz w:val="15"/>
                <w:szCs w:val="15"/>
                <w:color w:val="auto"/>
              </w:rPr>
              <w:t>Foreign exchange contracts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1252DE"/>
              </w:rPr>
              <w:t>22</w:t>
            </w:r>
          </w:p>
        </w:tc>
        <w:tc>
          <w:tcPr>
            <w:tcW w:w="7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1352DE"/>
              </w:rPr>
              <w:t>5</w:t>
            </w: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6"/>
              </w:rPr>
              <w:t>(152)</w:t>
            </w:r>
          </w:p>
        </w:tc>
        <w:tc>
          <w:tcPr>
            <w:tcW w:w="0" w:type="dxa"/>
            <w:vAlign w:val="bottom"/>
          </w:tcPr>
          <w:p>
            <w:pPr>
              <w:spacing w:after="0"/>
              <w:rPr>
                <w:sz w:val="1"/>
                <w:szCs w:val="1"/>
                <w:color w:val="auto"/>
              </w:rPr>
            </w:pPr>
          </w:p>
        </w:tc>
      </w:tr>
      <w:tr>
        <w:trPr>
          <w:trHeight w:val="208"/>
        </w:trPr>
        <w:tc>
          <w:tcPr>
            <w:tcW w:w="680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Embedded derivatives</w:t>
            </w:r>
          </w:p>
        </w:tc>
        <w:tc>
          <w:tcPr>
            <w:tcW w:w="220" w:type="dxa"/>
            <w:vAlign w:val="bottom"/>
            <w:tcBorders>
              <w:bottom w:val="single" w:sz="8" w:color="1352DE"/>
            </w:tcBorders>
          </w:tcPr>
          <w:p>
            <w:pPr>
              <w:spacing w:after="0"/>
              <w:rPr>
                <w:sz w:val="18"/>
                <w:szCs w:val="18"/>
                <w:color w:val="auto"/>
              </w:rPr>
            </w:pP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85</w:t>
            </w:r>
          </w:p>
        </w:tc>
        <w:tc>
          <w:tcPr>
            <w:tcW w:w="74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(54)</w:t>
            </w:r>
          </w:p>
        </w:tc>
        <w:tc>
          <w:tcPr>
            <w:tcW w:w="200" w:type="dxa"/>
            <w:vAlign w:val="bottom"/>
            <w:tcBorders>
              <w:bottom w:val="single" w:sz="8" w:color="1352DE"/>
            </w:tcBorders>
          </w:tcPr>
          <w:p>
            <w:pPr>
              <w:spacing w:after="0"/>
              <w:rPr>
                <w:sz w:val="18"/>
                <w:szCs w:val="18"/>
                <w:color w:val="auto"/>
              </w:rPr>
            </w:pPr>
          </w:p>
        </w:tc>
        <w:tc>
          <w:tcPr>
            <w:tcW w:w="26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b w:val="1"/>
                <w:bCs w:val="1"/>
                <w:color w:val="1352DE"/>
              </w:rPr>
              <w:t>44</w:t>
            </w:r>
          </w:p>
        </w:tc>
        <w:tc>
          <w:tcPr>
            <w:tcW w:w="680" w:type="dxa"/>
            <w:vAlign w:val="bottom"/>
            <w:tcBorders>
              <w:bottom w:val="single" w:sz="8" w:color="1352DE"/>
            </w:tcBorders>
          </w:tcPr>
          <w:p>
            <w:pPr>
              <w:spacing w:after="0"/>
              <w:rPr>
                <w:sz w:val="18"/>
                <w:szCs w:val="18"/>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w w:val="96"/>
              </w:rPr>
              <w:t>(109)</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352DE"/>
              </w:rPr>
              <w:t>Total</w:t>
            </w:r>
          </w:p>
        </w:tc>
        <w:tc>
          <w:tcPr>
            <w:tcW w:w="22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w w:val="95"/>
              </w:rPr>
              <w:t>$</w:t>
            </w: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109</w:t>
            </w:r>
          </w:p>
        </w:tc>
        <w:tc>
          <w:tcPr>
            <w:tcW w:w="740" w:type="dxa"/>
            <w:vAlign w:val="bottom"/>
            <w:tcBorders>
              <w:bottom w:val="single" w:sz="8" w:color="1352DE"/>
            </w:tcBorders>
          </w:tcPr>
          <w:p>
            <w:pPr>
              <w:jc w:val="right"/>
              <w:ind w:right="32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(62)</w:t>
            </w:r>
          </w:p>
        </w:tc>
        <w:tc>
          <w:tcPr>
            <w:tcW w:w="200" w:type="dxa"/>
            <w:vAlign w:val="bottom"/>
            <w:tcBorders>
              <w:bottom w:val="single" w:sz="8" w:color="1352DE"/>
            </w:tcBorders>
          </w:tcPr>
          <w:p>
            <w:pPr>
              <w:spacing w:after="0"/>
              <w:rPr>
                <w:sz w:val="17"/>
                <w:szCs w:val="17"/>
                <w:color w:val="auto"/>
              </w:rPr>
            </w:pPr>
          </w:p>
        </w:tc>
        <w:tc>
          <w:tcPr>
            <w:tcW w:w="26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352DE"/>
              </w:rPr>
              <w:t>$</w:t>
            </w:r>
          </w:p>
        </w:tc>
        <w:tc>
          <w:tcPr>
            <w:tcW w:w="80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b w:val="1"/>
                <w:bCs w:val="1"/>
                <w:color w:val="1352DE"/>
              </w:rPr>
              <w:t>50</w:t>
            </w:r>
          </w:p>
        </w:tc>
        <w:tc>
          <w:tcPr>
            <w:tcW w:w="680" w:type="dxa"/>
            <w:vAlign w:val="bottom"/>
            <w:tcBorders>
              <w:bottom w:val="single" w:sz="8" w:color="1352DE"/>
            </w:tcBorders>
          </w:tcPr>
          <w:p>
            <w:pPr>
              <w:jc w:val="right"/>
              <w:ind w:right="384"/>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w w:val="96"/>
              </w:rPr>
              <w:t>(266)</w:t>
            </w:r>
          </w:p>
        </w:tc>
        <w:tc>
          <w:tcPr>
            <w:tcW w:w="0" w:type="dxa"/>
            <w:vAlign w:val="bottom"/>
          </w:tcPr>
          <w:p>
            <w:pPr>
              <w:spacing w:after="0"/>
              <w:rPr>
                <w:sz w:val="1"/>
                <w:szCs w:val="1"/>
                <w:color w:val="auto"/>
              </w:rPr>
            </w:pPr>
          </w:p>
        </w:tc>
      </w:tr>
      <w:tr>
        <w:trPr>
          <w:trHeight w:val="192"/>
        </w:trPr>
        <w:tc>
          <w:tcPr>
            <w:tcW w:w="6800" w:type="dxa"/>
            <w:vAlign w:val="bottom"/>
          </w:tcPr>
          <w:p>
            <w:pPr>
              <w:ind w:left="20"/>
              <w:spacing w:after="0"/>
              <w:rPr>
                <w:sz w:val="20"/>
                <w:szCs w:val="20"/>
                <w:color w:val="auto"/>
              </w:rPr>
            </w:pPr>
            <w:r>
              <w:rPr>
                <w:rFonts w:ascii="Arial" w:cs="Arial" w:eastAsia="Arial" w:hAnsi="Arial"/>
                <w:sz w:val="15"/>
                <w:szCs w:val="15"/>
                <w:b w:val="1"/>
                <w:bCs w:val="1"/>
                <w:color w:val="1352DE"/>
              </w:rPr>
              <w:t>By Classification:</w:t>
            </w: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1252DE"/>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1252DE"/>
              </w:rPr>
              <w:t>—</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1352DE"/>
              </w:rPr>
              <w:t>$</w:t>
            </w:r>
          </w:p>
        </w:tc>
        <w:tc>
          <w:tcPr>
            <w:tcW w:w="8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1352DE"/>
              </w:rPr>
              <w:t>—</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00" w:type="dxa"/>
            <w:vAlign w:val="bottom"/>
          </w:tcPr>
          <w:p>
            <w:pPr>
              <w:ind w:left="140"/>
              <w:spacing w:after="0"/>
              <w:rPr>
                <w:sz w:val="20"/>
                <w:szCs w:val="20"/>
                <w:color w:val="auto"/>
              </w:rPr>
            </w:pPr>
            <w:r>
              <w:rPr>
                <w:rFonts w:ascii="Arial" w:cs="Arial" w:eastAsia="Arial" w:hAnsi="Arial"/>
                <w:sz w:val="15"/>
                <w:szCs w:val="15"/>
                <w:color w:val="auto"/>
              </w:rPr>
              <w:t>Net investment income - Fortitude Re funds withheld assets</w:t>
            </w:r>
          </w:p>
        </w:tc>
        <w:tc>
          <w:tcPr>
            <w:tcW w:w="2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8"/>
        </w:trPr>
        <w:tc>
          <w:tcPr>
            <w:tcW w:w="6800" w:type="dxa"/>
            <w:vAlign w:val="bottom"/>
          </w:tcPr>
          <w:p>
            <w:pPr>
              <w:ind w:left="140"/>
              <w:spacing w:after="0"/>
              <w:rPr>
                <w:sz w:val="20"/>
                <w:szCs w:val="20"/>
                <w:color w:val="auto"/>
              </w:rPr>
            </w:pPr>
            <w:r>
              <w:rPr>
                <w:rFonts w:ascii="Arial" w:cs="Arial" w:eastAsia="Arial" w:hAnsi="Arial"/>
                <w:sz w:val="15"/>
                <w:szCs w:val="15"/>
                <w:color w:val="auto"/>
              </w:rPr>
              <w:t>Net realized gains (losses) - excluding Fortitude Re funds withheld assets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1252DE"/>
              </w:rPr>
              <w:t>23</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1352DE"/>
              </w:rPr>
              <w:t>3</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6"/>
              </w:rPr>
              <w:t>(136)</w:t>
            </w:r>
          </w:p>
        </w:tc>
        <w:tc>
          <w:tcPr>
            <w:tcW w:w="0" w:type="dxa"/>
            <w:vAlign w:val="bottom"/>
          </w:tcPr>
          <w:p>
            <w:pPr>
              <w:spacing w:after="0"/>
              <w:rPr>
                <w:sz w:val="1"/>
                <w:szCs w:val="1"/>
                <w:color w:val="auto"/>
              </w:rPr>
            </w:pPr>
          </w:p>
        </w:tc>
      </w:tr>
      <w:tr>
        <w:trPr>
          <w:trHeight w:val="217"/>
        </w:trPr>
        <w:tc>
          <w:tcPr>
            <w:tcW w:w="680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Net realized gains (losses) on Fortitude Re funds withheld assets</w:t>
            </w:r>
            <w:r>
              <w:rPr>
                <w:rFonts w:ascii="Arial" w:cs="Arial" w:eastAsia="Arial" w:hAnsi="Arial"/>
                <w:sz w:val="16"/>
                <w:szCs w:val="16"/>
                <w:color w:val="auto"/>
              </w:rPr>
              <w:t>*</w:t>
            </w:r>
          </w:p>
        </w:tc>
        <w:tc>
          <w:tcPr>
            <w:tcW w:w="220" w:type="dxa"/>
            <w:vAlign w:val="bottom"/>
            <w:tcBorders>
              <w:bottom w:val="single" w:sz="8" w:color="1352DE"/>
            </w:tcBorders>
          </w:tcPr>
          <w:p>
            <w:pPr>
              <w:spacing w:after="0"/>
              <w:rPr>
                <w:sz w:val="18"/>
                <w:szCs w:val="18"/>
                <w:color w:val="auto"/>
              </w:rPr>
            </w:pP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86</w:t>
            </w:r>
          </w:p>
        </w:tc>
        <w:tc>
          <w:tcPr>
            <w:tcW w:w="74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(52)</w:t>
            </w:r>
          </w:p>
        </w:tc>
        <w:tc>
          <w:tcPr>
            <w:tcW w:w="200" w:type="dxa"/>
            <w:vAlign w:val="bottom"/>
            <w:tcBorders>
              <w:bottom w:val="single" w:sz="8" w:color="1352DE"/>
            </w:tcBorders>
          </w:tcPr>
          <w:p>
            <w:pPr>
              <w:spacing w:after="0"/>
              <w:rPr>
                <w:sz w:val="18"/>
                <w:szCs w:val="18"/>
                <w:color w:val="auto"/>
              </w:rPr>
            </w:pPr>
          </w:p>
        </w:tc>
        <w:tc>
          <w:tcPr>
            <w:tcW w:w="26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b w:val="1"/>
                <w:bCs w:val="1"/>
                <w:color w:val="1352DE"/>
              </w:rPr>
              <w:t>47</w:t>
            </w:r>
          </w:p>
        </w:tc>
        <w:tc>
          <w:tcPr>
            <w:tcW w:w="680" w:type="dxa"/>
            <w:vAlign w:val="bottom"/>
            <w:tcBorders>
              <w:bottom w:val="single" w:sz="8" w:color="1352DE"/>
            </w:tcBorders>
          </w:tcPr>
          <w:p>
            <w:pPr>
              <w:spacing w:after="0"/>
              <w:rPr>
                <w:sz w:val="18"/>
                <w:szCs w:val="18"/>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w w:val="96"/>
              </w:rPr>
              <w:t>(129)</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352DE"/>
              </w:rPr>
              <w:t>Total</w:t>
            </w:r>
          </w:p>
        </w:tc>
        <w:tc>
          <w:tcPr>
            <w:tcW w:w="22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w w:val="95"/>
              </w:rPr>
              <w:t>$</w:t>
            </w: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109</w:t>
            </w:r>
          </w:p>
        </w:tc>
        <w:tc>
          <w:tcPr>
            <w:tcW w:w="740" w:type="dxa"/>
            <w:vAlign w:val="bottom"/>
            <w:tcBorders>
              <w:bottom w:val="single" w:sz="8" w:color="1352DE"/>
            </w:tcBorders>
          </w:tcPr>
          <w:p>
            <w:pPr>
              <w:jc w:val="right"/>
              <w:ind w:right="32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(62)</w:t>
            </w:r>
          </w:p>
        </w:tc>
        <w:tc>
          <w:tcPr>
            <w:tcW w:w="200" w:type="dxa"/>
            <w:vAlign w:val="bottom"/>
            <w:tcBorders>
              <w:bottom w:val="single" w:sz="8" w:color="1352DE"/>
            </w:tcBorders>
          </w:tcPr>
          <w:p>
            <w:pPr>
              <w:spacing w:after="0"/>
              <w:rPr>
                <w:sz w:val="17"/>
                <w:szCs w:val="17"/>
                <w:color w:val="auto"/>
              </w:rPr>
            </w:pPr>
          </w:p>
        </w:tc>
        <w:tc>
          <w:tcPr>
            <w:tcW w:w="26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352DE"/>
              </w:rPr>
              <w:t>$</w:t>
            </w:r>
          </w:p>
        </w:tc>
        <w:tc>
          <w:tcPr>
            <w:tcW w:w="80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b w:val="1"/>
                <w:bCs w:val="1"/>
                <w:color w:val="1352DE"/>
              </w:rPr>
              <w:t>50</w:t>
            </w:r>
          </w:p>
        </w:tc>
        <w:tc>
          <w:tcPr>
            <w:tcW w:w="680" w:type="dxa"/>
            <w:vAlign w:val="bottom"/>
            <w:tcBorders>
              <w:bottom w:val="single" w:sz="8" w:color="1352DE"/>
            </w:tcBorders>
          </w:tcPr>
          <w:p>
            <w:pPr>
              <w:jc w:val="right"/>
              <w:ind w:right="384"/>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w w:val="96"/>
              </w:rPr>
              <w:t>(266)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over-the-counter derivatives supporting the funds withheld arrangements with Fortitude Re and the embedded derivative contained within the funds withheld payable with Fortitude 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335280</wp:posOffset>
            </wp:positionV>
            <wp:extent cx="23317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10. Derivatives and Hedge Accounting</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CREDIT RISK-RELATED CONTINGENT FEATURES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at September 30, 2026, based on our outstanding financial derivative transactions, a downgrade of our long-term senior debt ratings to</w:t>
      </w:r>
    </w:p>
    <w:p>
      <w:pPr>
        <w:spacing w:after="0" w:line="32" w:lineRule="exact"/>
        <w:rPr>
          <w:sz w:val="20"/>
          <w:szCs w:val="20"/>
          <w:color w:val="auto"/>
        </w:rPr>
      </w:pPr>
    </w:p>
    <w:p>
      <w:pPr>
        <w:ind w:right="80" w:firstLine="8"/>
        <w:spacing w:after="0" w:line="288" w:lineRule="auto"/>
        <w:tabs>
          <w:tab w:leader="none" w:pos="369" w:val="left"/>
        </w:tabs>
        <w:numPr>
          <w:ilvl w:val="0"/>
          <w:numId w:val="44"/>
        </w:numPr>
        <w:rPr>
          <w:rFonts w:ascii="Arial" w:cs="Arial" w:eastAsia="Arial" w:hAnsi="Arial"/>
          <w:sz w:val="16"/>
          <w:szCs w:val="16"/>
          <w:color w:val="auto"/>
        </w:rPr>
      </w:pPr>
      <w:r>
        <w:rPr>
          <w:rFonts w:ascii="Arial" w:cs="Arial" w:eastAsia="Arial" w:hAnsi="Arial"/>
          <w:sz w:val="16"/>
          <w:szCs w:val="16"/>
          <w:color w:val="auto"/>
        </w:rPr>
        <w:t>or BBB– by Standard &amp; Poor’s Financial Services LLC, a subsidiary of S&amp;P Global Inc., and/or a downgrade to Baa2 or Baa3 by Moody’s Investors Service, Inc. would permit counterparties to make additional collateral calls and permit certain counterparties to elect early termination of contracts, resulting in corresponding collateral postings and termination payments in the total amount of up to approximately $5 million. The aggregate fair value of our derivatives that were in a net liability position and that contain such credit risk-related contingencies which can be triggered below our long-term senior debt ratings of BBB+ or Baa1 was approximately $23 million and $25 million at September 30, 2026 and December 31, 2025, respectively. The aggregate fair value of assets posted as collateral under these contracts at September 30, 2026 and December 31, 2025, was approximately $23 million and $25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234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7"/>
          <w:szCs w:val="27"/>
          <w:color w:val="001871"/>
        </w:rPr>
        <w:t>11. Insurance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LIABILITY FOR UNPAID LOSSES AND LOSS ADJUSTMENT EXPENSES (LOSS RESERVES)</w:t>
      </w:r>
    </w:p>
    <w:p>
      <w:pPr>
        <w:spacing w:after="0" w:line="11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Loss reserves represent the accumulation of estimates of unpaid claims, including estimates for claims incurred but not reported and loss adjustment expenses, less applicable discount. We regularly review and update the methods used to determine loss reserve estimates. Any adjustments resulting from this review are reflected currently in pre-tax income, except to the extent such adjustment impacts a deferred gain under a retroactive reinsurance agreement, in which case the ceded portion would be amortized into pre-tax income in subsequent periods. Because these estimates are subject to the outcome of future events, changes in estimates are common given that loss trends vary and time is often required for changes in trends to be recognized and confirmed. Reserve changes that increase previous estimates of ultimate cost are referred to as unfavorable or adverse development or reserve strengthening. Reserve changes that decrease previous estimates of ultimate cost are referred to as favorable development or reserve releases.</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Our gross loss reserves before reinsurance and discount are net of contractual deductible recoverable amounts due from policyholders of approximately $19.6 billion </w:t>
      </w:r>
      <w:r>
        <w:rPr>
          <w:rFonts w:ascii="Arial" w:cs="Arial" w:eastAsia="Arial" w:hAnsi="Arial"/>
          <w:sz w:val="13"/>
          <w:szCs w:val="13"/>
          <w:color w:val="auto"/>
        </w:rPr>
        <w:t>and</w:t>
      </w:r>
      <w:r>
        <w:rPr>
          <w:rFonts w:ascii="Arial" w:cs="Arial" w:eastAsia="Arial" w:hAnsi="Arial"/>
          <w:sz w:val="16"/>
          <w:szCs w:val="16"/>
          <w:color w:val="auto"/>
        </w:rPr>
        <w:t xml:space="preserve"> $13.8 billion at September 30, 2026 and December 31, 2025, respectively. These recoverable amounts are related to certain policies with high deductibles (in excess of high dollar amounts retained by the insured through self-insured retentions, deductibles, retrospective programs, or captive arrangements, each referred to generically as deductibles), primarily for U.S. Commercial casualty business. With respect to the deductible portion of the claim, we manage and pay the entire claim on behalf of the insured and are reimbursed by the insured for the deductible portion of the claim. Thus, these recoverable amounts represent a credit exposure to us. At September 30, 2026 and December 31, 2025 we held collateral of approximately $11.5 billion and $9.6 billion, respectively, for these deductible recoverable amounts, consisting primarily of letters of credit and funded trust agreements. Allowance for credit losses for the unsecured portion of these recoverable amounts was $14 million at both September 30, 2026 and December 31, 2025.</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rollforward of activity in loss reserves: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40" w:type="dxa"/>
            <w:vAlign w:val="bottom"/>
            <w:tcBorders>
              <w:top w:val="single" w:sz="8" w:color="1352DE"/>
            </w:tcBorders>
          </w:tcPr>
          <w:p>
            <w:pPr>
              <w:spacing w:after="0"/>
              <w:rPr>
                <w:sz w:val="14"/>
                <w:szCs w:val="14"/>
                <w:color w:val="auto"/>
              </w:rPr>
            </w:pPr>
          </w:p>
        </w:tc>
        <w:tc>
          <w:tcPr>
            <w:tcW w:w="340" w:type="dxa"/>
            <w:vAlign w:val="bottom"/>
            <w:tcBorders>
              <w:top w:val="single" w:sz="8" w:color="1352DE"/>
            </w:tcBorders>
          </w:tcPr>
          <w:p>
            <w:pPr>
              <w:spacing w:after="0"/>
              <w:rPr>
                <w:sz w:val="14"/>
                <w:szCs w:val="14"/>
                <w:color w:val="auto"/>
              </w:rPr>
            </w:pPr>
          </w:p>
        </w:tc>
        <w:tc>
          <w:tcPr>
            <w:tcW w:w="2080" w:type="dxa"/>
            <w:vAlign w:val="bottom"/>
            <w:tcBorders>
              <w:top w:val="single" w:sz="8" w:color="1352DE"/>
            </w:tcBorders>
            <w:gridSpan w:val="4"/>
          </w:tcPr>
          <w:p>
            <w:pPr>
              <w:jc w:val="center"/>
              <w:ind w:right="540"/>
              <w:spacing w:after="0"/>
              <w:rPr>
                <w:sz w:val="20"/>
                <w:szCs w:val="20"/>
                <w:color w:val="auto"/>
              </w:rPr>
            </w:pPr>
            <w:r>
              <w:rPr>
                <w:rFonts w:ascii="Arial" w:cs="Arial" w:eastAsia="Arial" w:hAnsi="Arial"/>
                <w:sz w:val="14"/>
                <w:szCs w:val="14"/>
                <w:color w:val="1252DE"/>
              </w:rPr>
              <w:t>Three Months Ended</w:t>
            </w:r>
          </w:p>
        </w:tc>
        <w:tc>
          <w:tcPr>
            <w:tcW w:w="400" w:type="dxa"/>
            <w:vAlign w:val="bottom"/>
            <w:tcBorders>
              <w:top w:val="single" w:sz="8" w:color="1352DE"/>
            </w:tcBorders>
          </w:tcPr>
          <w:p>
            <w:pPr>
              <w:spacing w:after="0"/>
              <w:rPr>
                <w:sz w:val="14"/>
                <w:szCs w:val="14"/>
                <w:color w:val="auto"/>
              </w:rPr>
            </w:pPr>
          </w:p>
        </w:tc>
        <w:tc>
          <w:tcPr>
            <w:tcW w:w="1860" w:type="dxa"/>
            <w:vAlign w:val="bottom"/>
            <w:tcBorders>
              <w:top w:val="single" w:sz="8" w:color="1352DE"/>
            </w:tcBorders>
            <w:gridSpan w:val="3"/>
          </w:tcPr>
          <w:p>
            <w:pPr>
              <w:jc w:val="center"/>
              <w:ind w:right="328"/>
              <w:spacing w:after="0"/>
              <w:rPr>
                <w:sz w:val="20"/>
                <w:szCs w:val="20"/>
                <w:color w:val="auto"/>
              </w:rPr>
            </w:pPr>
            <w:r>
              <w:rPr>
                <w:rFonts w:ascii="Arial" w:cs="Arial" w:eastAsia="Arial" w:hAnsi="Arial"/>
                <w:sz w:val="14"/>
                <w:szCs w:val="14"/>
                <w:color w:val="1252DE"/>
              </w:rPr>
              <w:t>Nine Months Ended</w:t>
            </w:r>
          </w:p>
        </w:tc>
        <w:tc>
          <w:tcPr>
            <w:tcW w:w="0" w:type="dxa"/>
            <w:vAlign w:val="bottom"/>
          </w:tcPr>
          <w:p>
            <w:pPr>
              <w:spacing w:after="0"/>
              <w:rPr>
                <w:sz w:val="1"/>
                <w:szCs w:val="1"/>
                <w:color w:val="auto"/>
              </w:rPr>
            </w:pPr>
          </w:p>
        </w:tc>
      </w:tr>
      <w:tr>
        <w:trPr>
          <w:trHeight w:val="185"/>
        </w:trPr>
        <w:tc>
          <w:tcPr>
            <w:tcW w:w="6540" w:type="dxa"/>
            <w:vAlign w:val="bottom"/>
            <w:vMerge w:val="restart"/>
          </w:tcPr>
          <w:p>
            <w:pPr>
              <w:ind w:left="20"/>
              <w:spacing w:after="0"/>
              <w:rPr>
                <w:sz w:val="20"/>
                <w:szCs w:val="20"/>
                <w:color w:val="auto"/>
              </w:rPr>
            </w:pPr>
            <w:r>
              <w:rPr>
                <w:rFonts w:ascii="Arial" w:cs="Arial" w:eastAsia="Arial" w:hAnsi="Arial"/>
                <w:sz w:val="13"/>
                <w:szCs w:val="13"/>
                <w:i w:val="1"/>
                <w:iCs w:val="1"/>
                <w:color w:val="1252DE"/>
              </w:rPr>
              <w:t>(in millions)</w:t>
            </w:r>
          </w:p>
        </w:tc>
        <w:tc>
          <w:tcPr>
            <w:tcW w:w="340" w:type="dxa"/>
            <w:vAlign w:val="bottom"/>
            <w:tcBorders>
              <w:bottom w:val="single" w:sz="8" w:color="1352DE"/>
            </w:tcBorders>
          </w:tcPr>
          <w:p>
            <w:pPr>
              <w:spacing w:after="0"/>
              <w:rPr>
                <w:sz w:val="16"/>
                <w:szCs w:val="16"/>
                <w:color w:val="auto"/>
              </w:rPr>
            </w:pPr>
          </w:p>
        </w:tc>
        <w:tc>
          <w:tcPr>
            <w:tcW w:w="1280" w:type="dxa"/>
            <w:vAlign w:val="bottom"/>
            <w:tcBorders>
              <w:bottom w:val="single" w:sz="8" w:color="1352DE"/>
            </w:tcBorders>
            <w:gridSpan w:val="2"/>
          </w:tcPr>
          <w:p>
            <w:pPr>
              <w:jc w:val="center"/>
              <w:ind w:left="188"/>
              <w:spacing w:after="0"/>
              <w:rPr>
                <w:sz w:val="20"/>
                <w:szCs w:val="20"/>
                <w:color w:val="auto"/>
              </w:rPr>
            </w:pPr>
            <w:r>
              <w:rPr>
                <w:rFonts w:ascii="Arial" w:cs="Arial" w:eastAsia="Arial" w:hAnsi="Arial"/>
                <w:sz w:val="14"/>
                <w:szCs w:val="14"/>
                <w:color w:val="1252DE"/>
              </w:rPr>
              <w:t>September 30,</w:t>
            </w:r>
          </w:p>
        </w:tc>
        <w:tc>
          <w:tcPr>
            <w:tcW w:w="600" w:type="dxa"/>
            <w:vAlign w:val="bottom"/>
            <w:tcBorders>
              <w:bottom w:val="single" w:sz="8" w:color="1352DE"/>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1260" w:type="dxa"/>
            <w:vAlign w:val="bottom"/>
            <w:tcBorders>
              <w:bottom w:val="single" w:sz="8" w:color="1352DE"/>
            </w:tcBorders>
            <w:gridSpan w:val="2"/>
          </w:tcPr>
          <w:p>
            <w:pPr>
              <w:jc w:val="center"/>
              <w:ind w:left="128"/>
              <w:spacing w:after="0"/>
              <w:rPr>
                <w:sz w:val="20"/>
                <w:szCs w:val="20"/>
                <w:color w:val="auto"/>
              </w:rPr>
            </w:pPr>
            <w:r>
              <w:rPr>
                <w:rFonts w:ascii="Arial" w:cs="Arial" w:eastAsia="Arial" w:hAnsi="Arial"/>
                <w:sz w:val="14"/>
                <w:szCs w:val="14"/>
                <w:color w:val="1252DE"/>
              </w:rPr>
              <w:t>September 30,</w:t>
            </w:r>
          </w:p>
        </w:tc>
        <w:tc>
          <w:tcPr>
            <w:tcW w:w="60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1352DE"/>
            </w:tcBorders>
            <w:vMerge w:val="continue"/>
          </w:tcPr>
          <w:p>
            <w:pPr>
              <w:spacing w:after="0"/>
              <w:rPr>
                <w:sz w:val="16"/>
                <w:szCs w:val="16"/>
                <w:color w:val="auto"/>
              </w:rPr>
            </w:pPr>
          </w:p>
        </w:tc>
        <w:tc>
          <w:tcPr>
            <w:tcW w:w="34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440" w:type="dxa"/>
            <w:vAlign w:val="bottom"/>
            <w:tcBorders>
              <w:bottom w:val="single" w:sz="8" w:color="1352DE"/>
            </w:tcBorders>
          </w:tcPr>
          <w:p>
            <w:pPr>
              <w:spacing w:after="0"/>
              <w:rPr>
                <w:sz w:val="16"/>
                <w:szCs w:val="16"/>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0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420" w:type="dxa"/>
            <w:vAlign w:val="bottom"/>
            <w:tcBorders>
              <w:bottom w:val="single" w:sz="8" w:color="1352DE"/>
            </w:tcBorders>
          </w:tcPr>
          <w:p>
            <w:pPr>
              <w:spacing w:after="0"/>
              <w:rPr>
                <w:sz w:val="16"/>
                <w:szCs w:val="16"/>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0" w:type="dxa"/>
            <w:vAlign w:val="bottom"/>
          </w:tcPr>
          <w:p>
            <w:pPr>
              <w:spacing w:after="0"/>
              <w:rPr>
                <w:sz w:val="1"/>
                <w:szCs w:val="1"/>
                <w:color w:val="auto"/>
              </w:rPr>
            </w:pPr>
          </w:p>
        </w:tc>
      </w:tr>
      <w:tr>
        <w:trPr>
          <w:trHeight w:val="195"/>
        </w:trPr>
        <w:tc>
          <w:tcPr>
            <w:tcW w:w="6540" w:type="dxa"/>
            <w:vAlign w:val="bottom"/>
          </w:tcPr>
          <w:p>
            <w:pPr>
              <w:ind w:left="20"/>
              <w:spacing w:after="0"/>
              <w:rPr>
                <w:sz w:val="20"/>
                <w:szCs w:val="20"/>
                <w:color w:val="auto"/>
              </w:rPr>
            </w:pPr>
            <w:r>
              <w:rPr>
                <w:rFonts w:ascii="Arial" w:cs="Arial" w:eastAsia="Arial" w:hAnsi="Arial"/>
                <w:sz w:val="14"/>
                <w:szCs w:val="14"/>
                <w:color w:val="auto"/>
              </w:rPr>
              <w:t>Liability for unpaid loss and loss adjustment expenses, beginning of period</w:t>
            </w:r>
          </w:p>
        </w:tc>
        <w:tc>
          <w:tcPr>
            <w:tcW w:w="34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1252DE"/>
              </w:rPr>
              <w:t>69,852</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69,754</w:t>
            </w:r>
          </w:p>
        </w:tc>
        <w:tc>
          <w:tcPr>
            <w:tcW w:w="200" w:type="dxa"/>
            <w:vAlign w:val="bottom"/>
          </w:tcPr>
          <w:p>
            <w:pPr>
              <w:spacing w:after="0"/>
              <w:rPr>
                <w:sz w:val="16"/>
                <w:szCs w:val="16"/>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1252DE"/>
              </w:rPr>
              <w:t>70,666</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69,168</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Reinsurance recoverable</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(27,858)</w:t>
            </w:r>
          </w:p>
        </w:tc>
        <w:tc>
          <w:tcPr>
            <w:tcW w:w="44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(27,866)</w:t>
            </w:r>
          </w:p>
        </w:tc>
        <w:tc>
          <w:tcPr>
            <w:tcW w:w="2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(28,871)</w:t>
            </w:r>
          </w:p>
        </w:tc>
        <w:tc>
          <w:tcPr>
            <w:tcW w:w="42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(29,026)</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Net Liability for unpaid loss and loss adjustment expenses, beginning of period</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41,994</w:t>
            </w:r>
          </w:p>
        </w:tc>
        <w:tc>
          <w:tcPr>
            <w:tcW w:w="44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41,888</w:t>
            </w:r>
          </w:p>
        </w:tc>
        <w:tc>
          <w:tcPr>
            <w:tcW w:w="2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41,795</w:t>
            </w:r>
          </w:p>
        </w:tc>
        <w:tc>
          <w:tcPr>
            <w:tcW w:w="42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40,142</w:t>
            </w:r>
          </w:p>
        </w:tc>
        <w:tc>
          <w:tcPr>
            <w:tcW w:w="0" w:type="dxa"/>
            <w:vAlign w:val="bottom"/>
          </w:tcPr>
          <w:p>
            <w:pPr>
              <w:spacing w:after="0"/>
              <w:rPr>
                <w:sz w:val="1"/>
                <w:szCs w:val="1"/>
                <w:color w:val="auto"/>
              </w:rPr>
            </w:pPr>
          </w:p>
        </w:tc>
      </w:tr>
      <w:tr>
        <w:trPr>
          <w:trHeight w:val="195"/>
        </w:trPr>
        <w:tc>
          <w:tcPr>
            <w:tcW w:w="6540" w:type="dxa"/>
            <w:vAlign w:val="bottom"/>
          </w:tcPr>
          <w:p>
            <w:pPr>
              <w:ind w:left="20"/>
              <w:spacing w:after="0"/>
              <w:rPr>
                <w:sz w:val="20"/>
                <w:szCs w:val="20"/>
                <w:color w:val="auto"/>
              </w:rPr>
            </w:pPr>
            <w:r>
              <w:rPr>
                <w:rFonts w:ascii="Arial" w:cs="Arial" w:eastAsia="Arial" w:hAnsi="Arial"/>
                <w:sz w:val="14"/>
                <w:szCs w:val="14"/>
                <w:b w:val="1"/>
                <w:bCs w:val="1"/>
                <w:color w:val="1252DE"/>
              </w:rPr>
              <w:t>Losses and loss adjustment expenses incurred:</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4"/>
                <w:szCs w:val="14"/>
                <w:color w:val="auto"/>
              </w:rPr>
              <w:t>Current year</w:t>
            </w:r>
          </w:p>
        </w:tc>
        <w:tc>
          <w:tcPr>
            <w:tcW w:w="3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1252DE"/>
              </w:rPr>
              <w:t>4,018</w:t>
            </w:r>
          </w:p>
        </w:tc>
        <w:tc>
          <w:tcPr>
            <w:tcW w:w="44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3,572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1252DE"/>
              </w:rPr>
              <w:t>11,458</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10,904</w:t>
            </w: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4"/>
                <w:szCs w:val="14"/>
                <w:color w:val="auto"/>
              </w:rPr>
              <w:t>Prior years, excluding discount and amortization of deferred gain</w:t>
            </w:r>
          </w:p>
        </w:tc>
        <w:tc>
          <w:tcPr>
            <w:tcW w:w="3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1252DE"/>
              </w:rPr>
              <w:t>(70)</w:t>
            </w: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1252DE"/>
              </w:rPr>
              <w:t>(442)</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4"/>
                <w:szCs w:val="14"/>
                <w:color w:val="auto"/>
              </w:rPr>
              <w:t>Prior years, discount charge (benefit)</w:t>
            </w:r>
          </w:p>
        </w:tc>
        <w:tc>
          <w:tcPr>
            <w:tcW w:w="3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1252DE"/>
              </w:rPr>
              <w:t>113</w:t>
            </w:r>
          </w:p>
        </w:tc>
        <w:tc>
          <w:tcPr>
            <w:tcW w:w="44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1252DE"/>
              </w:rPr>
              <w:t>131</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5"/>
        </w:trPr>
        <w:tc>
          <w:tcPr>
            <w:tcW w:w="6540" w:type="dxa"/>
            <w:vAlign w:val="bottom"/>
            <w:tcBorders>
              <w:bottom w:val="single" w:sz="8" w:color="1352DE"/>
            </w:tcBorders>
          </w:tcPr>
          <w:p>
            <w:pPr>
              <w:ind w:left="140"/>
              <w:spacing w:after="0" w:line="205" w:lineRule="exact"/>
              <w:rPr>
                <w:sz w:val="20"/>
                <w:szCs w:val="20"/>
                <w:color w:val="auto"/>
              </w:rPr>
            </w:pPr>
            <w:r>
              <w:rPr>
                <w:rFonts w:ascii="Arial" w:cs="Arial" w:eastAsia="Arial" w:hAnsi="Arial"/>
                <w:sz w:val="14"/>
                <w:szCs w:val="14"/>
                <w:color w:val="auto"/>
              </w:rPr>
              <w:t>Prior years, amortization of deferred gain on retroactive reinsurance</w:t>
            </w:r>
            <w:r>
              <w:rPr>
                <w:rFonts w:ascii="Arial" w:cs="Arial" w:eastAsia="Arial" w:hAnsi="Arial"/>
                <w:sz w:val="18"/>
                <w:szCs w:val="18"/>
                <w:color w:val="auto"/>
                <w:vertAlign w:val="superscript"/>
              </w:rPr>
              <w:t>(a)</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(38)</w:t>
            </w:r>
          </w:p>
        </w:tc>
        <w:tc>
          <w:tcPr>
            <w:tcW w:w="44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(54)</w:t>
            </w:r>
          </w:p>
        </w:tc>
        <w:tc>
          <w:tcPr>
            <w:tcW w:w="2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(65)</w:t>
            </w:r>
          </w:p>
        </w:tc>
        <w:tc>
          <w:tcPr>
            <w:tcW w:w="42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5"/>
        </w:trPr>
        <w:tc>
          <w:tcPr>
            <w:tcW w:w="65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losses and loss adjustment expenses incurred</w:t>
            </w:r>
          </w:p>
        </w:tc>
        <w:tc>
          <w:tcPr>
            <w:tcW w:w="34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4,023</w:t>
            </w:r>
          </w:p>
        </w:tc>
        <w:tc>
          <w:tcPr>
            <w:tcW w:w="440" w:type="dxa"/>
            <w:vAlign w:val="bottom"/>
            <w:tcBorders>
              <w:bottom w:val="single" w:sz="8" w:color="1352DE"/>
            </w:tcBorders>
          </w:tcPr>
          <w:p>
            <w:pPr>
              <w:spacing w:after="0"/>
              <w:rPr>
                <w:sz w:val="16"/>
                <w:szCs w:val="16"/>
                <w:color w:val="auto"/>
              </w:rPr>
            </w:pPr>
          </w:p>
        </w:tc>
        <w:tc>
          <w:tcPr>
            <w:tcW w:w="6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3,391</w:t>
            </w:r>
          </w:p>
        </w:tc>
        <w:tc>
          <w:tcPr>
            <w:tcW w:w="20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11,082</w:t>
            </w:r>
          </w:p>
        </w:tc>
        <w:tc>
          <w:tcPr>
            <w:tcW w:w="420" w:type="dxa"/>
            <w:vAlign w:val="bottom"/>
            <w:tcBorders>
              <w:bottom w:val="single" w:sz="8" w:color="1352DE"/>
            </w:tcBorders>
          </w:tcPr>
          <w:p>
            <w:pPr>
              <w:spacing w:after="0"/>
              <w:rPr>
                <w:sz w:val="16"/>
                <w:szCs w:val="16"/>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10,678</w:t>
            </w:r>
          </w:p>
        </w:tc>
        <w:tc>
          <w:tcPr>
            <w:tcW w:w="0" w:type="dxa"/>
            <w:vAlign w:val="bottom"/>
          </w:tcPr>
          <w:p>
            <w:pPr>
              <w:spacing w:after="0"/>
              <w:rPr>
                <w:sz w:val="1"/>
                <w:szCs w:val="1"/>
                <w:color w:val="auto"/>
              </w:rPr>
            </w:pPr>
          </w:p>
        </w:tc>
      </w:tr>
      <w:tr>
        <w:trPr>
          <w:trHeight w:val="195"/>
        </w:trPr>
        <w:tc>
          <w:tcPr>
            <w:tcW w:w="6540" w:type="dxa"/>
            <w:vAlign w:val="bottom"/>
          </w:tcPr>
          <w:p>
            <w:pPr>
              <w:ind w:left="20"/>
              <w:spacing w:after="0"/>
              <w:rPr>
                <w:sz w:val="20"/>
                <w:szCs w:val="20"/>
                <w:color w:val="auto"/>
              </w:rPr>
            </w:pPr>
            <w:r>
              <w:rPr>
                <w:rFonts w:ascii="Arial" w:cs="Arial" w:eastAsia="Arial" w:hAnsi="Arial"/>
                <w:sz w:val="14"/>
                <w:szCs w:val="14"/>
                <w:b w:val="1"/>
                <w:bCs w:val="1"/>
                <w:color w:val="1252DE"/>
              </w:rPr>
              <w:t>Losses and loss adjustment expenses paid:</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4"/>
                <w:szCs w:val="14"/>
                <w:color w:val="auto"/>
              </w:rPr>
              <w:t>Current year</w:t>
            </w:r>
          </w:p>
        </w:tc>
        <w:tc>
          <w:tcPr>
            <w:tcW w:w="3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1252DE"/>
              </w:rPr>
              <w:t>(1,020)</w:t>
            </w: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(1,262)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1252DE"/>
              </w:rPr>
              <w:t>(2,385)</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(2,714)</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Prior years</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(2,108)</w:t>
            </w:r>
          </w:p>
        </w:tc>
        <w:tc>
          <w:tcPr>
            <w:tcW w:w="44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(2,371)</w:t>
            </w:r>
          </w:p>
        </w:tc>
        <w:tc>
          <w:tcPr>
            <w:tcW w:w="2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(7,357)</w:t>
            </w:r>
          </w:p>
        </w:tc>
        <w:tc>
          <w:tcPr>
            <w:tcW w:w="42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(7,901)</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losses and loss adjustment expenses paid</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(3,128)</w:t>
            </w:r>
          </w:p>
        </w:tc>
        <w:tc>
          <w:tcPr>
            <w:tcW w:w="44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(3,633)</w:t>
            </w:r>
          </w:p>
        </w:tc>
        <w:tc>
          <w:tcPr>
            <w:tcW w:w="2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(9,742)</w:t>
            </w:r>
          </w:p>
        </w:tc>
        <w:tc>
          <w:tcPr>
            <w:tcW w:w="42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(10,615)</w:t>
            </w:r>
          </w:p>
        </w:tc>
        <w:tc>
          <w:tcPr>
            <w:tcW w:w="0" w:type="dxa"/>
            <w:vAlign w:val="bottom"/>
          </w:tcPr>
          <w:p>
            <w:pPr>
              <w:spacing w:after="0"/>
              <w:rPr>
                <w:sz w:val="1"/>
                <w:szCs w:val="1"/>
                <w:color w:val="auto"/>
              </w:rPr>
            </w:pPr>
          </w:p>
        </w:tc>
      </w:tr>
      <w:tr>
        <w:trPr>
          <w:trHeight w:val="195"/>
        </w:trPr>
        <w:tc>
          <w:tcPr>
            <w:tcW w:w="6540" w:type="dxa"/>
            <w:vAlign w:val="bottom"/>
          </w:tcPr>
          <w:p>
            <w:pPr>
              <w:ind w:left="20"/>
              <w:spacing w:after="0"/>
              <w:rPr>
                <w:sz w:val="20"/>
                <w:szCs w:val="20"/>
                <w:color w:val="auto"/>
              </w:rPr>
            </w:pPr>
            <w:r>
              <w:rPr>
                <w:rFonts w:ascii="Arial" w:cs="Arial" w:eastAsia="Arial" w:hAnsi="Arial"/>
                <w:sz w:val="14"/>
                <w:szCs w:val="14"/>
                <w:b w:val="1"/>
                <w:bCs w:val="1"/>
                <w:color w:val="1252DE"/>
              </w:rPr>
              <w:t>Other changes:</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4"/>
                <w:szCs w:val="14"/>
                <w:color w:val="auto"/>
              </w:rPr>
              <w:t>Foreign exchange effect</w:t>
            </w:r>
          </w:p>
        </w:tc>
        <w:tc>
          <w:tcPr>
            <w:tcW w:w="3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1252DE"/>
              </w:rPr>
              <w:t>29</w:t>
            </w: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1252DE"/>
              </w:rPr>
              <w:t>(191)</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Arial" w:cs="Arial" w:eastAsia="Arial" w:hAnsi="Arial"/>
                <w:sz w:val="14"/>
                <w:szCs w:val="14"/>
                <w:color w:val="auto"/>
              </w:rPr>
              <w:t>Losses and loss adjustment expenses recognized within net (gain) loss on divestitures</w:t>
            </w:r>
          </w:p>
        </w:tc>
        <w:tc>
          <w:tcPr>
            <w:tcW w:w="3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1252DE"/>
              </w:rPr>
              <w:t>(2)</w:t>
            </w:r>
          </w:p>
        </w:tc>
        <w:tc>
          <w:tcPr>
            <w:tcW w:w="44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1252DE"/>
              </w:rPr>
              <w:t>(3)</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6"/>
        </w:trPr>
        <w:tc>
          <w:tcPr>
            <w:tcW w:w="6540" w:type="dxa"/>
            <w:vAlign w:val="bottom"/>
          </w:tcPr>
          <w:p>
            <w:pPr>
              <w:ind w:left="140"/>
              <w:spacing w:after="0"/>
              <w:rPr>
                <w:sz w:val="20"/>
                <w:szCs w:val="20"/>
                <w:color w:val="auto"/>
              </w:rPr>
            </w:pPr>
            <w:r>
              <w:rPr>
                <w:rFonts w:ascii="Arial" w:cs="Arial" w:eastAsia="Arial" w:hAnsi="Arial"/>
                <w:sz w:val="14"/>
                <w:szCs w:val="14"/>
                <w:color w:val="auto"/>
              </w:rPr>
              <w:t>Retroactive reinsurance adjustment (net of discount)</w:t>
            </w:r>
            <w:r>
              <w:rPr>
                <w:rFonts w:ascii="Arial" w:cs="Arial" w:eastAsia="Arial" w:hAnsi="Arial"/>
                <w:sz w:val="18"/>
                <w:szCs w:val="18"/>
                <w:color w:val="auto"/>
                <w:vertAlign w:val="superscript"/>
              </w:rPr>
              <w:t>(b)</w:t>
            </w:r>
          </w:p>
        </w:tc>
        <w:tc>
          <w:tcPr>
            <w:tcW w:w="3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1252DE"/>
              </w:rPr>
              <w:t>(9)</w:t>
            </w:r>
          </w:p>
        </w:tc>
        <w:tc>
          <w:tcPr>
            <w:tcW w:w="44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1252DE"/>
              </w:rPr>
              <w:t>107</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1"/>
        </w:trPr>
        <w:tc>
          <w:tcPr>
            <w:tcW w:w="6540" w:type="dxa"/>
            <w:vAlign w:val="bottom"/>
            <w:tcBorders>
              <w:bottom w:val="single" w:sz="8" w:color="1352DE"/>
            </w:tcBorders>
          </w:tcPr>
          <w:p>
            <w:pPr>
              <w:ind w:left="140"/>
              <w:spacing w:after="0" w:line="201" w:lineRule="exact"/>
              <w:rPr>
                <w:sz w:val="20"/>
                <w:szCs w:val="20"/>
                <w:color w:val="auto"/>
              </w:rPr>
            </w:pPr>
            <w:r>
              <w:rPr>
                <w:rFonts w:ascii="Arial" w:cs="Arial" w:eastAsia="Arial" w:hAnsi="Arial"/>
                <w:sz w:val="14"/>
                <w:szCs w:val="14"/>
                <w:color w:val="auto"/>
              </w:rPr>
              <w:t>Other, net of reinsurance recoverables</w:t>
            </w:r>
            <w:r>
              <w:rPr>
                <w:rFonts w:ascii="Arial" w:cs="Arial" w:eastAsia="Arial" w:hAnsi="Arial"/>
                <w:sz w:val="18"/>
                <w:szCs w:val="18"/>
                <w:color w:val="auto"/>
                <w:vertAlign w:val="superscript"/>
              </w:rPr>
              <w:t>(c)</w:t>
            </w:r>
          </w:p>
        </w:tc>
        <w:tc>
          <w:tcPr>
            <w:tcW w:w="34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8</w:t>
            </w:r>
          </w:p>
        </w:tc>
        <w:tc>
          <w:tcPr>
            <w:tcW w:w="44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1352DE"/>
            </w:tcBorders>
          </w:tcPr>
          <w:p>
            <w:pPr>
              <w:spacing w:after="0"/>
              <w:rPr>
                <w:sz w:val="17"/>
                <w:szCs w:val="17"/>
                <w:color w:val="auto"/>
              </w:rPr>
            </w:pPr>
          </w:p>
        </w:tc>
        <w:tc>
          <w:tcPr>
            <w:tcW w:w="8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(133)</w:t>
            </w:r>
          </w:p>
        </w:tc>
        <w:tc>
          <w:tcPr>
            <w:tcW w:w="42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5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other changes</w:t>
            </w:r>
          </w:p>
        </w:tc>
        <w:tc>
          <w:tcPr>
            <w:tcW w:w="34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26</w:t>
            </w:r>
          </w:p>
        </w:tc>
        <w:tc>
          <w:tcPr>
            <w:tcW w:w="440" w:type="dxa"/>
            <w:vAlign w:val="bottom"/>
            <w:tcBorders>
              <w:bottom w:val="single" w:sz="8" w:color="1352DE"/>
            </w:tcBorders>
          </w:tcPr>
          <w:p>
            <w:pPr>
              <w:spacing w:after="0"/>
              <w:rPr>
                <w:sz w:val="16"/>
                <w:szCs w:val="16"/>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(220)</w:t>
            </w:r>
          </w:p>
        </w:tc>
        <w:tc>
          <w:tcPr>
            <w:tcW w:w="420" w:type="dxa"/>
            <w:vAlign w:val="bottom"/>
            <w:tcBorders>
              <w:bottom w:val="single" w:sz="8" w:color="1352DE"/>
            </w:tcBorders>
          </w:tcPr>
          <w:p>
            <w:pPr>
              <w:spacing w:after="0"/>
              <w:rPr>
                <w:sz w:val="16"/>
                <w:szCs w:val="16"/>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24771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760" w:hanging="734"/>
        <w:spacing w:after="0"/>
        <w:tabs>
          <w:tab w:leader="none" w:pos="760" w:val="left"/>
        </w:tabs>
        <w:numPr>
          <w:ilvl w:val="0"/>
          <w:numId w:val="45"/>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11. Insurance Liabilities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Borders>
              <w:top w:val="single" w:sz="8" w:color="1352DE"/>
            </w:tcBorders>
          </w:tcPr>
          <w:p>
            <w:pPr>
              <w:spacing w:after="0"/>
              <w:rPr>
                <w:sz w:val="14"/>
                <w:szCs w:val="14"/>
                <w:color w:val="auto"/>
              </w:rPr>
            </w:pPr>
          </w:p>
        </w:tc>
        <w:tc>
          <w:tcPr>
            <w:tcW w:w="340" w:type="dxa"/>
            <w:vAlign w:val="bottom"/>
            <w:tcBorders>
              <w:top w:val="single" w:sz="8" w:color="1352DE"/>
            </w:tcBorders>
          </w:tcPr>
          <w:p>
            <w:pPr>
              <w:spacing w:after="0"/>
              <w:rPr>
                <w:sz w:val="14"/>
                <w:szCs w:val="14"/>
                <w:color w:val="auto"/>
              </w:rPr>
            </w:pPr>
          </w:p>
        </w:tc>
        <w:tc>
          <w:tcPr>
            <w:tcW w:w="2080" w:type="dxa"/>
            <w:vAlign w:val="bottom"/>
            <w:tcBorders>
              <w:top w:val="single" w:sz="8" w:color="1352DE"/>
            </w:tcBorders>
            <w:gridSpan w:val="4"/>
          </w:tcPr>
          <w:p>
            <w:pPr>
              <w:jc w:val="center"/>
              <w:ind w:right="540"/>
              <w:spacing w:after="0"/>
              <w:rPr>
                <w:sz w:val="20"/>
                <w:szCs w:val="20"/>
                <w:color w:val="auto"/>
              </w:rPr>
            </w:pPr>
            <w:r>
              <w:rPr>
                <w:rFonts w:ascii="Arial" w:cs="Arial" w:eastAsia="Arial" w:hAnsi="Arial"/>
                <w:sz w:val="14"/>
                <w:szCs w:val="14"/>
                <w:color w:val="1252DE"/>
              </w:rPr>
              <w:t>Three Months Ended</w:t>
            </w:r>
          </w:p>
        </w:tc>
        <w:tc>
          <w:tcPr>
            <w:tcW w:w="400" w:type="dxa"/>
            <w:vAlign w:val="bottom"/>
            <w:tcBorders>
              <w:top w:val="single" w:sz="8" w:color="1352DE"/>
            </w:tcBorders>
          </w:tcPr>
          <w:p>
            <w:pPr>
              <w:spacing w:after="0"/>
              <w:rPr>
                <w:sz w:val="14"/>
                <w:szCs w:val="14"/>
                <w:color w:val="auto"/>
              </w:rPr>
            </w:pPr>
          </w:p>
        </w:tc>
        <w:tc>
          <w:tcPr>
            <w:tcW w:w="1860" w:type="dxa"/>
            <w:vAlign w:val="bottom"/>
            <w:tcBorders>
              <w:top w:val="single" w:sz="8" w:color="1352DE"/>
            </w:tcBorders>
            <w:gridSpan w:val="3"/>
          </w:tcPr>
          <w:p>
            <w:pPr>
              <w:jc w:val="center"/>
              <w:ind w:right="328"/>
              <w:spacing w:after="0"/>
              <w:rPr>
                <w:sz w:val="20"/>
                <w:szCs w:val="20"/>
                <w:color w:val="auto"/>
              </w:rPr>
            </w:pPr>
            <w:r>
              <w:rPr>
                <w:rFonts w:ascii="Arial" w:cs="Arial" w:eastAsia="Arial" w:hAnsi="Arial"/>
                <w:sz w:val="14"/>
                <w:szCs w:val="14"/>
                <w:color w:val="1252DE"/>
              </w:rPr>
              <w:t>Nine Months Ended</w:t>
            </w:r>
          </w:p>
        </w:tc>
      </w:tr>
      <w:tr>
        <w:trPr>
          <w:trHeight w:val="189"/>
        </w:trPr>
        <w:tc>
          <w:tcPr>
            <w:tcW w:w="6540" w:type="dxa"/>
            <w:vAlign w:val="bottom"/>
          </w:tcPr>
          <w:p>
            <w:pPr>
              <w:spacing w:after="0"/>
              <w:rPr>
                <w:sz w:val="16"/>
                <w:szCs w:val="16"/>
                <w:color w:val="auto"/>
              </w:rPr>
            </w:pPr>
          </w:p>
        </w:tc>
        <w:tc>
          <w:tcPr>
            <w:tcW w:w="340" w:type="dxa"/>
            <w:vAlign w:val="bottom"/>
            <w:tcBorders>
              <w:bottom w:val="single" w:sz="8" w:color="1352DE"/>
            </w:tcBorders>
          </w:tcPr>
          <w:p>
            <w:pPr>
              <w:spacing w:after="0"/>
              <w:rPr>
                <w:sz w:val="16"/>
                <w:szCs w:val="16"/>
                <w:color w:val="auto"/>
              </w:rPr>
            </w:pPr>
          </w:p>
        </w:tc>
        <w:tc>
          <w:tcPr>
            <w:tcW w:w="1300" w:type="dxa"/>
            <w:vAlign w:val="bottom"/>
            <w:tcBorders>
              <w:bottom w:val="single" w:sz="8" w:color="1352DE"/>
            </w:tcBorders>
            <w:gridSpan w:val="2"/>
          </w:tcPr>
          <w:p>
            <w:pPr>
              <w:jc w:val="center"/>
              <w:ind w:left="168"/>
              <w:spacing w:after="0"/>
              <w:rPr>
                <w:sz w:val="20"/>
                <w:szCs w:val="20"/>
                <w:color w:val="auto"/>
              </w:rPr>
            </w:pPr>
            <w:r>
              <w:rPr>
                <w:rFonts w:ascii="Arial" w:cs="Arial" w:eastAsia="Arial" w:hAnsi="Arial"/>
                <w:sz w:val="14"/>
                <w:szCs w:val="14"/>
                <w:color w:val="1252DE"/>
              </w:rPr>
              <w:t>September 30,</w:t>
            </w:r>
          </w:p>
        </w:tc>
        <w:tc>
          <w:tcPr>
            <w:tcW w:w="580" w:type="dxa"/>
            <w:vAlign w:val="bottom"/>
            <w:tcBorders>
              <w:bottom w:val="single" w:sz="8" w:color="1352DE"/>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1280" w:type="dxa"/>
            <w:vAlign w:val="bottom"/>
            <w:tcBorders>
              <w:bottom w:val="single" w:sz="8" w:color="1352DE"/>
            </w:tcBorders>
            <w:gridSpan w:val="2"/>
          </w:tcPr>
          <w:p>
            <w:pPr>
              <w:jc w:val="center"/>
              <w:ind w:left="108"/>
              <w:spacing w:after="0"/>
              <w:rPr>
                <w:sz w:val="20"/>
                <w:szCs w:val="20"/>
                <w:color w:val="auto"/>
              </w:rPr>
            </w:pPr>
            <w:r>
              <w:rPr>
                <w:rFonts w:ascii="Arial" w:cs="Arial" w:eastAsia="Arial" w:hAnsi="Arial"/>
                <w:sz w:val="14"/>
                <w:szCs w:val="14"/>
                <w:color w:val="1252DE"/>
              </w:rPr>
              <w:t>September 30,</w:t>
            </w:r>
          </w:p>
        </w:tc>
        <w:tc>
          <w:tcPr>
            <w:tcW w:w="580" w:type="dxa"/>
            <w:vAlign w:val="bottom"/>
            <w:tcBorders>
              <w:bottom w:val="single" w:sz="8" w:color="1352DE"/>
            </w:tcBorders>
          </w:tcPr>
          <w:p>
            <w:pPr>
              <w:spacing w:after="0"/>
              <w:rPr>
                <w:sz w:val="16"/>
                <w:szCs w:val="16"/>
                <w:color w:val="auto"/>
              </w:rPr>
            </w:pPr>
          </w:p>
        </w:tc>
      </w:tr>
      <w:tr>
        <w:trPr>
          <w:trHeight w:val="195"/>
        </w:trPr>
        <w:tc>
          <w:tcPr>
            <w:tcW w:w="6540" w:type="dxa"/>
            <w:vAlign w:val="bottom"/>
            <w:tcBorders>
              <w:bottom w:val="single" w:sz="8" w:color="1352DE"/>
            </w:tcBorders>
          </w:tcPr>
          <w:p>
            <w:pPr>
              <w:ind w:left="20"/>
              <w:spacing w:after="0" w:line="144" w:lineRule="exact"/>
              <w:rPr>
                <w:sz w:val="20"/>
                <w:szCs w:val="20"/>
                <w:color w:val="auto"/>
              </w:rPr>
            </w:pPr>
            <w:r>
              <w:rPr>
                <w:rFonts w:ascii="Arial" w:cs="Arial" w:eastAsia="Arial" w:hAnsi="Arial"/>
                <w:sz w:val="13"/>
                <w:szCs w:val="13"/>
                <w:i w:val="1"/>
                <w:iCs w:val="1"/>
                <w:color w:val="1252DE"/>
              </w:rPr>
              <w:t>(in millions)</w:t>
            </w:r>
          </w:p>
        </w:tc>
        <w:tc>
          <w:tcPr>
            <w:tcW w:w="34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460" w:type="dxa"/>
            <w:vAlign w:val="bottom"/>
            <w:tcBorders>
              <w:bottom w:val="single" w:sz="8" w:color="1352DE"/>
            </w:tcBorders>
          </w:tcPr>
          <w:p>
            <w:pPr>
              <w:spacing w:after="0"/>
              <w:rPr>
                <w:sz w:val="16"/>
                <w:szCs w:val="16"/>
                <w:color w:val="auto"/>
              </w:rPr>
            </w:pP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0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440" w:type="dxa"/>
            <w:vAlign w:val="bottom"/>
            <w:tcBorders>
              <w:bottom w:val="single" w:sz="8" w:color="1352DE"/>
            </w:tcBorders>
          </w:tcPr>
          <w:p>
            <w:pPr>
              <w:spacing w:after="0"/>
              <w:rPr>
                <w:sz w:val="16"/>
                <w:szCs w:val="16"/>
                <w:color w:val="auto"/>
              </w:rPr>
            </w:pP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r>
      <w:tr>
        <w:trPr>
          <w:trHeight w:val="195"/>
        </w:trPr>
        <w:tc>
          <w:tcPr>
            <w:tcW w:w="6540" w:type="dxa"/>
            <w:vAlign w:val="bottom"/>
          </w:tcPr>
          <w:p>
            <w:pPr>
              <w:ind w:left="20"/>
              <w:spacing w:after="0"/>
              <w:rPr>
                <w:sz w:val="20"/>
                <w:szCs w:val="20"/>
                <w:color w:val="auto"/>
              </w:rPr>
            </w:pPr>
            <w:r>
              <w:rPr>
                <w:rFonts w:ascii="Arial" w:cs="Arial" w:eastAsia="Arial" w:hAnsi="Arial"/>
                <w:sz w:val="14"/>
                <w:szCs w:val="14"/>
                <w:b w:val="1"/>
                <w:bCs w:val="1"/>
                <w:color w:val="1252DE"/>
              </w:rPr>
              <w:t>Liability for unpaid loss and loss adjustment expenses, end of period:</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5"/>
        </w:trPr>
        <w:tc>
          <w:tcPr>
            <w:tcW w:w="6540" w:type="dxa"/>
            <w:vAlign w:val="bottom"/>
          </w:tcPr>
          <w:p>
            <w:pPr>
              <w:ind w:left="20"/>
              <w:spacing w:after="0"/>
              <w:rPr>
                <w:sz w:val="20"/>
                <w:szCs w:val="20"/>
                <w:color w:val="auto"/>
              </w:rPr>
            </w:pPr>
            <w:r>
              <w:rPr>
                <w:rFonts w:ascii="Arial" w:cs="Arial" w:eastAsia="Arial" w:hAnsi="Arial"/>
                <w:sz w:val="14"/>
                <w:szCs w:val="14"/>
                <w:color w:val="auto"/>
              </w:rPr>
              <w:t>Net liability for unpaid losses and loss adjustment expenses</w:t>
            </w:r>
          </w:p>
        </w:tc>
        <w:tc>
          <w:tcPr>
            <w:tcW w:w="3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1252DE"/>
              </w:rPr>
              <w:t>42,915</w:t>
            </w:r>
          </w:p>
        </w:tc>
        <w:tc>
          <w:tcPr>
            <w:tcW w:w="4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41,634</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1252DE"/>
              </w:rPr>
              <w:t>42,915</w:t>
            </w: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41,634</w:t>
            </w:r>
          </w:p>
        </w:tc>
      </w:tr>
      <w:tr>
        <w:trPr>
          <w:trHeight w:val="211"/>
        </w:trPr>
        <w:tc>
          <w:tcPr>
            <w:tcW w:w="6540" w:type="dxa"/>
            <w:vAlign w:val="bottom"/>
            <w:tcBorders>
              <w:bottom w:val="single" w:sz="8" w:color="1352DE"/>
            </w:tcBorders>
          </w:tcPr>
          <w:p>
            <w:pPr>
              <w:ind w:left="40"/>
              <w:spacing w:after="0"/>
              <w:rPr>
                <w:sz w:val="20"/>
                <w:szCs w:val="20"/>
                <w:color w:val="auto"/>
              </w:rPr>
            </w:pPr>
            <w:r>
              <w:rPr>
                <w:rFonts w:ascii="Arial" w:cs="Arial" w:eastAsia="Arial" w:hAnsi="Arial"/>
                <w:sz w:val="14"/>
                <w:szCs w:val="14"/>
                <w:color w:val="auto"/>
              </w:rPr>
              <w:t>Reinsurance recoverable</w:t>
            </w:r>
          </w:p>
        </w:tc>
        <w:tc>
          <w:tcPr>
            <w:tcW w:w="340" w:type="dxa"/>
            <w:vAlign w:val="bottom"/>
            <w:tcBorders>
              <w:bottom w:val="single" w:sz="8" w:color="1352DE"/>
            </w:tcBorders>
          </w:tcPr>
          <w:p>
            <w:pPr>
              <w:spacing w:after="0"/>
              <w:rPr>
                <w:sz w:val="18"/>
                <w:szCs w:val="18"/>
                <w:color w:val="auto"/>
              </w:rPr>
            </w:pPr>
          </w:p>
        </w:tc>
        <w:tc>
          <w:tcPr>
            <w:tcW w:w="8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27,267</w:t>
            </w:r>
          </w:p>
        </w:tc>
        <w:tc>
          <w:tcPr>
            <w:tcW w:w="460" w:type="dxa"/>
            <w:vAlign w:val="bottom"/>
            <w:tcBorders>
              <w:bottom w:val="single" w:sz="8" w:color="1352DE"/>
            </w:tcBorders>
          </w:tcPr>
          <w:p>
            <w:pPr>
              <w:spacing w:after="0"/>
              <w:rPr>
                <w:sz w:val="18"/>
                <w:szCs w:val="18"/>
                <w:color w:val="auto"/>
              </w:rPr>
            </w:pPr>
          </w:p>
        </w:tc>
        <w:tc>
          <w:tcPr>
            <w:tcW w:w="5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28,248</w:t>
            </w:r>
          </w:p>
        </w:tc>
        <w:tc>
          <w:tcPr>
            <w:tcW w:w="200" w:type="dxa"/>
            <w:vAlign w:val="bottom"/>
            <w:tcBorders>
              <w:bottom w:val="single" w:sz="8" w:color="1352DE"/>
            </w:tcBorders>
          </w:tcPr>
          <w:p>
            <w:pPr>
              <w:spacing w:after="0"/>
              <w:rPr>
                <w:sz w:val="18"/>
                <w:szCs w:val="18"/>
                <w:color w:val="auto"/>
              </w:rPr>
            </w:pPr>
          </w:p>
        </w:tc>
        <w:tc>
          <w:tcPr>
            <w:tcW w:w="400" w:type="dxa"/>
            <w:vAlign w:val="bottom"/>
            <w:tcBorders>
              <w:bottom w:val="single" w:sz="8" w:color="1352DE"/>
            </w:tcBorders>
          </w:tcPr>
          <w:p>
            <w:pPr>
              <w:spacing w:after="0"/>
              <w:rPr>
                <w:sz w:val="18"/>
                <w:szCs w:val="18"/>
                <w:color w:val="auto"/>
              </w:rPr>
            </w:pPr>
          </w:p>
        </w:tc>
        <w:tc>
          <w:tcPr>
            <w:tcW w:w="84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27,267</w:t>
            </w:r>
          </w:p>
        </w:tc>
        <w:tc>
          <w:tcPr>
            <w:tcW w:w="440" w:type="dxa"/>
            <w:vAlign w:val="bottom"/>
            <w:tcBorders>
              <w:bottom w:val="single" w:sz="8" w:color="1352DE"/>
            </w:tcBorders>
          </w:tcPr>
          <w:p>
            <w:pPr>
              <w:spacing w:after="0"/>
              <w:rPr>
                <w:sz w:val="18"/>
                <w:szCs w:val="18"/>
                <w:color w:val="auto"/>
              </w:rPr>
            </w:pP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28,248</w:t>
            </w:r>
          </w:p>
        </w:tc>
      </w:tr>
      <w:tr>
        <w:trPr>
          <w:trHeight w:val="196"/>
        </w:trPr>
        <w:tc>
          <w:tcPr>
            <w:tcW w:w="65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3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8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70,182</w:t>
            </w:r>
          </w:p>
        </w:tc>
        <w:tc>
          <w:tcPr>
            <w:tcW w:w="460" w:type="dxa"/>
            <w:vAlign w:val="bottom"/>
            <w:tcBorders>
              <w:bottom w:val="single" w:sz="8" w:color="1352DE"/>
            </w:tcBorders>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69,882</w:t>
            </w:r>
          </w:p>
        </w:tc>
        <w:tc>
          <w:tcPr>
            <w:tcW w:w="2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84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70,182</w:t>
            </w:r>
          </w:p>
        </w:tc>
        <w:tc>
          <w:tcPr>
            <w:tcW w:w="44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69,882</w:t>
            </w:r>
          </w:p>
        </w:tc>
      </w:tr>
    </w:tbl>
    <w:p>
      <w:pPr>
        <w:spacing w:after="0" w:line="144" w:lineRule="exact"/>
        <w:rPr>
          <w:sz w:val="20"/>
          <w:szCs w:val="20"/>
          <w:color w:val="auto"/>
        </w:rPr>
      </w:pPr>
    </w:p>
    <w:p>
      <w:pPr>
        <w:ind w:left="220" w:right="120" w:hanging="212"/>
        <w:spacing w:after="0" w:line="306" w:lineRule="auto"/>
        <w:tabs>
          <w:tab w:leader="none" w:pos="2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$8 million and $14 million for the retroactive reinsurance agreement with National Indemnity Company (NICO), a subsidiary of Berkshire Hathaway Inc. (Berkshire), covering U.S. asbestos exposures for the three months ended September 30, 2026 and 2025, respectively, and $31 million and $26 million for the nine months ended September 30, 2026 and 2025, respectively.</w:t>
      </w:r>
    </w:p>
    <w:p>
      <w:pPr>
        <w:spacing w:after="0" w:line="26" w:lineRule="exact"/>
        <w:rPr>
          <w:rFonts w:ascii="Arial" w:cs="Arial" w:eastAsia="Arial" w:hAnsi="Arial"/>
          <w:sz w:val="12"/>
          <w:szCs w:val="12"/>
          <w:color w:val="auto"/>
        </w:rPr>
      </w:pPr>
    </w:p>
    <w:p>
      <w:pPr>
        <w:ind w:left="220" w:right="220" w:hanging="212"/>
        <w:spacing w:after="0" w:line="286" w:lineRule="auto"/>
        <w:tabs>
          <w:tab w:leader="none" w:pos="208"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benefit (charge) from change in discount on retroactive reinsurance of $54 million and $7 million for the three months ended September 30, 2026 and 2025 respectively, and $126 million and $27 million for the nine months ended September 30, 2026 and 2025, respectively.</w:t>
      </w:r>
    </w:p>
    <w:p>
      <w:pPr>
        <w:spacing w:after="0" w:line="35" w:lineRule="exact"/>
        <w:rPr>
          <w:rFonts w:ascii="Arial" w:cs="Arial" w:eastAsia="Arial" w:hAnsi="Arial"/>
          <w:sz w:val="13"/>
          <w:szCs w:val="13"/>
          <w:color w:val="auto"/>
        </w:rPr>
      </w:pPr>
    </w:p>
    <w:p>
      <w:pPr>
        <w:ind w:left="220" w:hanging="212"/>
        <w:spacing w:after="0"/>
        <w:tabs>
          <w:tab w:leader="none" w:pos="2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held for sale businesses reclassified to Other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On January 20, 2017, we entered into an adverse development reinsurance agreement with NICO, under which we transferred to NICO 80 percent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reserve risk on substantially all of our U.S. commercial long-tail exposures for accident years 2015 and prior. Under this agreement, we ceded to NICO 80</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percent of the paid losses on subject business paid on or after January 1, 2016 in excess of $25 billion of net paid losses, up to an aggregate limit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billion. At NICO’s 80 percent share, NICO’s limit of liability under the contract is $20 billion. We account for this transaction as retroactive reinsurance.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paid total consideration, including interest, of $10.2 billion. The consideration was placed into a collateral trust account as security for NICO’s claim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obligations, and Berkshire has provided a parental guarantee to secure the obligations of NICO under the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Prior Year Development</w:t>
      </w:r>
    </w:p>
    <w:p>
      <w:pPr>
        <w:spacing w:after="0" w:line="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three months ended September 30, 2026, we recognized favorable prior year loss reserve development of $70 million, net of external reinsurance but before adverse development reinsurance agreement (ADC) cessions. The development in this period was largely driven by favorable development in UK/Europe Casualty and Financial Lines and U.S. Other Product Lines. During the nine months ended September 30, 2026, we recognized favorable prior year loss reserve development of $442 million, net of external reinsurance but before ADC cessions. The development in this period was largely driven by favorable experience in U.S. Workers’ Compensation, U.S. Property and U.S. Personal Insurance, partially offset by adverse development in U.S. Excess Casualty and U.S. Other Casualty.</w:t>
      </w:r>
    </w:p>
    <w:p>
      <w:pPr>
        <w:spacing w:after="0" w:line="7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During the three months ended September 30, 2025, we recognized favorable prior year loss reserve development of $161 million, net of external reinsurance but before ADC cessions. The development in this period was primarily driven by favorable development in Other Product Lines (North America and International) and U.S. Property and Special Risks, partially offset by adverse development in UK/Europe Casualty and Financial Lines. During the nine months ended September 30, 2025, we recognized favorable prior year loss reserve development of $169 million, net of external reinsurance but before ADC cessions. The development in this period was largely driven by favorable development in Other Product Lines (North America and International), U.S. Workers’ Compensation, U.S. Other Casualty and U.S. Property and Special Risks, partially offset by adverse development on U.S. Excess Casualty and UK/Europe Casualty and Financial Lines.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Discounting of Loss Reserves</w:t>
      </w:r>
    </w:p>
    <w:p>
      <w:pPr>
        <w:spacing w:after="0" w:line="117" w:lineRule="exact"/>
        <w:rPr>
          <w:sz w:val="20"/>
          <w:szCs w:val="20"/>
          <w:color w:val="auto"/>
        </w:rPr>
      </w:pPr>
    </w:p>
    <w:p>
      <w:pPr>
        <w:ind w:right="220"/>
        <w:spacing w:after="0" w:line="316" w:lineRule="auto"/>
        <w:rPr>
          <w:sz w:val="20"/>
          <w:szCs w:val="20"/>
          <w:color w:val="auto"/>
        </w:rPr>
      </w:pPr>
      <w:r>
        <w:rPr>
          <w:rFonts w:ascii="Arial" w:cs="Arial" w:eastAsia="Arial" w:hAnsi="Arial"/>
          <w:sz w:val="16"/>
          <w:szCs w:val="16"/>
          <w:color w:val="auto"/>
        </w:rPr>
        <w:t>At September 30, 2026 and December 31, 2025, the loss reserves reflect a net loss reserve discount of $1.2 billion and $1.2 billion, respectively, including tabular and non-tabular calculations based upon the following assumptions:</w:t>
      </w:r>
    </w:p>
    <w:p>
      <w:pPr>
        <w:spacing w:after="0" w:line="2" w:lineRule="exact"/>
        <w:rPr>
          <w:sz w:val="20"/>
          <w:szCs w:val="20"/>
          <w:color w:val="auto"/>
        </w:rPr>
      </w:pPr>
    </w:p>
    <w:p>
      <w:pPr>
        <w:ind w:left="220" w:right="100" w:hanging="212"/>
        <w:spacing w:after="0" w:line="316" w:lineRule="auto"/>
        <w:tabs>
          <w:tab w:leader="none" w:pos="2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non-tabular workers’ compensation discount is calculated separately for companies domiciled in New York, Pennsylvania and Delaware, and follows the statutory regulations (prescribed or historically permitted) for each state.</w:t>
      </w:r>
    </w:p>
    <w:p>
      <w:pPr>
        <w:spacing w:after="0" w:line="1"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  For New York companies, the discount is based on a 5 percent interest rate and the companies’ own payout patterns.</w:t>
      </w:r>
    </w:p>
    <w:p>
      <w:pPr>
        <w:spacing w:after="0" w:line="86" w:lineRule="exact"/>
        <w:rPr>
          <w:rFonts w:ascii="Arial" w:cs="Arial" w:eastAsia="Arial" w:hAnsi="Arial"/>
          <w:sz w:val="16"/>
          <w:szCs w:val="16"/>
          <w:color w:val="auto"/>
        </w:rPr>
      </w:pPr>
    </w:p>
    <w:p>
      <w:pPr>
        <w:ind w:left="440" w:right="40" w:hanging="220"/>
        <w:spacing w:after="0" w:line="287" w:lineRule="auto"/>
        <w:rPr>
          <w:rFonts w:ascii="Arial" w:cs="Arial" w:eastAsia="Arial" w:hAnsi="Arial"/>
          <w:sz w:val="16"/>
          <w:szCs w:val="16"/>
          <w:color w:val="auto"/>
        </w:rPr>
      </w:pPr>
      <w:r>
        <w:rPr>
          <w:rFonts w:ascii="Arial" w:cs="Arial" w:eastAsia="Arial" w:hAnsi="Arial"/>
          <w:sz w:val="16"/>
          <w:szCs w:val="16"/>
          <w:color w:val="auto"/>
        </w:rPr>
        <w:t>– The Pennsylvania and Delaware regulators have approved use of a consistent benchmark discount rate and spread (U.S. Treasury rate plus a liquidity premium), subject to a 4.5 percent maximum as stipulated by Delaware, to all of our workers’ compensation reserves in our Pennsylvania domiciled and Delaware domiciled companies, as well as our use of updated payout patterns specific to our primary and excess workers' compensation portfolios. In 2020, the regulators also approved that the discount rate will be updated on an annual basis, which was 4.5 percent at September 30, 2026 and December 31, 2025.</w:t>
      </w:r>
    </w:p>
    <w:p>
      <w:pPr>
        <w:spacing w:after="0" w:line="20" w:lineRule="exact"/>
        <w:rPr>
          <w:rFonts w:ascii="Arial" w:cs="Arial" w:eastAsia="Arial" w:hAnsi="Arial"/>
          <w:sz w:val="16"/>
          <w:szCs w:val="16"/>
          <w:color w:val="auto"/>
        </w:rPr>
      </w:pPr>
    </w:p>
    <w:p>
      <w:pPr>
        <w:ind w:left="220" w:hanging="212"/>
        <w:spacing w:after="0" w:line="301" w:lineRule="auto"/>
        <w:tabs>
          <w:tab w:leader="none" w:pos="2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tabular workers’ compensation discount is calculated based on the mortality rate used in the 2007 U.S. Life table and interest rates prescribed or permitted by each state (i.e. New York is based on 5 percent interest rate and Pennsylvania and Delaware are based on U.S. Treasury rate plus a liquidity premium).</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discount for asbestos reserves has been fully accreted.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33</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b w:val="1"/>
          <w:bCs w:val="1"/>
          <w:color w:val="12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11. Insurance Liabilities</w:t>
      </w:r>
    </w:p>
    <w:p>
      <w:pPr>
        <w:spacing w:after="0" w:line="3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At September 30, 2026 and December 31, 2025, the discount consists of $166 million and $141 million of tabular discount, respectively, and $1.1 billion and $1.0 billion of non-tabular discount for workers’ compensation, respectively. During the nine months ended September 30, 2026 and 2025, the benefit / (charge) from changes in discount of $(71) million and $(27) million, respectively, were recorded as part of Losses and loss adjustment expenses incurred in the Condensed Consolidated Statements of Income (Loss).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components of the loss reserve discount discussed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960" w:type="dxa"/>
            <w:vAlign w:val="bottom"/>
            <w:tcBorders>
              <w:top w:val="single" w:sz="8" w:color="1352DE"/>
              <w:bottom w:val="single" w:sz="8" w:color="1352DE"/>
            </w:tcBorders>
          </w:tcPr>
          <w:p>
            <w:pPr>
              <w:spacing w:after="0"/>
              <w:rPr>
                <w:sz w:val="19"/>
                <w:szCs w:val="19"/>
                <w:color w:val="auto"/>
              </w:rPr>
            </w:pPr>
          </w:p>
        </w:tc>
        <w:tc>
          <w:tcPr>
            <w:tcW w:w="172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5"/>
                <w:szCs w:val="15"/>
                <w:b w:val="1"/>
                <w:bCs w:val="1"/>
                <w:color w:val="3051F2"/>
              </w:rPr>
              <w:t>September 30, 2026</w:t>
            </w:r>
          </w:p>
        </w:tc>
        <w:tc>
          <w:tcPr>
            <w:tcW w:w="380" w:type="dxa"/>
            <w:vAlign w:val="bottom"/>
            <w:tcBorders>
              <w:top w:val="single" w:sz="8" w:color="1352DE"/>
              <w:bottom w:val="single" w:sz="8" w:color="1352DE"/>
            </w:tcBorders>
          </w:tcPr>
          <w:p>
            <w:pPr>
              <w:spacing w:after="0"/>
              <w:rPr>
                <w:sz w:val="19"/>
                <w:szCs w:val="19"/>
                <w:color w:val="auto"/>
              </w:rPr>
            </w:pPr>
          </w:p>
        </w:tc>
        <w:tc>
          <w:tcPr>
            <w:tcW w:w="16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5"/>
                <w:szCs w:val="15"/>
                <w:color w:val="3051F2"/>
              </w:rPr>
              <w:t>December 31, 2025</w:t>
            </w:r>
          </w:p>
        </w:tc>
      </w:tr>
      <w:tr>
        <w:trPr>
          <w:trHeight w:val="193"/>
        </w:trPr>
        <w:tc>
          <w:tcPr>
            <w:tcW w:w="4560" w:type="dxa"/>
            <w:vAlign w:val="bottom"/>
          </w:tcPr>
          <w:p>
            <w:pPr>
              <w:ind w:left="20"/>
              <w:spacing w:after="0"/>
              <w:rPr>
                <w:sz w:val="20"/>
                <w:szCs w:val="20"/>
                <w:color w:val="auto"/>
              </w:rPr>
            </w:pPr>
            <w:r>
              <w:rPr>
                <w:rFonts w:ascii="Arial" w:cs="Arial" w:eastAsia="Arial" w:hAnsi="Arial"/>
                <w:sz w:val="15"/>
                <w:szCs w:val="15"/>
                <w:color w:val="auto"/>
              </w:rPr>
              <w:t>U.S. workers' compensation</w:t>
            </w:r>
          </w:p>
        </w:tc>
        <w:tc>
          <w:tcPr>
            <w:tcW w:w="2960" w:type="dxa"/>
            <w:vAlign w:val="bottom"/>
          </w:tcPr>
          <w:p>
            <w:pPr>
              <w:jc w:val="right"/>
              <w:ind w:right="144"/>
              <w:spacing w:after="0"/>
              <w:rPr>
                <w:sz w:val="20"/>
                <w:szCs w:val="20"/>
                <w:color w:val="auto"/>
              </w:rPr>
            </w:pPr>
            <w:r>
              <w:rPr>
                <w:rFonts w:ascii="Arial" w:cs="Arial" w:eastAsia="Arial" w:hAnsi="Arial"/>
                <w:sz w:val="15"/>
                <w:szCs w:val="15"/>
                <w:b w:val="1"/>
                <w:bCs w:val="1"/>
                <w:color w:val="1252DE"/>
              </w:rPr>
              <w:t>$</w:t>
            </w:r>
          </w:p>
        </w:tc>
        <w:tc>
          <w:tcPr>
            <w:tcW w:w="1720" w:type="dxa"/>
            <w:vAlign w:val="bottom"/>
          </w:tcPr>
          <w:p>
            <w:pPr>
              <w:jc w:val="right"/>
              <w:ind w:right="24"/>
              <w:spacing w:after="0"/>
              <w:rPr>
                <w:sz w:val="20"/>
                <w:szCs w:val="20"/>
                <w:color w:val="auto"/>
              </w:rPr>
            </w:pPr>
            <w:r>
              <w:rPr>
                <w:rFonts w:ascii="Arial" w:cs="Arial" w:eastAsia="Arial" w:hAnsi="Arial"/>
                <w:sz w:val="15"/>
                <w:szCs w:val="15"/>
                <w:b w:val="1"/>
                <w:bCs w:val="1"/>
                <w:color w:val="1252DE"/>
              </w:rPr>
              <w:t>1,992</w:t>
            </w:r>
          </w:p>
        </w:tc>
        <w:tc>
          <w:tcPr>
            <w:tcW w:w="3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2,063</w:t>
            </w:r>
          </w:p>
        </w:tc>
      </w:tr>
      <w:tr>
        <w:trPr>
          <w:trHeight w:val="208"/>
        </w:trPr>
        <w:tc>
          <w:tcPr>
            <w:tcW w:w="4560" w:type="dxa"/>
            <w:vAlign w:val="bottom"/>
            <w:tcBorders>
              <w:bottom w:val="single" w:sz="8" w:color="1352DE"/>
            </w:tcBorders>
          </w:tcPr>
          <w:p>
            <w:pPr>
              <w:ind w:left="20"/>
              <w:spacing w:after="0"/>
              <w:rPr>
                <w:sz w:val="20"/>
                <w:szCs w:val="20"/>
                <w:color w:val="auto"/>
              </w:rPr>
            </w:pPr>
            <w:r>
              <w:rPr>
                <w:rFonts w:ascii="Arial" w:cs="Arial" w:eastAsia="Arial" w:hAnsi="Arial"/>
                <w:sz w:val="15"/>
                <w:szCs w:val="15"/>
                <w:color w:val="auto"/>
              </w:rPr>
              <w:t>Retroactive reinsurance</w:t>
            </w:r>
          </w:p>
        </w:tc>
        <w:tc>
          <w:tcPr>
            <w:tcW w:w="2960" w:type="dxa"/>
            <w:vAlign w:val="bottom"/>
            <w:tcBorders>
              <w:bottom w:val="single" w:sz="8" w:color="1352DE"/>
            </w:tcBorders>
          </w:tcPr>
          <w:p>
            <w:pPr>
              <w:spacing w:after="0"/>
              <w:rPr>
                <w:sz w:val="18"/>
                <w:szCs w:val="18"/>
                <w:color w:val="auto"/>
              </w:rPr>
            </w:pPr>
          </w:p>
        </w:tc>
        <w:tc>
          <w:tcPr>
            <w:tcW w:w="172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(765)</w:t>
            </w:r>
          </w:p>
        </w:tc>
        <w:tc>
          <w:tcPr>
            <w:tcW w:w="380" w:type="dxa"/>
            <w:vAlign w:val="bottom"/>
            <w:tcBorders>
              <w:bottom w:val="single" w:sz="8" w:color="1352DE"/>
            </w:tcBorders>
          </w:tcPr>
          <w:p>
            <w:pPr>
              <w:spacing w:after="0"/>
              <w:rPr>
                <w:sz w:val="18"/>
                <w:szCs w:val="18"/>
                <w:color w:val="auto"/>
              </w:rPr>
            </w:pPr>
          </w:p>
        </w:tc>
        <w:tc>
          <w:tcPr>
            <w:tcW w:w="16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(891)</w:t>
            </w:r>
          </w:p>
        </w:tc>
      </w:tr>
      <w:tr>
        <w:trPr>
          <w:trHeight w:val="196"/>
        </w:trPr>
        <w:tc>
          <w:tcPr>
            <w:tcW w:w="4560" w:type="dxa"/>
            <w:vAlign w:val="bottom"/>
            <w:tcBorders>
              <w:bottom w:val="single" w:sz="8" w:color="1352DE"/>
            </w:tcBorders>
          </w:tcPr>
          <w:p>
            <w:pPr>
              <w:ind w:left="20"/>
              <w:spacing w:after="0" w:line="196" w:lineRule="exact"/>
              <w:rPr>
                <w:sz w:val="20"/>
                <w:szCs w:val="20"/>
                <w:color w:val="auto"/>
              </w:rPr>
            </w:pPr>
            <w:r>
              <w:rPr>
                <w:rFonts w:ascii="Arial" w:cs="Arial" w:eastAsia="Arial" w:hAnsi="Arial"/>
                <w:sz w:val="15"/>
                <w:szCs w:val="15"/>
                <w:b w:val="1"/>
                <w:bCs w:val="1"/>
                <w:color w:val="1251DE"/>
              </w:rPr>
              <w:t>Total reserve discount</w:t>
            </w:r>
            <w:r>
              <w:rPr>
                <w:rFonts w:ascii="Arial" w:cs="Arial" w:eastAsia="Arial" w:hAnsi="Arial"/>
                <w:sz w:val="19"/>
                <w:szCs w:val="19"/>
                <w:b w:val="1"/>
                <w:bCs w:val="1"/>
                <w:color w:val="1251DE"/>
                <w:vertAlign w:val="superscript"/>
              </w:rPr>
              <w:t>(a)(b)</w:t>
            </w:r>
          </w:p>
        </w:tc>
        <w:tc>
          <w:tcPr>
            <w:tcW w:w="2960" w:type="dxa"/>
            <w:vAlign w:val="bottom"/>
            <w:tcBorders>
              <w:bottom w:val="single" w:sz="8" w:color="1352DE"/>
            </w:tcBorders>
          </w:tcPr>
          <w:p>
            <w:pPr>
              <w:jc w:val="right"/>
              <w:ind w:right="144"/>
              <w:spacing w:after="0"/>
              <w:rPr>
                <w:sz w:val="20"/>
                <w:szCs w:val="20"/>
                <w:color w:val="auto"/>
              </w:rPr>
            </w:pPr>
            <w:r>
              <w:rPr>
                <w:rFonts w:ascii="Arial" w:cs="Arial" w:eastAsia="Arial" w:hAnsi="Arial"/>
                <w:sz w:val="15"/>
                <w:szCs w:val="15"/>
                <w:b w:val="1"/>
                <w:bCs w:val="1"/>
                <w:color w:val="1252DE"/>
              </w:rPr>
              <w:t>$</w:t>
            </w:r>
          </w:p>
        </w:tc>
        <w:tc>
          <w:tcPr>
            <w:tcW w:w="17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1,227</w:t>
            </w:r>
          </w:p>
        </w:tc>
        <w:tc>
          <w:tcPr>
            <w:tcW w:w="380" w:type="dxa"/>
            <w:vAlign w:val="bottom"/>
            <w:tcBorders>
              <w:bottom w:val="single" w:sz="8" w:color="1352DE"/>
            </w:tcBorders>
          </w:tcPr>
          <w:p>
            <w:pPr>
              <w:jc w:val="right"/>
              <w:ind w:right="164"/>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1,172</w:t>
            </w:r>
          </w:p>
        </w:tc>
      </w:tr>
    </w:tbl>
    <w:p>
      <w:pPr>
        <w:spacing w:after="0" w:line="144"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Excludes $141 million and $166 million of discount related to certain long-tail liabilities in the UK at September 30, 2026 and December 31, 2025, respectively.</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gross discount of $676 million and $693 million, which was 100 percent ceded to Fortitude Re at September 30, 2026 and December 31, 2025,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net loss reserve discount benefit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234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5"/>
                <w:szCs w:val="15"/>
                <w:color w:val="1252DE"/>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5"/>
                <w:szCs w:val="15"/>
                <w:color w:val="1252DE"/>
              </w:rPr>
              <w:t>Nine Months Ended</w:t>
            </w:r>
          </w:p>
        </w:tc>
        <w:tc>
          <w:tcPr>
            <w:tcW w:w="440" w:type="dxa"/>
            <w:vAlign w:val="bottom"/>
          </w:tcPr>
          <w:p>
            <w:pPr>
              <w:spacing w:after="0"/>
              <w:rPr>
                <w:sz w:val="14"/>
                <w:szCs w:val="14"/>
                <w:color w:val="auto"/>
              </w:rPr>
            </w:pPr>
          </w:p>
        </w:tc>
      </w:tr>
      <w:tr>
        <w:trPr>
          <w:trHeight w:val="203"/>
        </w:trPr>
        <w:tc>
          <w:tcPr>
            <w:tcW w:w="6340" w:type="dxa"/>
            <w:vAlign w:val="bottom"/>
          </w:tcPr>
          <w:p>
            <w:pPr>
              <w:spacing w:after="0"/>
              <w:rPr>
                <w:sz w:val="17"/>
                <w:szCs w:val="17"/>
                <w:color w:val="auto"/>
              </w:rPr>
            </w:pPr>
          </w:p>
        </w:tc>
        <w:tc>
          <w:tcPr>
            <w:tcW w:w="320" w:type="dxa"/>
            <w:vAlign w:val="bottom"/>
            <w:tcBorders>
              <w:bottom w:val="single" w:sz="8" w:color="1352DE"/>
            </w:tcBorders>
          </w:tcPr>
          <w:p>
            <w:pPr>
              <w:spacing w:after="0"/>
              <w:rPr>
                <w:sz w:val="17"/>
                <w:szCs w:val="17"/>
                <w:color w:val="auto"/>
              </w:rPr>
            </w:pPr>
          </w:p>
        </w:tc>
        <w:tc>
          <w:tcPr>
            <w:tcW w:w="1600" w:type="dxa"/>
            <w:vAlign w:val="bottom"/>
            <w:tcBorders>
              <w:bottom w:val="single" w:sz="8" w:color="1352DE"/>
            </w:tcBorders>
            <w:gridSpan w:val="2"/>
          </w:tcPr>
          <w:p>
            <w:pPr>
              <w:jc w:val="right"/>
              <w:ind w:right="184"/>
              <w:spacing w:after="0"/>
              <w:rPr>
                <w:sz w:val="20"/>
                <w:szCs w:val="20"/>
                <w:color w:val="auto"/>
              </w:rPr>
            </w:pPr>
            <w:r>
              <w:rPr>
                <w:rFonts w:ascii="Arial" w:cs="Arial" w:eastAsia="Arial" w:hAnsi="Arial"/>
                <w:sz w:val="15"/>
                <w:szCs w:val="15"/>
                <w:color w:val="1252DE"/>
              </w:rPr>
              <w:t>September 30,</w:t>
            </w:r>
          </w:p>
        </w:tc>
        <w:tc>
          <w:tcPr>
            <w:tcW w:w="420" w:type="dxa"/>
            <w:vAlign w:val="bottom"/>
            <w:tcBorders>
              <w:bottom w:val="single" w:sz="8" w:color="1352DE"/>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1700" w:type="dxa"/>
            <w:vAlign w:val="bottom"/>
            <w:tcBorders>
              <w:bottom w:val="single" w:sz="8" w:color="1352DE"/>
            </w:tcBorders>
            <w:gridSpan w:val="2"/>
          </w:tcPr>
          <w:p>
            <w:pPr>
              <w:jc w:val="right"/>
              <w:ind w:right="144"/>
              <w:spacing w:after="0"/>
              <w:rPr>
                <w:sz w:val="20"/>
                <w:szCs w:val="20"/>
                <w:color w:val="auto"/>
              </w:rPr>
            </w:pPr>
            <w:r>
              <w:rPr>
                <w:rFonts w:ascii="Arial" w:cs="Arial" w:eastAsia="Arial" w:hAnsi="Arial"/>
                <w:sz w:val="15"/>
                <w:szCs w:val="15"/>
                <w:color w:val="1252DE"/>
              </w:rPr>
              <w:t>September 30,</w:t>
            </w:r>
          </w:p>
        </w:tc>
        <w:tc>
          <w:tcPr>
            <w:tcW w:w="440" w:type="dxa"/>
            <w:vAlign w:val="bottom"/>
            <w:tcBorders>
              <w:bottom w:val="single" w:sz="8" w:color="1352DE"/>
            </w:tcBorders>
          </w:tcPr>
          <w:p>
            <w:pPr>
              <w:spacing w:after="0"/>
              <w:rPr>
                <w:sz w:val="17"/>
                <w:szCs w:val="17"/>
                <w:color w:val="auto"/>
              </w:rPr>
            </w:pPr>
          </w:p>
        </w:tc>
      </w:tr>
      <w:tr>
        <w:trPr>
          <w:trHeight w:val="199"/>
        </w:trPr>
        <w:tc>
          <w:tcPr>
            <w:tcW w:w="63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32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2026</w:t>
            </w:r>
          </w:p>
        </w:tc>
        <w:tc>
          <w:tcPr>
            <w:tcW w:w="720" w:type="dxa"/>
            <w:vAlign w:val="bottom"/>
            <w:tcBorders>
              <w:bottom w:val="single" w:sz="8" w:color="1352DE"/>
            </w:tcBorders>
          </w:tcPr>
          <w:p>
            <w:pPr>
              <w:spacing w:after="0"/>
              <w:rPr>
                <w:sz w:val="17"/>
                <w:szCs w:val="17"/>
                <w:color w:val="auto"/>
              </w:rPr>
            </w:pPr>
          </w:p>
        </w:tc>
        <w:tc>
          <w:tcPr>
            <w:tcW w:w="4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20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102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2026</w:t>
            </w:r>
          </w:p>
        </w:tc>
        <w:tc>
          <w:tcPr>
            <w:tcW w:w="68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r>
      <w:tr>
        <w:trPr>
          <w:trHeight w:val="190"/>
        </w:trPr>
        <w:tc>
          <w:tcPr>
            <w:tcW w:w="6340" w:type="dxa"/>
            <w:vAlign w:val="bottom"/>
          </w:tcPr>
          <w:p>
            <w:pPr>
              <w:ind w:left="20"/>
              <w:spacing w:after="0"/>
              <w:rPr>
                <w:sz w:val="20"/>
                <w:szCs w:val="20"/>
                <w:color w:val="auto"/>
              </w:rPr>
            </w:pPr>
            <w:r>
              <w:rPr>
                <w:rFonts w:ascii="Arial" w:cs="Arial" w:eastAsia="Arial" w:hAnsi="Arial"/>
                <w:sz w:val="15"/>
                <w:szCs w:val="15"/>
                <w:color w:val="auto"/>
              </w:rPr>
              <w:t>Current accident year</w:t>
            </w:r>
          </w:p>
        </w:tc>
        <w:tc>
          <w:tcPr>
            <w:tcW w:w="320" w:type="dxa"/>
            <w:vAlign w:val="bottom"/>
          </w:tcPr>
          <w:p>
            <w:pPr>
              <w:jc w:val="right"/>
              <w:ind w:right="64"/>
              <w:spacing w:after="0"/>
              <w:rPr>
                <w:sz w:val="20"/>
                <w:szCs w:val="20"/>
                <w:color w:val="auto"/>
              </w:rPr>
            </w:pPr>
            <w:r>
              <w:rPr>
                <w:rFonts w:ascii="Arial" w:cs="Arial" w:eastAsia="Arial" w:hAnsi="Arial"/>
                <w:sz w:val="15"/>
                <w:szCs w:val="15"/>
                <w:b w:val="1"/>
                <w:bCs w:val="1"/>
                <w:color w:val="1352DE"/>
              </w:rPr>
              <w:t>$</w:t>
            </w:r>
          </w:p>
        </w:tc>
        <w:tc>
          <w:tcPr>
            <w:tcW w:w="880" w:type="dxa"/>
            <w:vAlign w:val="bottom"/>
          </w:tcPr>
          <w:p>
            <w:pPr>
              <w:jc w:val="right"/>
              <w:ind w:right="24"/>
              <w:spacing w:after="0"/>
              <w:rPr>
                <w:sz w:val="20"/>
                <w:szCs w:val="20"/>
                <w:color w:val="auto"/>
              </w:rPr>
            </w:pPr>
            <w:r>
              <w:rPr>
                <w:rFonts w:ascii="Arial" w:cs="Arial" w:eastAsia="Arial" w:hAnsi="Arial"/>
                <w:sz w:val="15"/>
                <w:szCs w:val="15"/>
                <w:b w:val="1"/>
                <w:bCs w:val="1"/>
                <w:color w:val="1252DE"/>
              </w:rPr>
              <w:t>22</w:t>
            </w:r>
          </w:p>
        </w:tc>
        <w:tc>
          <w:tcPr>
            <w:tcW w:w="720" w:type="dxa"/>
            <w:vAlign w:val="bottom"/>
          </w:tcPr>
          <w:p>
            <w:pPr>
              <w:jc w:val="right"/>
              <w:ind w:right="504"/>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36</w:t>
            </w:r>
          </w:p>
        </w:tc>
        <w:tc>
          <w:tcPr>
            <w:tcW w:w="2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b w:val="1"/>
                <w:bCs w:val="1"/>
                <w:color w:val="1352DE"/>
              </w:rPr>
              <w:t>$</w:t>
            </w:r>
          </w:p>
        </w:tc>
        <w:tc>
          <w:tcPr>
            <w:tcW w:w="1020" w:type="dxa"/>
            <w:vAlign w:val="bottom"/>
          </w:tcPr>
          <w:p>
            <w:pPr>
              <w:jc w:val="right"/>
              <w:ind w:right="44"/>
              <w:spacing w:after="0"/>
              <w:rPr>
                <w:sz w:val="20"/>
                <w:szCs w:val="20"/>
                <w:color w:val="auto"/>
              </w:rPr>
            </w:pPr>
            <w:r>
              <w:rPr>
                <w:rFonts w:ascii="Arial" w:cs="Arial" w:eastAsia="Arial" w:hAnsi="Arial"/>
                <w:sz w:val="15"/>
                <w:szCs w:val="15"/>
                <w:b w:val="1"/>
                <w:bCs w:val="1"/>
                <w:color w:val="1252DE"/>
              </w:rPr>
              <w:t>60</w:t>
            </w:r>
          </w:p>
        </w:tc>
        <w:tc>
          <w:tcPr>
            <w:tcW w:w="680" w:type="dxa"/>
            <w:vAlign w:val="bottom"/>
          </w:tcPr>
          <w:p>
            <w:pPr>
              <w:jc w:val="right"/>
              <w:ind w:right="46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08"/>
        </w:trPr>
        <w:tc>
          <w:tcPr>
            <w:tcW w:w="6340" w:type="dxa"/>
            <w:vAlign w:val="bottom"/>
            <w:tcBorders>
              <w:bottom w:val="single" w:sz="8" w:color="1252DE"/>
            </w:tcBorders>
          </w:tcPr>
          <w:p>
            <w:pPr>
              <w:ind w:left="20"/>
              <w:spacing w:after="0"/>
              <w:rPr>
                <w:sz w:val="20"/>
                <w:szCs w:val="20"/>
                <w:color w:val="auto"/>
              </w:rPr>
            </w:pPr>
            <w:r>
              <w:rPr>
                <w:rFonts w:ascii="Arial" w:cs="Arial" w:eastAsia="Arial" w:hAnsi="Arial"/>
                <w:sz w:val="15"/>
                <w:szCs w:val="15"/>
                <w:color w:val="auto"/>
              </w:rPr>
              <w:t>Accretion and other adjustments to prior year discount</w:t>
            </w:r>
          </w:p>
        </w:tc>
        <w:tc>
          <w:tcPr>
            <w:tcW w:w="320" w:type="dxa"/>
            <w:vAlign w:val="bottom"/>
            <w:tcBorders>
              <w:bottom w:val="single" w:sz="8" w:color="1352DE"/>
            </w:tcBorders>
          </w:tcPr>
          <w:p>
            <w:pPr>
              <w:spacing w:after="0"/>
              <w:rPr>
                <w:sz w:val="18"/>
                <w:szCs w:val="18"/>
                <w:color w:val="auto"/>
              </w:rPr>
            </w:pP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(113)</w:t>
            </w:r>
          </w:p>
        </w:tc>
        <w:tc>
          <w:tcPr>
            <w:tcW w:w="720" w:type="dxa"/>
            <w:vAlign w:val="bottom"/>
            <w:tcBorders>
              <w:bottom w:val="single" w:sz="8" w:color="1352DE"/>
            </w:tcBorders>
          </w:tcPr>
          <w:p>
            <w:pPr>
              <w:spacing w:after="0"/>
              <w:rPr>
                <w:sz w:val="18"/>
                <w:szCs w:val="18"/>
                <w:color w:val="auto"/>
              </w:rPr>
            </w:pPr>
          </w:p>
        </w:tc>
        <w:tc>
          <w:tcPr>
            <w:tcW w:w="4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(34)</w:t>
            </w:r>
          </w:p>
        </w:tc>
        <w:tc>
          <w:tcPr>
            <w:tcW w:w="20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1020" w:type="dxa"/>
            <w:vAlign w:val="bottom"/>
            <w:tcBorders>
              <w:bottom w:val="single" w:sz="8" w:color="1252DE"/>
            </w:tcBorders>
          </w:tcPr>
          <w:p>
            <w:pPr>
              <w:jc w:val="right"/>
              <w:ind w:right="4"/>
              <w:spacing w:after="0"/>
              <w:rPr>
                <w:sz w:val="20"/>
                <w:szCs w:val="20"/>
                <w:color w:val="auto"/>
              </w:rPr>
            </w:pPr>
            <w:r>
              <w:rPr>
                <w:rFonts w:ascii="Arial" w:cs="Arial" w:eastAsia="Arial" w:hAnsi="Arial"/>
                <w:sz w:val="15"/>
                <w:szCs w:val="15"/>
                <w:b w:val="1"/>
                <w:bCs w:val="1"/>
                <w:color w:val="1252DE"/>
              </w:rPr>
              <w:t>(131)</w:t>
            </w:r>
          </w:p>
        </w:tc>
        <w:tc>
          <w:tcPr>
            <w:tcW w:w="680" w:type="dxa"/>
            <w:vAlign w:val="bottom"/>
            <w:tcBorders>
              <w:bottom w:val="single" w:sz="8" w:color="1252DE"/>
            </w:tcBorders>
          </w:tcPr>
          <w:p>
            <w:pPr>
              <w:spacing w:after="0"/>
              <w:rPr>
                <w:sz w:val="18"/>
                <w:szCs w:val="18"/>
                <w:color w:val="auto"/>
              </w:rPr>
            </w:pPr>
          </w:p>
        </w:tc>
        <w:tc>
          <w:tcPr>
            <w:tcW w:w="440" w:type="dxa"/>
            <w:vAlign w:val="bottom"/>
            <w:tcBorders>
              <w:bottom w:val="single" w:sz="8" w:color="1252DE"/>
            </w:tcBorders>
          </w:tcPr>
          <w:p>
            <w:pPr>
              <w:jc w:val="right"/>
              <w:spacing w:after="0"/>
              <w:rPr>
                <w:sz w:val="20"/>
                <w:szCs w:val="20"/>
                <w:color w:val="auto"/>
              </w:rPr>
            </w:pPr>
            <w:r>
              <w:rPr>
                <w:rFonts w:ascii="Arial" w:cs="Arial" w:eastAsia="Arial" w:hAnsi="Arial"/>
                <w:sz w:val="15"/>
                <w:szCs w:val="15"/>
                <w:color w:val="auto"/>
              </w:rPr>
              <w:t>(119)</w:t>
            </w:r>
          </w:p>
        </w:tc>
      </w:tr>
      <w:tr>
        <w:trPr>
          <w:trHeight w:val="190"/>
        </w:trPr>
        <w:tc>
          <w:tcPr>
            <w:tcW w:w="6340" w:type="dxa"/>
            <w:vAlign w:val="bottom"/>
          </w:tcPr>
          <w:p>
            <w:pPr>
              <w:ind w:left="20"/>
              <w:spacing w:after="0"/>
              <w:rPr>
                <w:sz w:val="20"/>
                <w:szCs w:val="20"/>
                <w:color w:val="auto"/>
              </w:rPr>
            </w:pPr>
            <w:r>
              <w:rPr>
                <w:rFonts w:ascii="Arial" w:cs="Arial" w:eastAsia="Arial" w:hAnsi="Arial"/>
                <w:sz w:val="15"/>
                <w:szCs w:val="15"/>
                <w:b w:val="1"/>
                <w:bCs w:val="1"/>
                <w:color w:val="1251DE"/>
              </w:rPr>
              <w:t>Net reserve discount benefit (charge)</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1252DE"/>
              </w:rPr>
              <w:t>(91)</w:t>
            </w:r>
          </w:p>
        </w:tc>
        <w:tc>
          <w:tcPr>
            <w:tcW w:w="72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b w:val="1"/>
                <w:bCs w:val="1"/>
                <w:color w:val="1252DE"/>
              </w:rPr>
              <w:t>(71)</w:t>
            </w: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08"/>
        </w:trPr>
        <w:tc>
          <w:tcPr>
            <w:tcW w:w="6340" w:type="dxa"/>
            <w:vAlign w:val="bottom"/>
            <w:tcBorders>
              <w:bottom w:val="single" w:sz="8" w:color="1352DE"/>
            </w:tcBorders>
          </w:tcPr>
          <w:p>
            <w:pPr>
              <w:ind w:left="20"/>
              <w:spacing w:after="0"/>
              <w:rPr>
                <w:sz w:val="20"/>
                <w:szCs w:val="20"/>
                <w:color w:val="auto"/>
              </w:rPr>
            </w:pPr>
            <w:r>
              <w:rPr>
                <w:rFonts w:ascii="Arial" w:cs="Arial" w:eastAsia="Arial" w:hAnsi="Arial"/>
                <w:sz w:val="15"/>
                <w:szCs w:val="15"/>
                <w:color w:val="auto"/>
              </w:rPr>
              <w:t>Change in discount on loss reserves ceded under retroactive reinsurance</w:t>
            </w:r>
          </w:p>
        </w:tc>
        <w:tc>
          <w:tcPr>
            <w:tcW w:w="320" w:type="dxa"/>
            <w:vAlign w:val="bottom"/>
            <w:tcBorders>
              <w:bottom w:val="single" w:sz="8" w:color="1352DE"/>
            </w:tcBorders>
          </w:tcPr>
          <w:p>
            <w:pPr>
              <w:spacing w:after="0"/>
              <w:rPr>
                <w:sz w:val="18"/>
                <w:szCs w:val="18"/>
                <w:color w:val="auto"/>
              </w:rPr>
            </w:pPr>
          </w:p>
        </w:tc>
        <w:tc>
          <w:tcPr>
            <w:tcW w:w="88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54</w:t>
            </w:r>
          </w:p>
        </w:tc>
        <w:tc>
          <w:tcPr>
            <w:tcW w:w="720" w:type="dxa"/>
            <w:vAlign w:val="bottom"/>
            <w:tcBorders>
              <w:bottom w:val="single" w:sz="8" w:color="1352DE"/>
            </w:tcBorders>
          </w:tcPr>
          <w:p>
            <w:pPr>
              <w:spacing w:after="0"/>
              <w:rPr>
                <w:sz w:val="18"/>
                <w:szCs w:val="18"/>
                <w:color w:val="auto"/>
              </w:rPr>
            </w:pP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7</w:t>
            </w:r>
          </w:p>
        </w:tc>
        <w:tc>
          <w:tcPr>
            <w:tcW w:w="20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102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126</w:t>
            </w:r>
          </w:p>
        </w:tc>
        <w:tc>
          <w:tcPr>
            <w:tcW w:w="680" w:type="dxa"/>
            <w:vAlign w:val="bottom"/>
            <w:tcBorders>
              <w:bottom w:val="single" w:sz="8" w:color="1352DE"/>
            </w:tcBorders>
          </w:tcPr>
          <w:p>
            <w:pPr>
              <w:spacing w:after="0"/>
              <w:rPr>
                <w:sz w:val="18"/>
                <w:szCs w:val="18"/>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27</w:t>
            </w:r>
          </w:p>
        </w:tc>
      </w:tr>
      <w:tr>
        <w:trPr>
          <w:trHeight w:val="196"/>
        </w:trPr>
        <w:tc>
          <w:tcPr>
            <w:tcW w:w="634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1DE"/>
              </w:rPr>
              <w:t>Net change in total reserve discount*</w:t>
            </w:r>
          </w:p>
        </w:tc>
        <w:tc>
          <w:tcPr>
            <w:tcW w:w="32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352DE"/>
              </w:rPr>
              <w:t>$</w:t>
            </w:r>
          </w:p>
        </w:tc>
        <w:tc>
          <w:tcPr>
            <w:tcW w:w="88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(37)</w:t>
            </w:r>
          </w:p>
        </w:tc>
        <w:tc>
          <w:tcPr>
            <w:tcW w:w="720" w:type="dxa"/>
            <w:vAlign w:val="bottom"/>
            <w:tcBorders>
              <w:bottom w:val="single" w:sz="8" w:color="1352DE"/>
            </w:tcBorders>
          </w:tcPr>
          <w:p>
            <w:pPr>
              <w:jc w:val="right"/>
              <w:ind w:right="504"/>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9</w:t>
            </w:r>
          </w:p>
        </w:tc>
        <w:tc>
          <w:tcPr>
            <w:tcW w:w="20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w:t>
            </w:r>
          </w:p>
        </w:tc>
        <w:tc>
          <w:tcPr>
            <w:tcW w:w="102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55</w:t>
            </w:r>
          </w:p>
        </w:tc>
        <w:tc>
          <w:tcPr>
            <w:tcW w:w="680" w:type="dxa"/>
            <w:vAlign w:val="bottom"/>
            <w:tcBorders>
              <w:bottom w:val="single" w:sz="8" w:color="1352DE"/>
            </w:tcBorders>
          </w:tcPr>
          <w:p>
            <w:pPr>
              <w:jc w:val="right"/>
              <w:ind w:right="46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w:t>
            </w:r>
          </w:p>
        </w:tc>
      </w:tr>
    </w:tbl>
    <w:p>
      <w:pPr>
        <w:spacing w:after="0" w:line="144" w:lineRule="exact"/>
        <w:rPr>
          <w:sz w:val="20"/>
          <w:szCs w:val="20"/>
          <w:color w:val="auto"/>
        </w:rPr>
      </w:pPr>
    </w:p>
    <w:p>
      <w:pPr>
        <w:ind w:left="220" w:right="20" w:hanging="212"/>
        <w:spacing w:after="0" w:line="264" w:lineRule="auto"/>
        <w:tabs>
          <w:tab w:leader="none" w:pos="211" w:val="left"/>
        </w:tabs>
        <w:numPr>
          <w:ilvl w:val="0"/>
          <w:numId w:val="49"/>
        </w:numPr>
        <w:rPr>
          <w:rFonts w:ascii="Arial" w:cs="Arial" w:eastAsia="Arial" w:hAnsi="Arial"/>
          <w:sz w:val="13"/>
          <w:szCs w:val="13"/>
          <w:color w:val="auto"/>
        </w:rPr>
      </w:pPr>
      <w:r>
        <w:rPr>
          <w:rFonts w:ascii="Arial" w:cs="Arial" w:eastAsia="Arial" w:hAnsi="Arial"/>
          <w:sz w:val="13"/>
          <w:szCs w:val="13"/>
          <w:color w:val="auto"/>
        </w:rPr>
        <w:t>Excludes $(22) million and $(35) million discount related to certain long-tail liabilities in the UK for the three months ended September 30, 2026 and 2025, respectively, and excludes $(25) million and $(18) million discount related to certain long-tail liabilities in the UK for the nine months ended September 30, 2026 and 2025,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Amortization of Deferred Gain on Retroactive Reinsurance</w:t>
      </w:r>
    </w:p>
    <w:p>
      <w:pPr>
        <w:spacing w:after="0" w:line="6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Amortization of the deferred gain on retroactive reinsurance includes $30 million and $40 million related to the adverse development reinsurance cover with NICO for the three months ended September 30, 2026 and 2025, respectively, and $34 million and $150 million for the nine months ended September 30, 2026 and 2025, respectively.</w:t>
      </w:r>
    </w:p>
    <w:p>
      <w:pPr>
        <w:spacing w:after="0" w:line="64" w:lineRule="exact"/>
        <w:rPr>
          <w:sz w:val="20"/>
          <w:szCs w:val="20"/>
          <w:color w:val="auto"/>
        </w:rPr>
      </w:pPr>
    </w:p>
    <w:p>
      <w:pPr>
        <w:ind w:right="640"/>
        <w:spacing w:after="0" w:line="321" w:lineRule="auto"/>
        <w:rPr>
          <w:sz w:val="20"/>
          <w:szCs w:val="20"/>
          <w:color w:val="auto"/>
        </w:rPr>
      </w:pPr>
      <w:r>
        <w:rPr>
          <w:rFonts w:ascii="Arial" w:cs="Arial" w:eastAsia="Arial" w:hAnsi="Arial"/>
          <w:sz w:val="16"/>
          <w:szCs w:val="16"/>
          <w:color w:val="auto"/>
        </w:rPr>
        <w:t>Amounts recognized reflect the amortization of the initial deferred gain at inception, as amended for subsequent changes in the deferred gain due to changes in subject reserves.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FUTURE POLICY BENEFITS</w:t>
      </w:r>
    </w:p>
    <w:p>
      <w:pPr>
        <w:spacing w:after="0" w:line="117"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Future policy benefits primarily include reserves for certain long-duration contracts that are 100 percent ceded of $713 million and $797 million at September 30, 2026 and December 31, 2025, respectively, certain other long-duration contracts of $548 million and $583 million at September 30, 2026 and December 31, 2025, respectively, and Global Accident &amp; Health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234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7"/>
          <w:szCs w:val="27"/>
          <w:color w:val="001871"/>
        </w:rPr>
        <w:t>12. Contingencies, Commitments and Guarantees</w:t>
      </w:r>
    </w:p>
    <w:p>
      <w:pPr>
        <w:spacing w:after="0" w:line="229"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In the normal course of business, we enter into various contingent liabilities and commitments. In addition, AIG Parent guarantees various obligations of certain subsidiaries.</w:t>
      </w:r>
    </w:p>
    <w:p>
      <w:pPr>
        <w:spacing w:after="0" w:line="7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Although we cannot currently quantify our ultimate liability for unresolved litigation and investigation matters, including those referred to below, it is possible that such liability could have a material adverse effect on our consolidated financial condition or consolidated results of operations or consolidated cash flows for an individual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4771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760" w:hanging="734"/>
        <w:spacing w:after="0"/>
        <w:tabs>
          <w:tab w:leader="none" w:pos="760" w:val="left"/>
        </w:tabs>
        <w:numPr>
          <w:ilvl w:val="0"/>
          <w:numId w:val="50"/>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color w:val="13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12. Contingencies, Commitments and Guarantees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LEGAL CONTINGENCIES</w:t>
      </w:r>
    </w:p>
    <w:p>
      <w:pPr>
        <w:spacing w:after="0" w:line="10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the ordinary course of business, we are subject to regulatory and government investigations and actions, and litigation and other forms of dispute resolution in proceedings pending in various domestic and foreign jurisdictions. Certain of these matters may involve considerable risk of loss due to the potential for significant jury awards (including in certain cases the possibility of punitive damages or other penalties) and settlements, especially in the case of class actions. It is inherently difficult to predict the size or scope of potential future losses arising from such matters. In our insurance and reinsurance operations, litigation and arbitration concerning the scope of coverage under insurance and reinsurance contracts, and litigation and arbitration in which our subsidiaries defend or indemnify their insureds under insurance contracts, are considered in the establishment of our loss reserves.</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Separately, AIG Parent, our subsidiaries and their respective officers and directors are subject to additional types of legal proceedings brought by holders of AIG securities, customers, employees and others, alleging, among other things, breach of contractual or fiduciary duties, bad faith, indemnification and violations of federal and state statutes and regulations. With respect to such matters, we establish reserves for loss contingencies when it is probable that a loss will be incurred and the amount of the loss can be reasonably estimated. In many instances, we are unable to determine whether a loss is probable or to reasonably estimate the amount of such a loss and, therefore, the potential future losses arising from legal proceedings may exceed the amount of liabilities that we have recorded in our financial statements covering these matters. While such potential future charges could be material, based on information currently known to management, management does not believe that any such charges are likely to have a material adverse effect on our financial position or results of operations.</w:t>
      </w:r>
    </w:p>
    <w:p>
      <w:pPr>
        <w:spacing w:after="0" w:line="76"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Additionally, from time to time, various regulatory and governmental agencies review our transactions and practices in connection with industry-wide and other inquiries or examinations into, among other matters, the business practices of current and former operating insurance subsidiaries. These matters could develop into administrative, civil or criminal proceedings or enforcement actions, in which remedies could include fines, penalties, restitution or alterations in our business practices, and could result in additional expenses and limitations on certain business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OTHER COMMITMENTS</w:t>
      </w:r>
    </w:p>
    <w:p>
      <w:pPr>
        <w:spacing w:after="0" w:line="104" w:lineRule="exact"/>
        <w:rPr>
          <w:sz w:val="20"/>
          <w:szCs w:val="20"/>
          <w:color w:val="auto"/>
        </w:rPr>
      </w:pPr>
    </w:p>
    <w:p>
      <w:pPr>
        <w:ind w:right="920"/>
        <w:spacing w:after="0" w:line="321" w:lineRule="auto"/>
        <w:rPr>
          <w:sz w:val="20"/>
          <w:szCs w:val="20"/>
          <w:color w:val="auto"/>
        </w:rPr>
      </w:pPr>
      <w:r>
        <w:rPr>
          <w:rFonts w:ascii="Arial" w:cs="Arial" w:eastAsia="Arial" w:hAnsi="Arial"/>
          <w:sz w:val="16"/>
          <w:szCs w:val="16"/>
          <w:color w:val="auto"/>
        </w:rPr>
        <w:t>In the ordinary course of business, we enter into commitments to invest in limited partnerships, private equity funds and real estate funds. These commitments totaled $1.2 billion and $1.5 billion at September 30, 2026 and December 31, 2025,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GUARANTEES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Subsidiaries</w:t>
      </w:r>
    </w:p>
    <w:p>
      <w:pPr>
        <w:spacing w:after="0" w:line="68"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We have issued unconditional guarantees with respect to the prompt payment, when due, of all present and future payment obligations and liabilities of AIGFP and certain of its subsidiaries. We have also issued guarantees of all present and future payment obligations and liabilities of AIG Markets, Inc.</w:t>
      </w:r>
    </w:p>
    <w:p>
      <w:pPr>
        <w:spacing w:after="0" w:line="48"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Due to the deconsolidation of AIGFP and its subsidiaries, as of September 30, 2026, an $80 million guarantee related to the obligations of AIGFP and certain of its subsidiaries was recognized, and is reported in Other liabilities.</w:t>
      </w:r>
    </w:p>
    <w:p>
      <w:pPr>
        <w:spacing w:after="0" w:line="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guarantee certain policyholder contracts issued by Corebridge subsidiaries as well as certain debt issued by Corebridge Life Holdings, Inc. (CRBGLH). Pursuant to the Separation Agreement entered into by AIG and Corebridge on September 14, 2022, Corebridge must indemnify, defend and hold us harmless from and against any liability related to these guarantees. Also, under a collateral agreement, in the event of: (i) a ratings downgrade of Corebridge or the guaranteed debt below specified levels or (ii) the failure by CRBGLH to pay principal and interest on the guaranteed debt when due, Corebridge must collateralize an amount equal to the sum of: (i) 100 percent of the principal amount outstanding, (ii) accrued and unpaid interest and (iii) 100 percent of the net present value of scheduled interest payments through the maturity dates of the debt.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Business and Asset Dispositions</w:t>
      </w:r>
    </w:p>
    <w:p>
      <w:pPr>
        <w:spacing w:after="0" w:line="149"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We are subject to financial guarantees and indemnity arrangements in connection with completed sales of businesses and assets. We are unable to develop a reasonable estimate of the maximum potential payout under certain of these arrangements. Overall, we believe the likelihood that we will have to make any material payments related to completed sales under these arrangements is remote, and no material liabilities related to these arrangements have been recorded in the Condensed Consolidated Balance Sheets.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Other</w:t>
      </w:r>
    </w:p>
    <w:p>
      <w:pPr>
        <w:spacing w:after="0" w:line="70"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For additional information on commitments and guarantees associated with VIEs, see Note 9.</w:t>
      </w:r>
    </w:p>
    <w:p>
      <w:pPr>
        <w:spacing w:after="0" w:line="86" w:lineRule="exact"/>
        <w:rPr>
          <w:rFonts w:ascii="Arial" w:cs="Arial" w:eastAsia="Arial" w:hAnsi="Arial"/>
          <w:sz w:val="16"/>
          <w:szCs w:val="16"/>
          <w:i w:val="1"/>
          <w:iCs w:val="1"/>
          <w:color w:val="auto"/>
        </w:rPr>
      </w:pPr>
    </w:p>
    <w:p>
      <w:pPr>
        <w:ind w:left="220" w:hanging="212"/>
        <w:spacing w:after="0"/>
        <w:tabs>
          <w:tab w:leader="none" w:pos="22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For additional information on derivatives, see Note 10.</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35</w:t>
            </w:r>
          </w:p>
        </w:tc>
      </w:tr>
      <w:tr>
        <w:trPr>
          <w:trHeight w:val="208"/>
        </w:trPr>
        <w:tc>
          <w:tcPr>
            <w:tcW w:w="75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color w:val="13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13. Equity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SHARES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a rollforward of outstanding shares: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Borders>
              <w:top w:val="single" w:sz="8" w:color="1352DE"/>
            </w:tcBorders>
          </w:tcPr>
          <w:p>
            <w:pPr>
              <w:ind w:left="20"/>
              <w:spacing w:after="0"/>
              <w:rPr>
                <w:sz w:val="20"/>
                <w:szCs w:val="20"/>
                <w:color w:val="auto"/>
              </w:rPr>
            </w:pPr>
            <w:r>
              <w:rPr>
                <w:rFonts w:ascii="Arial" w:cs="Arial" w:eastAsia="Arial" w:hAnsi="Arial"/>
                <w:sz w:val="16"/>
                <w:szCs w:val="16"/>
                <w:b w:val="1"/>
                <w:bCs w:val="1"/>
                <w:color w:val="1352DE"/>
              </w:rPr>
              <w:t>Nine Months Ended September 30, 2026</w:t>
            </w:r>
          </w:p>
        </w:tc>
        <w:tc>
          <w:tcPr>
            <w:tcW w:w="3480" w:type="dxa"/>
            <w:vAlign w:val="bottom"/>
            <w:tcBorders>
              <w:top w:val="single" w:sz="8" w:color="1352DE"/>
            </w:tcBorders>
          </w:tcPr>
          <w:p>
            <w:pPr>
              <w:jc w:val="right"/>
              <w:ind w:right="199"/>
              <w:spacing w:after="0"/>
              <w:rPr>
                <w:sz w:val="20"/>
                <w:szCs w:val="20"/>
                <w:color w:val="auto"/>
              </w:rPr>
            </w:pPr>
            <w:r>
              <w:rPr>
                <w:rFonts w:ascii="Arial" w:cs="Arial" w:eastAsia="Arial" w:hAnsi="Arial"/>
                <w:sz w:val="16"/>
                <w:szCs w:val="16"/>
                <w:color w:val="1352DE"/>
              </w:rPr>
              <w:t>Common</w:t>
            </w:r>
          </w:p>
        </w:tc>
        <w:tc>
          <w:tcPr>
            <w:tcW w:w="1080" w:type="dxa"/>
            <w:vAlign w:val="bottom"/>
            <w:tcBorders>
              <w:top w:val="single" w:sz="8" w:color="1352DE"/>
            </w:tcBorders>
          </w:tcPr>
          <w:p>
            <w:pPr>
              <w:jc w:val="right"/>
              <w:ind w:right="59"/>
              <w:spacing w:after="0"/>
              <w:rPr>
                <w:sz w:val="20"/>
                <w:szCs w:val="20"/>
                <w:color w:val="auto"/>
              </w:rPr>
            </w:pPr>
            <w:r>
              <w:rPr>
                <w:rFonts w:ascii="Arial" w:cs="Arial" w:eastAsia="Arial" w:hAnsi="Arial"/>
                <w:sz w:val="16"/>
                <w:szCs w:val="16"/>
                <w:color w:val="1352DE"/>
              </w:rPr>
              <w:t>Treasury</w:t>
            </w:r>
          </w:p>
        </w:tc>
        <w:tc>
          <w:tcPr>
            <w:tcW w:w="1280" w:type="dxa"/>
            <w:vAlign w:val="bottom"/>
            <w:tcBorders>
              <w:top w:val="single" w:sz="8" w:color="1352DE"/>
            </w:tcBorders>
          </w:tcPr>
          <w:p>
            <w:pPr>
              <w:jc w:val="right"/>
              <w:spacing w:after="0"/>
              <w:rPr>
                <w:sz w:val="20"/>
                <w:szCs w:val="20"/>
                <w:color w:val="auto"/>
              </w:rPr>
            </w:pPr>
            <w:r>
              <w:rPr>
                <w:rFonts w:ascii="Arial" w:cs="Arial" w:eastAsia="Arial" w:hAnsi="Arial"/>
                <w:sz w:val="16"/>
                <w:szCs w:val="16"/>
                <w:color w:val="1352DE"/>
              </w:rPr>
              <w:t>Common Stock</w:t>
            </w:r>
          </w:p>
        </w:tc>
      </w:tr>
      <w:tr>
        <w:trPr>
          <w:trHeight w:val="215"/>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4"/>
                <w:szCs w:val="14"/>
                <w:i w:val="1"/>
                <w:iCs w:val="1"/>
                <w:color w:val="1352DE"/>
              </w:rPr>
              <w:t>(in millions)</w:t>
            </w:r>
          </w:p>
        </w:tc>
        <w:tc>
          <w:tcPr>
            <w:tcW w:w="3480" w:type="dxa"/>
            <w:vAlign w:val="bottom"/>
            <w:tcBorders>
              <w:bottom w:val="single" w:sz="8" w:color="1352DE"/>
            </w:tcBorders>
          </w:tcPr>
          <w:p>
            <w:pPr>
              <w:jc w:val="right"/>
              <w:ind w:right="199"/>
              <w:spacing w:after="0"/>
              <w:rPr>
                <w:sz w:val="20"/>
                <w:szCs w:val="20"/>
                <w:color w:val="auto"/>
              </w:rPr>
            </w:pPr>
            <w:r>
              <w:rPr>
                <w:rFonts w:ascii="Arial" w:cs="Arial" w:eastAsia="Arial" w:hAnsi="Arial"/>
                <w:sz w:val="16"/>
                <w:szCs w:val="16"/>
                <w:color w:val="1352DE"/>
              </w:rPr>
              <w:t>Stock Issued</w:t>
            </w:r>
          </w:p>
        </w:tc>
        <w:tc>
          <w:tcPr>
            <w:tcW w:w="108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color w:val="1352DE"/>
              </w:rPr>
              <w:t>Stock</w:t>
            </w:r>
          </w:p>
        </w:tc>
        <w:tc>
          <w:tcPr>
            <w:tcW w:w="128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352DE"/>
              </w:rPr>
              <w:t>Outstanding</w:t>
            </w: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b w:val="1"/>
                <w:bCs w:val="1"/>
                <w:color w:val="1352DE"/>
              </w:rPr>
              <w:t>Shares, beginning of year</w:t>
            </w:r>
          </w:p>
        </w:tc>
        <w:tc>
          <w:tcPr>
            <w:tcW w:w="3480" w:type="dxa"/>
            <w:vAlign w:val="bottom"/>
          </w:tcPr>
          <w:p>
            <w:pPr>
              <w:jc w:val="right"/>
              <w:ind w:right="259"/>
              <w:spacing w:after="0"/>
              <w:rPr>
                <w:sz w:val="20"/>
                <w:szCs w:val="20"/>
                <w:color w:val="auto"/>
              </w:rPr>
            </w:pPr>
            <w:r>
              <w:rPr>
                <w:rFonts w:ascii="Arial" w:cs="Arial" w:eastAsia="Arial" w:hAnsi="Arial"/>
                <w:sz w:val="16"/>
                <w:szCs w:val="16"/>
                <w:b w:val="1"/>
                <w:bCs w:val="1"/>
                <w:color w:val="1252DE"/>
              </w:rPr>
              <w:t>1,906.7</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1252DE"/>
              </w:rPr>
              <w:t>(1,368.5)</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1252DE"/>
              </w:rPr>
              <w:t>538.2</w:t>
            </w:r>
          </w:p>
        </w:tc>
      </w:tr>
      <w:tr>
        <w:trPr>
          <w:trHeight w:val="216"/>
        </w:trPr>
        <w:tc>
          <w:tcPr>
            <w:tcW w:w="5380" w:type="dxa"/>
            <w:vAlign w:val="bottom"/>
          </w:tcPr>
          <w:p>
            <w:pPr>
              <w:ind w:left="140"/>
              <w:spacing w:after="0"/>
              <w:rPr>
                <w:sz w:val="20"/>
                <w:szCs w:val="20"/>
                <w:color w:val="auto"/>
              </w:rPr>
            </w:pPr>
            <w:r>
              <w:rPr>
                <w:rFonts w:ascii="Arial" w:cs="Arial" w:eastAsia="Arial" w:hAnsi="Arial"/>
                <w:sz w:val="16"/>
                <w:szCs w:val="16"/>
                <w:color w:val="auto"/>
              </w:rPr>
              <w:t>Shares issued</w:t>
            </w:r>
          </w:p>
        </w:tc>
        <w:tc>
          <w:tcPr>
            <w:tcW w:w="3480" w:type="dxa"/>
            <w:vAlign w:val="bottom"/>
          </w:tcPr>
          <w:p>
            <w:pPr>
              <w:jc w:val="right"/>
              <w:ind w:right="259"/>
              <w:spacing w:after="0"/>
              <w:rPr>
                <w:sz w:val="20"/>
                <w:szCs w:val="20"/>
                <w:color w:val="auto"/>
              </w:rPr>
            </w:pPr>
            <w:r>
              <w:rPr>
                <w:rFonts w:ascii="Arial" w:cs="Arial" w:eastAsia="Arial" w:hAnsi="Arial"/>
                <w:sz w:val="16"/>
                <w:szCs w:val="16"/>
                <w:b w:val="1"/>
                <w:bCs w:val="1"/>
                <w:color w:val="1352DE"/>
              </w:rPr>
              <w:t>—</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1352DE"/>
              </w:rPr>
              <w:t>2.5</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1352DE"/>
              </w:rPr>
              <w:t>2.5</w:t>
            </w:r>
          </w:p>
        </w:tc>
      </w:tr>
      <w:tr>
        <w:trPr>
          <w:trHeight w:val="217"/>
        </w:trPr>
        <w:tc>
          <w:tcPr>
            <w:tcW w:w="5380" w:type="dxa"/>
            <w:vAlign w:val="bottom"/>
            <w:tcBorders>
              <w:bottom w:val="single" w:sz="8" w:color="1352DE"/>
            </w:tcBorders>
          </w:tcPr>
          <w:p>
            <w:pPr>
              <w:ind w:left="140"/>
              <w:spacing w:after="0"/>
              <w:rPr>
                <w:sz w:val="20"/>
                <w:szCs w:val="20"/>
                <w:color w:val="auto"/>
              </w:rPr>
            </w:pPr>
            <w:r>
              <w:rPr>
                <w:rFonts w:ascii="Arial" w:cs="Arial" w:eastAsia="Arial" w:hAnsi="Arial"/>
                <w:sz w:val="16"/>
                <w:szCs w:val="16"/>
                <w:color w:val="auto"/>
              </w:rPr>
              <w:t>Shares repurchased</w:t>
            </w:r>
          </w:p>
        </w:tc>
        <w:tc>
          <w:tcPr>
            <w:tcW w:w="3480" w:type="dxa"/>
            <w:vAlign w:val="bottom"/>
            <w:tcBorders>
              <w:bottom w:val="single" w:sz="8" w:color="1352DE"/>
            </w:tcBorders>
          </w:tcPr>
          <w:p>
            <w:pPr>
              <w:jc w:val="right"/>
              <w:ind w:right="259"/>
              <w:spacing w:after="0"/>
              <w:rPr>
                <w:sz w:val="20"/>
                <w:szCs w:val="20"/>
                <w:color w:val="auto"/>
              </w:rPr>
            </w:pPr>
            <w:r>
              <w:rPr>
                <w:rFonts w:ascii="Arial" w:cs="Arial" w:eastAsia="Arial" w:hAnsi="Arial"/>
                <w:sz w:val="16"/>
                <w:szCs w:val="16"/>
                <w:b w:val="1"/>
                <w:bCs w:val="1"/>
                <w:color w:val="1352DE"/>
              </w:rPr>
              <w:t>—</w:t>
            </w:r>
          </w:p>
        </w:tc>
        <w:tc>
          <w:tcPr>
            <w:tcW w:w="108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b w:val="1"/>
                <w:bCs w:val="1"/>
                <w:color w:val="1352DE"/>
              </w:rPr>
              <w:t>(22.0)</w:t>
            </w:r>
          </w:p>
        </w:tc>
        <w:tc>
          <w:tcPr>
            <w:tcW w:w="12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352DE"/>
              </w:rPr>
              <w:t>(22.0)</w:t>
            </w:r>
          </w:p>
        </w:tc>
      </w:tr>
      <w:tr>
        <w:trPr>
          <w:trHeight w:val="210"/>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6"/>
                <w:szCs w:val="16"/>
                <w:b w:val="1"/>
                <w:bCs w:val="1"/>
                <w:color w:val="1352DE"/>
              </w:rPr>
              <w:t>Shares, end of period</w:t>
            </w:r>
          </w:p>
        </w:tc>
        <w:tc>
          <w:tcPr>
            <w:tcW w:w="3480" w:type="dxa"/>
            <w:vAlign w:val="bottom"/>
            <w:tcBorders>
              <w:bottom w:val="single" w:sz="8" w:color="1352DE"/>
            </w:tcBorders>
          </w:tcPr>
          <w:p>
            <w:pPr>
              <w:jc w:val="right"/>
              <w:ind w:right="259"/>
              <w:spacing w:after="0"/>
              <w:rPr>
                <w:sz w:val="20"/>
                <w:szCs w:val="20"/>
                <w:color w:val="auto"/>
              </w:rPr>
            </w:pPr>
            <w:r>
              <w:rPr>
                <w:rFonts w:ascii="Arial" w:cs="Arial" w:eastAsia="Arial" w:hAnsi="Arial"/>
                <w:sz w:val="16"/>
                <w:szCs w:val="16"/>
                <w:b w:val="1"/>
                <w:bCs w:val="1"/>
                <w:color w:val="1252DE"/>
              </w:rPr>
              <w:t>1,906.7</w:t>
            </w:r>
          </w:p>
        </w:tc>
        <w:tc>
          <w:tcPr>
            <w:tcW w:w="108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b w:val="1"/>
                <w:bCs w:val="1"/>
                <w:color w:val="1252DE"/>
              </w:rPr>
              <w:t>(1,388.0)</w:t>
            </w:r>
          </w:p>
        </w:tc>
        <w:tc>
          <w:tcPr>
            <w:tcW w:w="12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518.7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Dividends</w:t>
      </w:r>
    </w:p>
    <w:p>
      <w:pPr>
        <w:spacing w:after="0" w:line="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Dividends are payable on AIG common stock, par value $2.50 per share (AIG Common Stock) only when, as and if declared by our Board of Directors (the Board) in its discretion, from funds legally available for this purpose. In considering whether to pay a dividend on or purchase shares of AIG Common Stock, our Board of Directors considers a number of factors, including, but not limited to: the capital resources available to support our insurance operations and business strategies, AIG’s funding capacity and capital resources in comparison to internal benchmarks, expectations for capital generation, rating agency expectations for capital, regulatory standards for capital and capital distributions, and such other factors as our Board of Directors may deem relevant.</w:t>
      </w:r>
    </w:p>
    <w:p>
      <w:pPr>
        <w:spacing w:after="0" w:line="75" w:lineRule="exact"/>
        <w:rPr>
          <w:sz w:val="20"/>
          <w:szCs w:val="20"/>
          <w:color w:val="auto"/>
        </w:rPr>
      </w:pPr>
    </w:p>
    <w:p>
      <w:pPr>
        <w:spacing w:after="0" w:line="319" w:lineRule="auto"/>
        <w:rPr>
          <w:sz w:val="20"/>
          <w:szCs w:val="20"/>
          <w:color w:val="auto"/>
        </w:rPr>
      </w:pPr>
      <w:r>
        <w:rPr>
          <w:rFonts w:ascii="Arial" w:cs="Arial" w:eastAsia="Arial" w:hAnsi="Arial"/>
          <w:sz w:val="16"/>
          <w:szCs w:val="16"/>
          <w:i w:val="1"/>
          <w:iCs w:val="1"/>
          <w:color w:val="auto"/>
        </w:rPr>
        <w:t>For a discussion of restrictions on payments of dividends to AIG Parent by its subsidiaries, see Note 18 to the Consolidated Financial Statements in the 2025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Repurchase of AIG Common Stock</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has authorized the repurchase of shares of AIG Common Stock and as of October 29, 2026, $2.1 billion remained under the Board's authorization. Shares may be repurchased from time to time in the open market, through private purchases, through forward, derivative, accelerated repurchase or automatic repurchase transactions or through Rule 10b5-1 plans under the Securities Exchange Act of 1934, as amended (the Exchange Act). Pursuant to a Rule 10b5-1 plan, from October 1, 2026 to October 29, 2026, we repurchased approximately 1 million shares of AIG Common Stock for an aggregate purchase price of approximately $88 million.</w:t>
      </w:r>
    </w:p>
    <w:p>
      <w:pPr>
        <w:spacing w:after="0" w:line="73"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timing of any future repurchases will depend on market conditions, our business and strategic plans, financial condition, results of operations, liquidity and other factors.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DIVIDENDS DECLARED</w:t>
      </w:r>
    </w:p>
    <w:p>
      <w:pPr>
        <w:spacing w:after="0" w:line="117"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On November 3, 2026, our Board of Directors declared a cash dividend on AIG Common Stock of $0.50 per share, payable on December 30, 2026 to shareholders of record as of December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24771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60" w:hanging="734"/>
        <w:spacing w:after="0"/>
        <w:tabs>
          <w:tab w:leader="none" w:pos="760"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color w:val="13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13. Equity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ACCUMULATED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a rollforward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234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1252DE"/>
              </w:rPr>
              <w:t>Unrealized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1252DE"/>
              </w:rPr>
              <w:t>Change in the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1252DE"/>
              </w:rPr>
              <w:t>Appreciation</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1252DE"/>
              </w:rPr>
              <w:t>discount rates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4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1252DE"/>
              </w:rPr>
              <w:t>(Depreciation)</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1252DE"/>
              </w:rPr>
              <w:t>Unrealized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1252DE"/>
              </w:rPr>
              <w:t>used to measure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1252DE"/>
              </w:rPr>
              <w:t>of Fixed Maturity</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1252DE"/>
              </w:rPr>
              <w:t>Appreciation</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1252DE"/>
              </w:rPr>
              <w:t>traditional and</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1252DE"/>
              </w:rPr>
              <w:t>Foreign</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1252DE"/>
              </w:rPr>
              <w:t>Retirement</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4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1252DE"/>
              </w:rPr>
              <w:t>Securities on Which</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1252DE"/>
              </w:rPr>
              <w:t>(Depreciation)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1252DE"/>
              </w:rPr>
              <w:t>limited payment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1252DE"/>
              </w:rPr>
              <w:t>Currency</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1252DE"/>
              </w:rPr>
              <w:t>Plan</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4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1252DE"/>
              </w:rPr>
              <w:t>Allowance for Credit</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1252DE"/>
              </w:rPr>
              <w:t>of All Other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1252DE"/>
              </w:rPr>
              <w:t>long-duration</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1252DE"/>
              </w:rPr>
              <w:t>Translation</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1252DE"/>
              </w:rPr>
              <w:t>Liabilities</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7"/>
        </w:trPr>
        <w:tc>
          <w:tcPr>
            <w:tcW w:w="4160" w:type="dxa"/>
            <w:vAlign w:val="bottom"/>
          </w:tcPr>
          <w:p>
            <w:pPr>
              <w:ind w:left="20"/>
              <w:spacing w:after="0"/>
              <w:rPr>
                <w:sz w:val="20"/>
                <w:szCs w:val="20"/>
                <w:color w:val="auto"/>
              </w:rPr>
            </w:pPr>
            <w:r>
              <w:rPr>
                <w:rFonts w:ascii="Arial" w:cs="Arial" w:eastAsia="Arial" w:hAnsi="Arial"/>
                <w:sz w:val="12"/>
                <w:szCs w:val="12"/>
                <w:i w:val="1"/>
                <w:iCs w:val="1"/>
                <w:color w:val="1252DE"/>
              </w:rPr>
              <w:t>(in millions)</w:t>
            </w: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1252DE"/>
              </w:rPr>
              <w:t>Losses Was Taken</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1252DE"/>
              </w:rPr>
              <w:t>Investments</w:t>
            </w:r>
          </w:p>
        </w:tc>
        <w:tc>
          <w:tcPr>
            <w:tcW w:w="1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1252DE"/>
              </w:rPr>
              <w:t>insurance contracts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1252DE"/>
              </w:rPr>
              <w:t>Adjustments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1252DE"/>
              </w:rPr>
              <w:t>Adjustment</w:t>
            </w:r>
          </w:p>
        </w:tc>
        <w:tc>
          <w:tcPr>
            <w:tcW w:w="26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Arial" w:cs="Arial" w:eastAsia="Arial" w:hAnsi="Arial"/>
                <w:sz w:val="12"/>
                <w:szCs w:val="12"/>
                <w:color w:val="1252DE"/>
                <w:w w:val="97"/>
              </w:rPr>
              <w:t>Total</w:t>
            </w:r>
          </w:p>
        </w:tc>
      </w:tr>
      <w:tr>
        <w:trPr>
          <w:trHeight w:val="169"/>
        </w:trPr>
        <w:tc>
          <w:tcPr>
            <w:tcW w:w="416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Balance, June 30, 2026, net of tax</w:t>
            </w:r>
          </w:p>
        </w:tc>
        <w:tc>
          <w:tcPr>
            <w:tcW w:w="860" w:type="dxa"/>
            <w:vAlign w:val="bottom"/>
            <w:tcBorders>
              <w:top w:val="single" w:sz="8" w:color="1352DE"/>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60" w:type="dxa"/>
            <w:vAlign w:val="bottom"/>
            <w:tcBorders>
              <w:top w:val="single" w:sz="8" w:color="1352DE"/>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w:t>
            </w:r>
          </w:p>
        </w:tc>
        <w:tc>
          <w:tcPr>
            <w:tcW w:w="180" w:type="dxa"/>
            <w:vAlign w:val="bottom"/>
            <w:tcBorders>
              <w:top w:val="single" w:sz="8" w:color="1352DE"/>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840" w:type="dxa"/>
            <w:vAlign w:val="bottom"/>
            <w:tcBorders>
              <w:top w:val="single" w:sz="8" w:color="1352DE"/>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(1,881)</w:t>
            </w:r>
          </w:p>
        </w:tc>
        <w:tc>
          <w:tcPr>
            <w:tcW w:w="180" w:type="dxa"/>
            <w:vAlign w:val="bottom"/>
            <w:tcBorders>
              <w:top w:val="single" w:sz="8" w:color="1352DE"/>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40" w:type="dxa"/>
            <w:vAlign w:val="bottom"/>
            <w:tcBorders>
              <w:top w:val="single" w:sz="8" w:color="1352DE"/>
              <w:bottom w:val="single" w:sz="8" w:color="1352DE"/>
            </w:tcBorders>
            <w:gridSpan w:val="2"/>
          </w:tcPr>
          <w:p>
            <w:pPr>
              <w:jc w:val="right"/>
              <w:ind w:right="22"/>
              <w:spacing w:after="0"/>
              <w:rPr>
                <w:sz w:val="20"/>
                <w:szCs w:val="20"/>
                <w:color w:val="auto"/>
              </w:rPr>
            </w:pPr>
            <w:r>
              <w:rPr>
                <w:rFonts w:ascii="Arial" w:cs="Arial" w:eastAsia="Arial" w:hAnsi="Arial"/>
                <w:sz w:val="12"/>
                <w:szCs w:val="12"/>
                <w:b w:val="1"/>
                <w:bCs w:val="1"/>
                <w:color w:val="1252DE"/>
              </w:rPr>
              <w:t>96</w:t>
            </w:r>
          </w:p>
        </w:tc>
        <w:tc>
          <w:tcPr>
            <w:tcW w:w="12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w:t>
            </w:r>
          </w:p>
        </w:tc>
        <w:tc>
          <w:tcPr>
            <w:tcW w:w="860" w:type="dxa"/>
            <w:vAlign w:val="bottom"/>
            <w:tcBorders>
              <w:top w:val="single" w:sz="8" w:color="1352DE"/>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(3,113)</w:t>
            </w:r>
          </w:p>
        </w:tc>
        <w:tc>
          <w:tcPr>
            <w:tcW w:w="200" w:type="dxa"/>
            <w:vAlign w:val="bottom"/>
            <w:tcBorders>
              <w:top w:val="single" w:sz="8" w:color="1352DE"/>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720" w:type="dxa"/>
            <w:vAlign w:val="bottom"/>
            <w:tcBorders>
              <w:top w:val="single" w:sz="8" w:color="1352DE"/>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(705)</w:t>
            </w:r>
          </w:p>
        </w:tc>
        <w:tc>
          <w:tcPr>
            <w:tcW w:w="260" w:type="dxa"/>
            <w:vAlign w:val="bottom"/>
            <w:tcBorders>
              <w:top w:val="single" w:sz="8" w:color="1352DE"/>
              <w:bottom w:val="single" w:sz="8" w:color="1352DE"/>
            </w:tcBorders>
          </w:tcPr>
          <w:p>
            <w:pPr>
              <w:jc w:val="right"/>
              <w:ind w:right="102"/>
              <w:spacing w:after="0"/>
              <w:rPr>
                <w:sz w:val="20"/>
                <w:szCs w:val="20"/>
                <w:color w:val="auto"/>
              </w:rPr>
            </w:pPr>
            <w:r>
              <w:rPr>
                <w:rFonts w:ascii="Arial" w:cs="Arial" w:eastAsia="Arial" w:hAnsi="Arial"/>
                <w:sz w:val="12"/>
                <w:szCs w:val="12"/>
                <w:b w:val="1"/>
                <w:bCs w:val="1"/>
                <w:color w:val="1252DE"/>
              </w:rPr>
              <w:t>$</w:t>
            </w:r>
          </w:p>
        </w:tc>
        <w:tc>
          <w:tcPr>
            <w:tcW w:w="54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(5,606)</w:t>
            </w:r>
          </w:p>
        </w:tc>
        <w:tc>
          <w:tcPr>
            <w:tcW w:w="20" w:type="dxa"/>
            <w:vAlign w:val="bottom"/>
          </w:tcPr>
          <w:p>
            <w:pPr>
              <w:spacing w:after="0"/>
              <w:rPr>
                <w:sz w:val="14"/>
                <w:szCs w:val="14"/>
                <w:color w:val="auto"/>
              </w:rPr>
            </w:pPr>
          </w:p>
        </w:tc>
      </w:tr>
      <w:tr>
        <w:trPr>
          <w:trHeight w:val="163"/>
        </w:trPr>
        <w:tc>
          <w:tcPr>
            <w:tcW w:w="4160" w:type="dxa"/>
            <w:vAlign w:val="bottom"/>
          </w:tcPr>
          <w:p>
            <w:pPr>
              <w:ind w:left="140"/>
              <w:spacing w:after="0"/>
              <w:rPr>
                <w:sz w:val="20"/>
                <w:szCs w:val="20"/>
                <w:color w:val="auto"/>
              </w:rPr>
            </w:pPr>
            <w:r>
              <w:rPr>
                <w:rFonts w:ascii="Arial" w:cs="Arial" w:eastAsia="Arial" w:hAnsi="Arial"/>
                <w:sz w:val="12"/>
                <w:szCs w:val="12"/>
                <w:color w:val="auto"/>
              </w:rPr>
              <w:t>Change in unrealized appreciation (depreciation) of investments</w:t>
            </w:r>
          </w:p>
        </w:tc>
        <w:tc>
          <w:tcPr>
            <w:tcW w:w="86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5</w:t>
            </w:r>
          </w:p>
        </w:tc>
        <w:tc>
          <w:tcPr>
            <w:tcW w:w="18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1252DE"/>
              </w:rPr>
              <w:t>(2,051)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4"/>
                <w:szCs w:val="14"/>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(2,046)</w:t>
            </w:r>
          </w:p>
        </w:tc>
        <w:tc>
          <w:tcPr>
            <w:tcW w:w="20" w:type="dxa"/>
            <w:vAlign w:val="bottom"/>
          </w:tcPr>
          <w:p>
            <w:pPr>
              <w:spacing w:after="0"/>
              <w:rPr>
                <w:sz w:val="14"/>
                <w:szCs w:val="14"/>
                <w:color w:val="auto"/>
              </w:rPr>
            </w:pPr>
          </w:p>
        </w:tc>
      </w:tr>
      <w:tr>
        <w:trPr>
          <w:trHeight w:val="176"/>
        </w:trPr>
        <w:tc>
          <w:tcPr>
            <w:tcW w:w="4160" w:type="dxa"/>
            <w:vAlign w:val="bottom"/>
          </w:tcPr>
          <w:p>
            <w:pPr>
              <w:ind w:left="140"/>
              <w:spacing w:after="0"/>
              <w:rPr>
                <w:sz w:val="20"/>
                <w:szCs w:val="20"/>
                <w:color w:val="auto"/>
              </w:rPr>
            </w:pPr>
            <w:r>
              <w:rPr>
                <w:rFonts w:ascii="Arial" w:cs="Arial" w:eastAsia="Arial" w:hAnsi="Arial"/>
                <w:sz w:val="12"/>
                <w:szCs w:val="12"/>
                <w:color w:val="auto"/>
              </w:rPr>
              <w:t>Change in other</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1252DE"/>
              </w:rPr>
              <w:t>5</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discount rates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2"/>
                <w:szCs w:val="12"/>
                <w:b w:val="1"/>
                <w:bCs w:val="1"/>
                <w:color w:val="1252DE"/>
              </w:rPr>
              <w:t>15</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1252DE"/>
              </w:rPr>
              <w:t>15</w:t>
            </w:r>
          </w:p>
        </w:tc>
        <w:tc>
          <w:tcPr>
            <w:tcW w:w="20" w:type="dxa"/>
            <w:vAlign w:val="bottom"/>
          </w:tcPr>
          <w:p>
            <w:pPr>
              <w:spacing w:after="0"/>
              <w:rPr>
                <w:sz w:val="15"/>
                <w:szCs w:val="15"/>
                <w:color w:val="auto"/>
              </w:rPr>
            </w:pPr>
          </w:p>
        </w:tc>
      </w:tr>
      <w:tr>
        <w:trPr>
          <w:trHeight w:val="176"/>
        </w:trPr>
        <w:tc>
          <w:tcPr>
            <w:tcW w:w="4160" w:type="dxa"/>
            <w:vAlign w:val="bottom"/>
          </w:tcPr>
          <w:p>
            <w:pPr>
              <w:ind w:left="140"/>
              <w:spacing w:after="0"/>
              <w:rPr>
                <w:sz w:val="20"/>
                <w:szCs w:val="20"/>
                <w:color w:val="auto"/>
              </w:rPr>
            </w:pPr>
            <w:r>
              <w:rPr>
                <w:rFonts w:ascii="Arial" w:cs="Arial" w:eastAsia="Arial" w:hAnsi="Arial"/>
                <w:sz w:val="12"/>
                <w:szCs w:val="12"/>
                <w:color w:val="auto"/>
              </w:rPr>
              <w:t>Change in foreign currency translation adjustments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78</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1252DE"/>
              </w:rPr>
              <w:t>78</w:t>
            </w:r>
          </w:p>
        </w:tc>
        <w:tc>
          <w:tcPr>
            <w:tcW w:w="20" w:type="dxa"/>
            <w:vAlign w:val="bottom"/>
          </w:tcPr>
          <w:p>
            <w:pPr>
              <w:spacing w:after="0"/>
              <w:rPr>
                <w:sz w:val="15"/>
                <w:szCs w:val="15"/>
                <w:color w:val="auto"/>
              </w:rPr>
            </w:pPr>
          </w:p>
        </w:tc>
      </w:tr>
      <w:tr>
        <w:trPr>
          <w:trHeight w:val="176"/>
        </w:trPr>
        <w:tc>
          <w:tcPr>
            <w:tcW w:w="4160" w:type="dxa"/>
            <w:vAlign w:val="bottom"/>
          </w:tcPr>
          <w:p>
            <w:pPr>
              <w:ind w:left="140"/>
              <w:spacing w:after="0"/>
              <w:rPr>
                <w:sz w:val="20"/>
                <w:szCs w:val="20"/>
                <w:color w:val="auto"/>
              </w:rPr>
            </w:pPr>
            <w:r>
              <w:rPr>
                <w:rFonts w:ascii="Arial" w:cs="Arial" w:eastAsia="Arial" w:hAnsi="Arial"/>
                <w:sz w:val="12"/>
                <w:szCs w:val="12"/>
                <w:color w:val="auto"/>
              </w:rPr>
              <w:t>Change in net actuarial loss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7</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1252DE"/>
              </w:rPr>
              <w:t>7</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prior service cost</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1</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1252DE"/>
              </w:rPr>
              <w:t>1</w:t>
            </w:r>
          </w:p>
        </w:tc>
        <w:tc>
          <w:tcPr>
            <w:tcW w:w="20" w:type="dxa"/>
            <w:vAlign w:val="bottom"/>
          </w:tcPr>
          <w:p>
            <w:pPr>
              <w:spacing w:after="0"/>
              <w:rPr>
                <w:sz w:val="15"/>
                <w:szCs w:val="15"/>
                <w:color w:val="auto"/>
              </w:rPr>
            </w:pPr>
          </w:p>
        </w:tc>
      </w:tr>
      <w:tr>
        <w:trPr>
          <w:trHeight w:val="182"/>
        </w:trPr>
        <w:tc>
          <w:tcPr>
            <w:tcW w:w="416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Change in deferred tax asset (liability)</w:t>
            </w:r>
          </w:p>
        </w:tc>
        <w:tc>
          <w:tcPr>
            <w:tcW w:w="86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86</w:t>
            </w:r>
          </w:p>
        </w:tc>
        <w:tc>
          <w:tcPr>
            <w:tcW w:w="18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gridSpan w:val="2"/>
          </w:tcPr>
          <w:p>
            <w:pPr>
              <w:jc w:val="right"/>
              <w:spacing w:after="0"/>
              <w:rPr>
                <w:sz w:val="20"/>
                <w:szCs w:val="20"/>
                <w:color w:val="auto"/>
              </w:rPr>
            </w:pPr>
            <w:r>
              <w:rPr>
                <w:rFonts w:ascii="Arial" w:cs="Arial" w:eastAsia="Arial" w:hAnsi="Arial"/>
                <w:sz w:val="12"/>
                <w:szCs w:val="12"/>
                <w:b w:val="1"/>
                <w:bCs w:val="1"/>
                <w:color w:val="1252DE"/>
              </w:rPr>
              <w:t>(3)</w:t>
            </w:r>
          </w:p>
        </w:tc>
        <w:tc>
          <w:tcPr>
            <w:tcW w:w="12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12</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(2)</w:t>
            </w:r>
          </w:p>
        </w:tc>
        <w:tc>
          <w:tcPr>
            <w:tcW w:w="2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92</w:t>
            </w:r>
          </w:p>
        </w:tc>
        <w:tc>
          <w:tcPr>
            <w:tcW w:w="20" w:type="dxa"/>
            <w:vAlign w:val="bottom"/>
          </w:tcPr>
          <w:p>
            <w:pPr>
              <w:spacing w:after="0"/>
              <w:rPr>
                <w:sz w:val="15"/>
                <w:szCs w:val="15"/>
                <w:color w:val="auto"/>
              </w:rPr>
            </w:pPr>
          </w:p>
        </w:tc>
      </w:tr>
      <w:tr>
        <w:trPr>
          <w:trHeight w:val="169"/>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 other comprehensive income (loss)</w:t>
            </w:r>
          </w:p>
        </w:tc>
        <w:tc>
          <w:tcPr>
            <w:tcW w:w="860" w:type="dxa"/>
            <w:vAlign w:val="bottom"/>
            <w:tcBorders>
              <w:bottom w:val="single" w:sz="8" w:color="1352DE"/>
            </w:tcBorders>
          </w:tcPr>
          <w:p>
            <w:pPr>
              <w:spacing w:after="0"/>
              <w:rPr>
                <w:sz w:val="14"/>
                <w:szCs w:val="14"/>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4</w:t>
            </w:r>
          </w:p>
        </w:tc>
        <w:tc>
          <w:tcPr>
            <w:tcW w:w="180" w:type="dxa"/>
            <w:vAlign w:val="bottom"/>
            <w:tcBorders>
              <w:bottom w:val="single" w:sz="8" w:color="1352DE"/>
            </w:tcBorders>
          </w:tcPr>
          <w:p>
            <w:pPr>
              <w:spacing w:after="0"/>
              <w:rPr>
                <w:sz w:val="14"/>
                <w:szCs w:val="14"/>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(1,960)</w:t>
            </w:r>
          </w:p>
        </w:tc>
        <w:tc>
          <w:tcPr>
            <w:tcW w:w="18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b w:val="1"/>
                <w:bCs w:val="1"/>
                <w:color w:val="1252DE"/>
              </w:rPr>
              <w:t>12</w:t>
            </w:r>
          </w:p>
        </w:tc>
        <w:tc>
          <w:tcPr>
            <w:tcW w:w="120" w:type="dxa"/>
            <w:vAlign w:val="bottom"/>
            <w:tcBorders>
              <w:bottom w:val="single" w:sz="8" w:color="1352DE"/>
            </w:tcBorders>
          </w:tcPr>
          <w:p>
            <w:pPr>
              <w:spacing w:after="0"/>
              <w:rPr>
                <w:sz w:val="14"/>
                <w:szCs w:val="14"/>
                <w:color w:val="auto"/>
              </w:rPr>
            </w:pP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90</w:t>
            </w:r>
          </w:p>
        </w:tc>
        <w:tc>
          <w:tcPr>
            <w:tcW w:w="20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6</w:t>
            </w:r>
          </w:p>
        </w:tc>
        <w:tc>
          <w:tcPr>
            <w:tcW w:w="260" w:type="dxa"/>
            <w:vAlign w:val="bottom"/>
            <w:tcBorders>
              <w:bottom w:val="single" w:sz="8" w:color="1352DE"/>
            </w:tcBorders>
          </w:tcPr>
          <w:p>
            <w:pPr>
              <w:spacing w:after="0"/>
              <w:rPr>
                <w:sz w:val="14"/>
                <w:szCs w:val="14"/>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(1,848)</w:t>
            </w:r>
          </w:p>
        </w:tc>
        <w:tc>
          <w:tcPr>
            <w:tcW w:w="20" w:type="dxa"/>
            <w:vAlign w:val="bottom"/>
          </w:tcPr>
          <w:p>
            <w:pPr>
              <w:spacing w:after="0"/>
              <w:rPr>
                <w:sz w:val="14"/>
                <w:szCs w:val="14"/>
                <w:color w:val="auto"/>
              </w:rPr>
            </w:pPr>
          </w:p>
        </w:tc>
      </w:tr>
      <w:tr>
        <w:trPr>
          <w:trHeight w:val="169"/>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Balance, September 30, 2026, net of tax</w:t>
            </w: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1</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(3,841)</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b w:val="1"/>
                <w:bCs w:val="1"/>
                <w:color w:val="1252DE"/>
              </w:rPr>
              <w:t>108</w:t>
            </w:r>
          </w:p>
        </w:tc>
        <w:tc>
          <w:tcPr>
            <w:tcW w:w="12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w:t>
            </w: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(3,023)</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(699)</w:t>
            </w:r>
          </w:p>
        </w:tc>
        <w:tc>
          <w:tcPr>
            <w:tcW w:w="260" w:type="dxa"/>
            <w:vAlign w:val="bottom"/>
            <w:tcBorders>
              <w:bottom w:val="single" w:sz="8" w:color="1352DE"/>
            </w:tcBorders>
          </w:tcPr>
          <w:p>
            <w:pPr>
              <w:jc w:val="right"/>
              <w:ind w:right="102"/>
              <w:spacing w:after="0"/>
              <w:rPr>
                <w:sz w:val="20"/>
                <w:szCs w:val="20"/>
                <w:color w:val="auto"/>
              </w:rPr>
            </w:pPr>
            <w:r>
              <w:rPr>
                <w:rFonts w:ascii="Arial" w:cs="Arial" w:eastAsia="Arial" w:hAnsi="Arial"/>
                <w:sz w:val="12"/>
                <w:szCs w:val="12"/>
                <w:b w:val="1"/>
                <w:bCs w:val="1"/>
                <w:color w:val="1252DE"/>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(7,454)</w:t>
            </w:r>
          </w:p>
        </w:tc>
        <w:tc>
          <w:tcPr>
            <w:tcW w:w="20" w:type="dxa"/>
            <w:vAlign w:val="bottom"/>
          </w:tcPr>
          <w:p>
            <w:pPr>
              <w:spacing w:after="0"/>
              <w:rPr>
                <w:sz w:val="14"/>
                <w:szCs w:val="14"/>
                <w:color w:val="auto"/>
              </w:rPr>
            </w:pPr>
          </w:p>
        </w:tc>
      </w:tr>
      <w:tr>
        <w:trPr>
          <w:trHeight w:val="250"/>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Balance, June 30, 2025, net of tax</w:t>
            </w: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(6)</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(1,951)</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color w:val="auto"/>
              </w:rPr>
              <w:t>75</w:t>
            </w:r>
          </w:p>
        </w:tc>
        <w:tc>
          <w:tcPr>
            <w:tcW w:w="1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(2,899)</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(767)</w:t>
            </w:r>
          </w:p>
        </w:tc>
        <w:tc>
          <w:tcPr>
            <w:tcW w:w="260" w:type="dxa"/>
            <w:vAlign w:val="bottom"/>
            <w:tcBorders>
              <w:bottom w:val="single" w:sz="8" w:color="1352DE"/>
            </w:tcBorders>
          </w:tcPr>
          <w:p>
            <w:pPr>
              <w:jc w:val="right"/>
              <w:ind w:right="10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(5,548)</w:t>
            </w:r>
          </w:p>
        </w:tc>
        <w:tc>
          <w:tcPr>
            <w:tcW w:w="20" w:type="dxa"/>
            <w:vAlign w:val="bottom"/>
          </w:tcPr>
          <w:p>
            <w:pPr>
              <w:spacing w:after="0"/>
              <w:rPr>
                <w:sz w:val="21"/>
                <w:szCs w:val="21"/>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2"/>
                <w:szCs w:val="12"/>
                <w:color w:val="auto"/>
              </w:rPr>
              <w:t>Change in unrealized appreciation (depreciation) of investments</w:t>
            </w:r>
          </w:p>
        </w:tc>
        <w:tc>
          <w:tcPr>
            <w:tcW w:w="860" w:type="dxa"/>
            <w:vAlign w:val="bottom"/>
          </w:tcPr>
          <w:p>
            <w:pPr>
              <w:spacing w:after="0"/>
              <w:rPr>
                <w:sz w:val="13"/>
                <w:szCs w:val="13"/>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543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543</w:t>
            </w:r>
          </w:p>
        </w:tc>
        <w:tc>
          <w:tcPr>
            <w:tcW w:w="20" w:type="dxa"/>
            <w:vAlign w:val="bottom"/>
          </w:tcPr>
          <w:p>
            <w:pPr>
              <w:spacing w:after="0"/>
              <w:rPr>
                <w:sz w:val="13"/>
                <w:szCs w:val="13"/>
                <w:color w:val="auto"/>
              </w:rPr>
            </w:pPr>
          </w:p>
        </w:tc>
      </w:tr>
      <w:tr>
        <w:trPr>
          <w:trHeight w:val="176"/>
        </w:trPr>
        <w:tc>
          <w:tcPr>
            <w:tcW w:w="4160" w:type="dxa"/>
            <w:vAlign w:val="bottom"/>
          </w:tcPr>
          <w:p>
            <w:pPr>
              <w:ind w:left="140"/>
              <w:spacing w:after="0"/>
              <w:rPr>
                <w:sz w:val="20"/>
                <w:szCs w:val="20"/>
                <w:color w:val="auto"/>
              </w:rPr>
            </w:pPr>
            <w:r>
              <w:rPr>
                <w:rFonts w:ascii="Arial" w:cs="Arial" w:eastAsia="Arial" w:hAnsi="Arial"/>
                <w:sz w:val="12"/>
                <w:szCs w:val="12"/>
                <w:color w:val="auto"/>
              </w:rPr>
              <w:t>Change in other</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discount rates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5"/>
                <w:szCs w:val="15"/>
                <w:color w:val="auto"/>
              </w:rPr>
            </w:pPr>
          </w:p>
        </w:tc>
      </w:tr>
      <w:tr>
        <w:trPr>
          <w:trHeight w:val="176"/>
        </w:trPr>
        <w:tc>
          <w:tcPr>
            <w:tcW w:w="4160" w:type="dxa"/>
            <w:vAlign w:val="bottom"/>
          </w:tcPr>
          <w:p>
            <w:pPr>
              <w:ind w:left="140"/>
              <w:spacing w:after="0"/>
              <w:rPr>
                <w:sz w:val="20"/>
                <w:szCs w:val="20"/>
                <w:color w:val="auto"/>
              </w:rPr>
            </w:pPr>
            <w:r>
              <w:rPr>
                <w:rFonts w:ascii="Arial" w:cs="Arial" w:eastAsia="Arial" w:hAnsi="Arial"/>
                <w:sz w:val="12"/>
                <w:szCs w:val="12"/>
                <w:color w:val="auto"/>
              </w:rPr>
              <w:t>Change in foreign currency translation adjustments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(52)</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net actuarial loss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8</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5"/>
                <w:szCs w:val="15"/>
                <w:color w:val="auto"/>
              </w:rPr>
            </w:pPr>
          </w:p>
        </w:tc>
      </w:tr>
      <w:tr>
        <w:trPr>
          <w:trHeight w:val="176"/>
        </w:trPr>
        <w:tc>
          <w:tcPr>
            <w:tcW w:w="4160" w:type="dxa"/>
            <w:vAlign w:val="bottom"/>
          </w:tcPr>
          <w:p>
            <w:pPr>
              <w:ind w:left="140"/>
              <w:spacing w:after="0"/>
              <w:rPr>
                <w:sz w:val="20"/>
                <w:szCs w:val="20"/>
                <w:color w:val="auto"/>
              </w:rPr>
            </w:pPr>
            <w:r>
              <w:rPr>
                <w:rFonts w:ascii="Arial" w:cs="Arial" w:eastAsia="Arial" w:hAnsi="Arial"/>
                <w:sz w:val="12"/>
                <w:szCs w:val="12"/>
                <w:color w:val="auto"/>
              </w:rPr>
              <w:t>Change in prior service cost</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5"/>
                <w:szCs w:val="15"/>
                <w:color w:val="auto"/>
              </w:rPr>
            </w:pPr>
          </w:p>
        </w:tc>
      </w:tr>
      <w:tr>
        <w:trPr>
          <w:trHeight w:val="187"/>
        </w:trPr>
        <w:tc>
          <w:tcPr>
            <w:tcW w:w="416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Change in deferred tax asset (liability)</w:t>
            </w:r>
          </w:p>
        </w:tc>
        <w:tc>
          <w:tcPr>
            <w:tcW w:w="860" w:type="dxa"/>
            <w:vAlign w:val="bottom"/>
            <w:tcBorders>
              <w:bottom w:val="single" w:sz="8" w:color="1352DE"/>
            </w:tcBorders>
          </w:tcPr>
          <w:p>
            <w:pPr>
              <w:spacing w:after="0"/>
              <w:rPr>
                <w:sz w:val="16"/>
                <w:szCs w:val="16"/>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(16)</w:t>
            </w:r>
          </w:p>
        </w:tc>
        <w:tc>
          <w:tcPr>
            <w:tcW w:w="180" w:type="dxa"/>
            <w:vAlign w:val="bottom"/>
            <w:tcBorders>
              <w:bottom w:val="single" w:sz="8" w:color="1352DE"/>
            </w:tcBorders>
          </w:tcPr>
          <w:p>
            <w:pPr>
              <w:spacing w:after="0"/>
              <w:rPr>
                <w:sz w:val="16"/>
                <w:szCs w:val="16"/>
                <w:color w:val="auto"/>
              </w:rPr>
            </w:pPr>
          </w:p>
        </w:tc>
        <w:tc>
          <w:tcPr>
            <w:tcW w:w="1140" w:type="dxa"/>
            <w:vAlign w:val="bottom"/>
            <w:tcBorders>
              <w:bottom w:val="single" w:sz="8" w:color="1352DE"/>
            </w:tcBorders>
            <w:gridSpan w:val="2"/>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(4)</w:t>
            </w:r>
          </w:p>
        </w:tc>
        <w:tc>
          <w:tcPr>
            <w:tcW w:w="200" w:type="dxa"/>
            <w:vAlign w:val="bottom"/>
            <w:tcBorders>
              <w:bottom w:val="single" w:sz="8" w:color="1352DE"/>
            </w:tcBorders>
          </w:tcPr>
          <w:p>
            <w:pPr>
              <w:spacing w:after="0"/>
              <w:rPr>
                <w:sz w:val="16"/>
                <w:szCs w:val="16"/>
                <w:color w:val="auto"/>
              </w:rPr>
            </w:pP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(3)</w:t>
            </w:r>
          </w:p>
        </w:tc>
        <w:tc>
          <w:tcPr>
            <w:tcW w:w="260" w:type="dxa"/>
            <w:vAlign w:val="bottom"/>
            <w:tcBorders>
              <w:bottom w:val="single" w:sz="8" w:color="1352DE"/>
            </w:tcBorders>
          </w:tcPr>
          <w:p>
            <w:pPr>
              <w:spacing w:after="0"/>
              <w:rPr>
                <w:sz w:val="16"/>
                <w:szCs w:val="16"/>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6"/>
                <w:szCs w:val="16"/>
                <w:color w:val="auto"/>
              </w:rPr>
            </w:pPr>
          </w:p>
        </w:tc>
      </w:tr>
      <w:tr>
        <w:trPr>
          <w:trHeight w:val="169"/>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 other comprehensive income (loss)</w:t>
            </w:r>
          </w:p>
        </w:tc>
        <w:tc>
          <w:tcPr>
            <w:tcW w:w="860" w:type="dxa"/>
            <w:vAlign w:val="bottom"/>
            <w:tcBorders>
              <w:bottom w:val="single" w:sz="8" w:color="1352DE"/>
            </w:tcBorders>
          </w:tcPr>
          <w:p>
            <w:pPr>
              <w:spacing w:after="0"/>
              <w:rPr>
                <w:sz w:val="14"/>
                <w:szCs w:val="14"/>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1352DE"/>
            </w:tcBorders>
          </w:tcPr>
          <w:p>
            <w:pPr>
              <w:spacing w:after="0"/>
              <w:rPr>
                <w:sz w:val="14"/>
                <w:szCs w:val="14"/>
                <w:color w:val="auto"/>
              </w:rPr>
            </w:pPr>
          </w:p>
        </w:tc>
        <w:tc>
          <w:tcPr>
            <w:tcW w:w="8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547</w:t>
            </w:r>
          </w:p>
        </w:tc>
        <w:tc>
          <w:tcPr>
            <w:tcW w:w="18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1352DE"/>
            </w:tcBorders>
          </w:tcPr>
          <w:p>
            <w:pPr>
              <w:spacing w:after="0"/>
              <w:rPr>
                <w:sz w:val="14"/>
                <w:szCs w:val="14"/>
                <w:color w:val="auto"/>
              </w:rPr>
            </w:pP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(56)</w:t>
            </w:r>
          </w:p>
        </w:tc>
        <w:tc>
          <w:tcPr>
            <w:tcW w:w="20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1352DE"/>
            </w:tcBorders>
          </w:tcPr>
          <w:p>
            <w:pPr>
              <w:spacing w:after="0"/>
              <w:rPr>
                <w:sz w:val="14"/>
                <w:szCs w:val="14"/>
                <w:color w:val="auto"/>
              </w:rPr>
            </w:pPr>
          </w:p>
        </w:tc>
        <w:tc>
          <w:tcPr>
            <w:tcW w:w="5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502</w:t>
            </w:r>
          </w:p>
        </w:tc>
        <w:tc>
          <w:tcPr>
            <w:tcW w:w="20" w:type="dxa"/>
            <w:vAlign w:val="bottom"/>
          </w:tcPr>
          <w:p>
            <w:pPr>
              <w:spacing w:after="0"/>
              <w:rPr>
                <w:sz w:val="14"/>
                <w:szCs w:val="14"/>
                <w:color w:val="auto"/>
              </w:rPr>
            </w:pPr>
          </w:p>
        </w:tc>
      </w:tr>
      <w:tr>
        <w:trPr>
          <w:trHeight w:val="169"/>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Balance, September 30, 2025, net of tax</w:t>
            </w: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(6)</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(1,404)</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(2,955)</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(761)</w:t>
            </w:r>
          </w:p>
        </w:tc>
        <w:tc>
          <w:tcPr>
            <w:tcW w:w="260" w:type="dxa"/>
            <w:vAlign w:val="bottom"/>
            <w:tcBorders>
              <w:bottom w:val="single" w:sz="8" w:color="1352DE"/>
            </w:tcBorders>
          </w:tcPr>
          <w:p>
            <w:pPr>
              <w:jc w:val="right"/>
              <w:ind w:right="10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(5,046)</w:t>
            </w:r>
          </w:p>
        </w:tc>
        <w:tc>
          <w:tcPr>
            <w:tcW w:w="20" w:type="dxa"/>
            <w:vAlign w:val="bottom"/>
          </w:tcPr>
          <w:p>
            <w:pPr>
              <w:spacing w:after="0"/>
              <w:rPr>
                <w:sz w:val="14"/>
                <w:szCs w:val="14"/>
                <w:color w:val="auto"/>
              </w:rPr>
            </w:pPr>
          </w:p>
        </w:tc>
      </w:tr>
      <w:tr>
        <w:trPr>
          <w:trHeight w:val="290"/>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Balance, December 31, 2025, net of tax</w:t>
            </w: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(1,373)</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b w:val="1"/>
                <w:bCs w:val="1"/>
                <w:color w:val="1252DE"/>
              </w:rPr>
              <w:t>87</w:t>
            </w:r>
          </w:p>
        </w:tc>
        <w:tc>
          <w:tcPr>
            <w:tcW w:w="12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w:t>
            </w: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(2,981)</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(717)</w:t>
            </w:r>
          </w:p>
        </w:tc>
        <w:tc>
          <w:tcPr>
            <w:tcW w:w="260" w:type="dxa"/>
            <w:vAlign w:val="bottom"/>
            <w:tcBorders>
              <w:bottom w:val="single" w:sz="8" w:color="1352DE"/>
            </w:tcBorders>
          </w:tcPr>
          <w:p>
            <w:pPr>
              <w:jc w:val="right"/>
              <w:ind w:right="102"/>
              <w:spacing w:after="0"/>
              <w:rPr>
                <w:sz w:val="20"/>
                <w:szCs w:val="20"/>
                <w:color w:val="auto"/>
              </w:rPr>
            </w:pPr>
            <w:r>
              <w:rPr>
                <w:rFonts w:ascii="Arial" w:cs="Arial" w:eastAsia="Arial" w:hAnsi="Arial"/>
                <w:sz w:val="12"/>
                <w:szCs w:val="12"/>
                <w:b w:val="1"/>
                <w:bCs w:val="1"/>
                <w:color w:val="1252DE"/>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(4,987)</w:t>
            </w:r>
          </w:p>
        </w:tc>
        <w:tc>
          <w:tcPr>
            <w:tcW w:w="20" w:type="dxa"/>
            <w:vAlign w:val="bottom"/>
          </w:tcPr>
          <w:p>
            <w:pPr>
              <w:spacing w:after="0"/>
              <w:rPr>
                <w:sz w:val="24"/>
                <w:szCs w:val="24"/>
                <w:color w:val="auto"/>
              </w:rPr>
            </w:pPr>
          </w:p>
        </w:tc>
      </w:tr>
      <w:tr>
        <w:trPr>
          <w:trHeight w:val="163"/>
        </w:trPr>
        <w:tc>
          <w:tcPr>
            <w:tcW w:w="4160" w:type="dxa"/>
            <w:vAlign w:val="bottom"/>
          </w:tcPr>
          <w:p>
            <w:pPr>
              <w:ind w:left="140"/>
              <w:spacing w:after="0"/>
              <w:rPr>
                <w:sz w:val="20"/>
                <w:szCs w:val="20"/>
                <w:color w:val="auto"/>
              </w:rPr>
            </w:pPr>
            <w:r>
              <w:rPr>
                <w:rFonts w:ascii="Arial" w:cs="Arial" w:eastAsia="Arial" w:hAnsi="Arial"/>
                <w:sz w:val="12"/>
                <w:szCs w:val="12"/>
                <w:color w:val="auto"/>
              </w:rPr>
              <w:t>Change in unrealized appreciation (depreciation) of investments</w:t>
            </w:r>
          </w:p>
        </w:tc>
        <w:tc>
          <w:tcPr>
            <w:tcW w:w="86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5</w:t>
            </w:r>
          </w:p>
        </w:tc>
        <w:tc>
          <w:tcPr>
            <w:tcW w:w="18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1252DE"/>
              </w:rPr>
              <w:t>(2,615)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4"/>
                <w:szCs w:val="14"/>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(2,610)</w:t>
            </w:r>
          </w:p>
        </w:tc>
        <w:tc>
          <w:tcPr>
            <w:tcW w:w="20" w:type="dxa"/>
            <w:vAlign w:val="bottom"/>
          </w:tcPr>
          <w:p>
            <w:pPr>
              <w:spacing w:after="0"/>
              <w:rPr>
                <w:sz w:val="14"/>
                <w:szCs w:val="14"/>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other</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1252DE"/>
              </w:rPr>
              <w:t>(15)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(15)</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discount rates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2"/>
                <w:szCs w:val="12"/>
                <w:b w:val="1"/>
                <w:bCs w:val="1"/>
                <w:color w:val="1252DE"/>
              </w:rPr>
              <w:t>28</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1252DE"/>
              </w:rPr>
              <w:t>28</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foreign currency translation adjustments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b w:val="1"/>
                <w:bCs w:val="1"/>
                <w:color w:val="1252DE"/>
              </w:rPr>
              <w:t>(45)</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(45)</w:t>
            </w:r>
          </w:p>
        </w:tc>
        <w:tc>
          <w:tcPr>
            <w:tcW w:w="20" w:type="dxa"/>
            <w:vAlign w:val="bottom"/>
          </w:tcPr>
          <w:p>
            <w:pPr>
              <w:spacing w:after="0"/>
              <w:rPr>
                <w:sz w:val="15"/>
                <w:szCs w:val="15"/>
                <w:color w:val="auto"/>
              </w:rPr>
            </w:pPr>
          </w:p>
        </w:tc>
      </w:tr>
      <w:tr>
        <w:trPr>
          <w:trHeight w:val="176"/>
        </w:trPr>
        <w:tc>
          <w:tcPr>
            <w:tcW w:w="4160" w:type="dxa"/>
            <w:vAlign w:val="bottom"/>
          </w:tcPr>
          <w:p>
            <w:pPr>
              <w:ind w:left="140"/>
              <w:spacing w:after="0"/>
              <w:rPr>
                <w:sz w:val="20"/>
                <w:szCs w:val="20"/>
                <w:color w:val="auto"/>
              </w:rPr>
            </w:pPr>
            <w:r>
              <w:rPr>
                <w:rFonts w:ascii="Arial" w:cs="Arial" w:eastAsia="Arial" w:hAnsi="Arial"/>
                <w:sz w:val="12"/>
                <w:szCs w:val="12"/>
                <w:color w:val="auto"/>
              </w:rPr>
              <w:t>Change in net actuarial loss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21</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1252DE"/>
              </w:rPr>
              <w:t>21</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prior service cost</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1252DE"/>
              </w:rPr>
              <w:t>3</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1252DE"/>
              </w:rPr>
              <w:t>3</w:t>
            </w:r>
          </w:p>
        </w:tc>
        <w:tc>
          <w:tcPr>
            <w:tcW w:w="20" w:type="dxa"/>
            <w:vAlign w:val="bottom"/>
          </w:tcPr>
          <w:p>
            <w:pPr>
              <w:spacing w:after="0"/>
              <w:rPr>
                <w:sz w:val="15"/>
                <w:szCs w:val="15"/>
                <w:color w:val="auto"/>
              </w:rPr>
            </w:pPr>
          </w:p>
        </w:tc>
      </w:tr>
      <w:tr>
        <w:trPr>
          <w:trHeight w:val="181"/>
        </w:trPr>
        <w:tc>
          <w:tcPr>
            <w:tcW w:w="416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Change in deferred tax asset (liability)</w:t>
            </w:r>
          </w:p>
        </w:tc>
        <w:tc>
          <w:tcPr>
            <w:tcW w:w="86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162</w:t>
            </w:r>
          </w:p>
        </w:tc>
        <w:tc>
          <w:tcPr>
            <w:tcW w:w="18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gridSpan w:val="2"/>
          </w:tcPr>
          <w:p>
            <w:pPr>
              <w:jc w:val="right"/>
              <w:spacing w:after="0"/>
              <w:rPr>
                <w:sz w:val="20"/>
                <w:szCs w:val="20"/>
                <w:color w:val="auto"/>
              </w:rPr>
            </w:pPr>
            <w:r>
              <w:rPr>
                <w:rFonts w:ascii="Arial" w:cs="Arial" w:eastAsia="Arial" w:hAnsi="Arial"/>
                <w:sz w:val="12"/>
                <w:szCs w:val="12"/>
                <w:b w:val="1"/>
                <w:bCs w:val="1"/>
                <w:color w:val="1252DE"/>
              </w:rPr>
              <w:t>(7)</w:t>
            </w:r>
          </w:p>
        </w:tc>
        <w:tc>
          <w:tcPr>
            <w:tcW w:w="12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3</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(6)</w:t>
            </w:r>
          </w:p>
        </w:tc>
        <w:tc>
          <w:tcPr>
            <w:tcW w:w="2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151</w:t>
            </w:r>
          </w:p>
        </w:tc>
        <w:tc>
          <w:tcPr>
            <w:tcW w:w="20" w:type="dxa"/>
            <w:vAlign w:val="bottom"/>
          </w:tcPr>
          <w:p>
            <w:pPr>
              <w:spacing w:after="0"/>
              <w:rPr>
                <w:sz w:val="15"/>
                <w:szCs w:val="15"/>
                <w:color w:val="auto"/>
              </w:rPr>
            </w:pPr>
          </w:p>
        </w:tc>
      </w:tr>
      <w:tr>
        <w:trPr>
          <w:trHeight w:val="169"/>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 other comprehensive income (loss)</w:t>
            </w:r>
          </w:p>
        </w:tc>
        <w:tc>
          <w:tcPr>
            <w:tcW w:w="860" w:type="dxa"/>
            <w:vAlign w:val="bottom"/>
            <w:tcBorders>
              <w:bottom w:val="single" w:sz="8" w:color="1352DE"/>
            </w:tcBorders>
          </w:tcPr>
          <w:p>
            <w:pPr>
              <w:spacing w:after="0"/>
              <w:rPr>
                <w:sz w:val="14"/>
                <w:szCs w:val="14"/>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352DE"/>
              </w:rPr>
              <w:t>4</w:t>
            </w:r>
          </w:p>
        </w:tc>
        <w:tc>
          <w:tcPr>
            <w:tcW w:w="180" w:type="dxa"/>
            <w:vAlign w:val="bottom"/>
            <w:tcBorders>
              <w:bottom w:val="single" w:sz="8" w:color="1352DE"/>
            </w:tcBorders>
          </w:tcPr>
          <w:p>
            <w:pPr>
              <w:spacing w:after="0"/>
              <w:rPr>
                <w:sz w:val="14"/>
                <w:szCs w:val="14"/>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(2,468)</w:t>
            </w:r>
          </w:p>
        </w:tc>
        <w:tc>
          <w:tcPr>
            <w:tcW w:w="18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b w:val="1"/>
                <w:bCs w:val="1"/>
                <w:color w:val="1352DE"/>
              </w:rPr>
              <w:t>21</w:t>
            </w:r>
          </w:p>
        </w:tc>
        <w:tc>
          <w:tcPr>
            <w:tcW w:w="120" w:type="dxa"/>
            <w:vAlign w:val="bottom"/>
            <w:tcBorders>
              <w:bottom w:val="single" w:sz="8" w:color="1352DE"/>
            </w:tcBorders>
          </w:tcPr>
          <w:p>
            <w:pPr>
              <w:spacing w:after="0"/>
              <w:rPr>
                <w:sz w:val="14"/>
                <w:szCs w:val="14"/>
                <w:color w:val="auto"/>
              </w:rPr>
            </w:pP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(42)</w:t>
            </w:r>
          </w:p>
        </w:tc>
        <w:tc>
          <w:tcPr>
            <w:tcW w:w="20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352DE"/>
              </w:rPr>
              <w:t>18</w:t>
            </w:r>
          </w:p>
        </w:tc>
        <w:tc>
          <w:tcPr>
            <w:tcW w:w="260" w:type="dxa"/>
            <w:vAlign w:val="bottom"/>
            <w:tcBorders>
              <w:bottom w:val="single" w:sz="8" w:color="1352DE"/>
            </w:tcBorders>
          </w:tcPr>
          <w:p>
            <w:pPr>
              <w:spacing w:after="0"/>
              <w:rPr>
                <w:sz w:val="14"/>
                <w:szCs w:val="14"/>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352DE"/>
              </w:rPr>
              <w:t>(2,467)</w:t>
            </w:r>
          </w:p>
        </w:tc>
        <w:tc>
          <w:tcPr>
            <w:tcW w:w="20" w:type="dxa"/>
            <w:vAlign w:val="bottom"/>
          </w:tcPr>
          <w:p>
            <w:pPr>
              <w:spacing w:after="0"/>
              <w:rPr>
                <w:sz w:val="14"/>
                <w:szCs w:val="14"/>
                <w:color w:val="auto"/>
              </w:rPr>
            </w:pPr>
          </w:p>
        </w:tc>
      </w:tr>
      <w:tr>
        <w:trPr>
          <w:trHeight w:val="169"/>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Balance, September 30, 2026, net of tax</w:t>
            </w: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1</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(3,841)</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b w:val="1"/>
                <w:bCs w:val="1"/>
                <w:color w:val="1252DE"/>
              </w:rPr>
              <w:t>108</w:t>
            </w:r>
          </w:p>
        </w:tc>
        <w:tc>
          <w:tcPr>
            <w:tcW w:w="12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w:t>
            </w: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(3,023)</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(699)</w:t>
            </w:r>
          </w:p>
        </w:tc>
        <w:tc>
          <w:tcPr>
            <w:tcW w:w="260" w:type="dxa"/>
            <w:vAlign w:val="bottom"/>
            <w:tcBorders>
              <w:bottom w:val="single" w:sz="8" w:color="1352DE"/>
            </w:tcBorders>
          </w:tcPr>
          <w:p>
            <w:pPr>
              <w:jc w:val="right"/>
              <w:ind w:right="102"/>
              <w:spacing w:after="0"/>
              <w:rPr>
                <w:sz w:val="20"/>
                <w:szCs w:val="20"/>
                <w:color w:val="auto"/>
              </w:rPr>
            </w:pPr>
            <w:r>
              <w:rPr>
                <w:rFonts w:ascii="Arial" w:cs="Arial" w:eastAsia="Arial" w:hAnsi="Arial"/>
                <w:sz w:val="12"/>
                <w:szCs w:val="12"/>
                <w:b w:val="1"/>
                <w:bCs w:val="1"/>
                <w:color w:val="1252DE"/>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(7,454)</w:t>
            </w:r>
          </w:p>
        </w:tc>
        <w:tc>
          <w:tcPr>
            <w:tcW w:w="20" w:type="dxa"/>
            <w:vAlign w:val="bottom"/>
          </w:tcPr>
          <w:p>
            <w:pPr>
              <w:spacing w:after="0"/>
              <w:rPr>
                <w:sz w:val="14"/>
                <w:szCs w:val="14"/>
                <w:color w:val="auto"/>
              </w:rPr>
            </w:pPr>
          </w:p>
        </w:tc>
      </w:tr>
      <w:tr>
        <w:trPr>
          <w:trHeight w:val="277"/>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Balance, December 31, 2024, net of tax</w:t>
            </w: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(4)</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(2,868)</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(3,521)</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(774)</w:t>
            </w:r>
          </w:p>
        </w:tc>
        <w:tc>
          <w:tcPr>
            <w:tcW w:w="260" w:type="dxa"/>
            <w:vAlign w:val="bottom"/>
            <w:tcBorders>
              <w:bottom w:val="single" w:sz="8" w:color="1352DE"/>
            </w:tcBorders>
          </w:tcPr>
          <w:p>
            <w:pPr>
              <w:jc w:val="right"/>
              <w:ind w:right="10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(7,099)</w:t>
            </w:r>
          </w:p>
        </w:tc>
        <w:tc>
          <w:tcPr>
            <w:tcW w:w="20" w:type="dxa"/>
            <w:vAlign w:val="bottom"/>
          </w:tcPr>
          <w:p>
            <w:pPr>
              <w:spacing w:after="0"/>
              <w:rPr>
                <w:sz w:val="24"/>
                <w:szCs w:val="24"/>
                <w:color w:val="auto"/>
              </w:rPr>
            </w:pPr>
          </w:p>
        </w:tc>
      </w:tr>
      <w:tr>
        <w:trPr>
          <w:trHeight w:val="157"/>
        </w:trPr>
        <w:tc>
          <w:tcPr>
            <w:tcW w:w="4160" w:type="dxa"/>
            <w:vAlign w:val="bottom"/>
          </w:tcPr>
          <w:p>
            <w:pPr>
              <w:ind w:left="140"/>
              <w:spacing w:after="0"/>
              <w:rPr>
                <w:sz w:val="20"/>
                <w:szCs w:val="20"/>
                <w:color w:val="auto"/>
              </w:rPr>
            </w:pPr>
            <w:r>
              <w:rPr>
                <w:rFonts w:ascii="Arial" w:cs="Arial" w:eastAsia="Arial" w:hAnsi="Arial"/>
                <w:sz w:val="12"/>
                <w:szCs w:val="12"/>
                <w:color w:val="auto"/>
              </w:rPr>
              <w:t>Change in unrealized appreciation (depreciation) of investments</w:t>
            </w:r>
          </w:p>
        </w:tc>
        <w:tc>
          <w:tcPr>
            <w:tcW w:w="860" w:type="dxa"/>
            <w:vAlign w:val="bottom"/>
          </w:tcPr>
          <w:p>
            <w:pPr>
              <w:spacing w:after="0"/>
              <w:rPr>
                <w:sz w:val="13"/>
                <w:szCs w:val="13"/>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1,373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1,370</w:t>
            </w:r>
          </w:p>
        </w:tc>
        <w:tc>
          <w:tcPr>
            <w:tcW w:w="20" w:type="dxa"/>
            <w:vAlign w:val="bottom"/>
          </w:tcPr>
          <w:p>
            <w:pPr>
              <w:spacing w:after="0"/>
              <w:rPr>
                <w:sz w:val="13"/>
                <w:szCs w:val="13"/>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other</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17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15"/>
                <w:szCs w:val="15"/>
                <w:color w:val="auto"/>
              </w:rPr>
            </w:pPr>
          </w:p>
        </w:tc>
      </w:tr>
      <w:tr>
        <w:trPr>
          <w:trHeight w:val="176"/>
        </w:trPr>
        <w:tc>
          <w:tcPr>
            <w:tcW w:w="4160" w:type="dxa"/>
            <w:vAlign w:val="bottom"/>
          </w:tcPr>
          <w:p>
            <w:pPr>
              <w:ind w:left="140"/>
              <w:spacing w:after="0"/>
              <w:rPr>
                <w:sz w:val="20"/>
                <w:szCs w:val="20"/>
                <w:color w:val="auto"/>
              </w:rPr>
            </w:pPr>
            <w:r>
              <w:rPr>
                <w:rFonts w:ascii="Arial" w:cs="Arial" w:eastAsia="Arial" w:hAnsi="Arial"/>
                <w:sz w:val="12"/>
                <w:szCs w:val="12"/>
                <w:color w:val="auto"/>
              </w:rPr>
              <w:t>Change in discount rates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foreign currency translation adjustments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537</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537</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net actuarial loss</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5"/>
                <w:szCs w:val="15"/>
                <w:color w:val="auto"/>
              </w:rPr>
            </w:pPr>
          </w:p>
        </w:tc>
      </w:tr>
      <w:tr>
        <w:trPr>
          <w:trHeight w:val="175"/>
        </w:trPr>
        <w:tc>
          <w:tcPr>
            <w:tcW w:w="4160" w:type="dxa"/>
            <w:vAlign w:val="bottom"/>
          </w:tcPr>
          <w:p>
            <w:pPr>
              <w:ind w:left="140"/>
              <w:spacing w:after="0"/>
              <w:rPr>
                <w:sz w:val="20"/>
                <w:szCs w:val="20"/>
                <w:color w:val="auto"/>
              </w:rPr>
            </w:pPr>
            <w:r>
              <w:rPr>
                <w:rFonts w:ascii="Arial" w:cs="Arial" w:eastAsia="Arial" w:hAnsi="Arial"/>
                <w:sz w:val="12"/>
                <w:szCs w:val="12"/>
                <w:color w:val="auto"/>
              </w:rPr>
              <w:t>Change in prior service cost</w:t>
            </w:r>
          </w:p>
        </w:tc>
        <w:tc>
          <w:tcPr>
            <w:tcW w:w="86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5"/>
                <w:szCs w:val="15"/>
                <w:color w:val="auto"/>
              </w:rPr>
            </w:pPr>
          </w:p>
        </w:tc>
      </w:tr>
      <w:tr>
        <w:trPr>
          <w:trHeight w:val="187"/>
        </w:trPr>
        <w:tc>
          <w:tcPr>
            <w:tcW w:w="4160" w:type="dxa"/>
            <w:vAlign w:val="bottom"/>
            <w:tcBorders>
              <w:bottom w:val="single" w:sz="8" w:color="1352DE"/>
            </w:tcBorders>
          </w:tcPr>
          <w:p>
            <w:pPr>
              <w:ind w:left="140"/>
              <w:spacing w:after="0"/>
              <w:rPr>
                <w:sz w:val="20"/>
                <w:szCs w:val="20"/>
                <w:color w:val="auto"/>
              </w:rPr>
            </w:pPr>
            <w:r>
              <w:rPr>
                <w:rFonts w:ascii="Arial" w:cs="Arial" w:eastAsia="Arial" w:hAnsi="Arial"/>
                <w:sz w:val="12"/>
                <w:szCs w:val="12"/>
                <w:color w:val="auto"/>
              </w:rPr>
              <w:t>Change in deferred tax asset (liability)</w:t>
            </w:r>
          </w:p>
        </w:tc>
        <w:tc>
          <w:tcPr>
            <w:tcW w:w="860" w:type="dxa"/>
            <w:vAlign w:val="bottom"/>
            <w:tcBorders>
              <w:bottom w:val="single" w:sz="8" w:color="1352DE"/>
            </w:tcBorders>
          </w:tcPr>
          <w:p>
            <w:pPr>
              <w:spacing w:after="0"/>
              <w:rPr>
                <w:sz w:val="16"/>
                <w:szCs w:val="16"/>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74</w:t>
            </w:r>
          </w:p>
        </w:tc>
        <w:tc>
          <w:tcPr>
            <w:tcW w:w="180" w:type="dxa"/>
            <w:vAlign w:val="bottom"/>
            <w:tcBorders>
              <w:bottom w:val="single" w:sz="8" w:color="1352DE"/>
            </w:tcBorders>
          </w:tcPr>
          <w:p>
            <w:pPr>
              <w:spacing w:after="0"/>
              <w:rPr>
                <w:sz w:val="16"/>
                <w:szCs w:val="16"/>
                <w:color w:val="auto"/>
              </w:rPr>
            </w:pPr>
          </w:p>
        </w:tc>
        <w:tc>
          <w:tcPr>
            <w:tcW w:w="1140" w:type="dxa"/>
            <w:vAlign w:val="bottom"/>
            <w:tcBorders>
              <w:bottom w:val="single" w:sz="8" w:color="1352DE"/>
            </w:tcBorders>
            <w:gridSpan w:val="2"/>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1352DE"/>
            </w:tcBorders>
          </w:tcPr>
          <w:p>
            <w:pPr>
              <w:spacing w:after="0"/>
              <w:rPr>
                <w:sz w:val="16"/>
                <w:szCs w:val="16"/>
                <w:color w:val="auto"/>
              </w:rPr>
            </w:pP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30</w:t>
            </w:r>
          </w:p>
        </w:tc>
        <w:tc>
          <w:tcPr>
            <w:tcW w:w="200" w:type="dxa"/>
            <w:vAlign w:val="bottom"/>
            <w:tcBorders>
              <w:bottom w:val="single" w:sz="8" w:color="1352DE"/>
            </w:tcBorders>
          </w:tcPr>
          <w:p>
            <w:pPr>
              <w:spacing w:after="0"/>
              <w:rPr>
                <w:sz w:val="16"/>
                <w:szCs w:val="16"/>
                <w:color w:val="auto"/>
              </w:rPr>
            </w:pP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1352DE"/>
            </w:tcBorders>
          </w:tcPr>
          <w:p>
            <w:pPr>
              <w:spacing w:after="0"/>
              <w:rPr>
                <w:sz w:val="16"/>
                <w:szCs w:val="16"/>
                <w:color w:val="auto"/>
              </w:rPr>
            </w:pPr>
          </w:p>
        </w:tc>
        <w:tc>
          <w:tcPr>
            <w:tcW w:w="5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95</w:t>
            </w:r>
          </w:p>
        </w:tc>
        <w:tc>
          <w:tcPr>
            <w:tcW w:w="20" w:type="dxa"/>
            <w:vAlign w:val="bottom"/>
          </w:tcPr>
          <w:p>
            <w:pPr>
              <w:spacing w:after="0"/>
              <w:rPr>
                <w:sz w:val="16"/>
                <w:szCs w:val="16"/>
                <w:color w:val="auto"/>
              </w:rPr>
            </w:pPr>
          </w:p>
        </w:tc>
      </w:tr>
      <w:tr>
        <w:trPr>
          <w:trHeight w:val="164"/>
        </w:trPr>
        <w:tc>
          <w:tcPr>
            <w:tcW w:w="4160" w:type="dxa"/>
            <w:vAlign w:val="bottom"/>
          </w:tcPr>
          <w:p>
            <w:pPr>
              <w:ind w:left="20"/>
              <w:spacing w:after="0"/>
              <w:rPr>
                <w:sz w:val="20"/>
                <w:szCs w:val="20"/>
                <w:color w:val="auto"/>
              </w:rPr>
            </w:pPr>
            <w:r>
              <w:rPr>
                <w:rFonts w:ascii="Arial" w:cs="Arial" w:eastAsia="Arial" w:hAnsi="Arial"/>
                <w:sz w:val="12"/>
                <w:szCs w:val="12"/>
                <w:b w:val="1"/>
                <w:bCs w:val="1"/>
                <w:color w:val="1252DE"/>
              </w:rPr>
              <w:t>Total other comprehensive income (loss)</w:t>
            </w:r>
          </w:p>
        </w:tc>
        <w:tc>
          <w:tcPr>
            <w:tcW w:w="860" w:type="dxa"/>
            <w:vAlign w:val="bottom"/>
          </w:tcPr>
          <w:p>
            <w:pPr>
              <w:spacing w:after="0"/>
              <w:rPr>
                <w:sz w:val="14"/>
                <w:szCs w:val="14"/>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4"/>
                <w:szCs w:val="14"/>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1,464</w:t>
            </w:r>
          </w:p>
        </w:tc>
        <w:tc>
          <w:tcPr>
            <w:tcW w:w="180" w:type="dxa"/>
            <w:vAlign w:val="bottom"/>
          </w:tcPr>
          <w:p>
            <w:pPr>
              <w:spacing w:after="0"/>
              <w:rPr>
                <w:sz w:val="14"/>
                <w:szCs w:val="14"/>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567</w:t>
            </w: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13</w:t>
            </w:r>
          </w:p>
        </w:tc>
        <w:tc>
          <w:tcPr>
            <w:tcW w:w="26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2,054</w:t>
            </w:r>
          </w:p>
        </w:tc>
        <w:tc>
          <w:tcPr>
            <w:tcW w:w="20" w:type="dxa"/>
            <w:vAlign w:val="bottom"/>
          </w:tcPr>
          <w:p>
            <w:pPr>
              <w:spacing w:after="0"/>
              <w:rPr>
                <w:sz w:val="14"/>
                <w:szCs w:val="14"/>
                <w:color w:val="auto"/>
              </w:rPr>
            </w:pPr>
          </w:p>
        </w:tc>
      </w:tr>
      <w:tr>
        <w:trPr>
          <w:trHeight w:val="181"/>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Less: Noncontrolling interests</w:t>
            </w:r>
          </w:p>
        </w:tc>
        <w:tc>
          <w:tcPr>
            <w:tcW w:w="86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9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1352DE"/>
            </w:tcBorders>
          </w:tcPr>
          <w:p>
            <w:pPr>
              <w:spacing w:after="0"/>
              <w:rPr>
                <w:sz w:val="15"/>
                <w:szCs w:val="15"/>
                <w:color w:val="auto"/>
              </w:rPr>
            </w:pP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1</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5"/>
                <w:szCs w:val="15"/>
                <w:color w:val="auto"/>
              </w:rPr>
            </w:pPr>
          </w:p>
        </w:tc>
      </w:tr>
      <w:tr>
        <w:trPr>
          <w:trHeight w:val="169"/>
        </w:trPr>
        <w:tc>
          <w:tcPr>
            <w:tcW w:w="416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Balance, September 30, 2025, net of tax</w:t>
            </w:r>
          </w:p>
        </w:tc>
        <w:tc>
          <w:tcPr>
            <w:tcW w:w="8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(6)</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(1,404)</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1352DE"/>
            </w:tcBorders>
            <w:gridSpan w:val="2"/>
          </w:tcPr>
          <w:p>
            <w:pPr>
              <w:jc w:val="right"/>
              <w:ind w:right="22"/>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(2,955)</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(761)</w:t>
            </w:r>
          </w:p>
        </w:tc>
        <w:tc>
          <w:tcPr>
            <w:tcW w:w="260" w:type="dxa"/>
            <w:vAlign w:val="bottom"/>
            <w:tcBorders>
              <w:bottom w:val="single" w:sz="8" w:color="1352DE"/>
            </w:tcBorders>
          </w:tcPr>
          <w:p>
            <w:pPr>
              <w:jc w:val="right"/>
              <w:ind w:right="10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(5,046)</w:t>
            </w:r>
          </w:p>
        </w:tc>
        <w:tc>
          <w:tcPr>
            <w:tcW w:w="20" w:type="dxa"/>
            <w:vAlign w:val="bottom"/>
          </w:tcPr>
          <w:p>
            <w:pPr>
              <w:spacing w:after="0"/>
              <w:rPr>
                <w:sz w:val="14"/>
                <w:szCs w:val="14"/>
                <w:color w:val="auto"/>
              </w:rPr>
            </w:pPr>
          </w:p>
        </w:tc>
      </w:tr>
      <w:tr>
        <w:trPr>
          <w:trHeight w:val="593"/>
        </w:trPr>
        <w:tc>
          <w:tcPr>
            <w:tcW w:w="4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bottom w:val="single" w:sz="8" w:color="001770"/>
            </w:tcBorders>
          </w:tcPr>
          <w:p>
            <w:pPr>
              <w:spacing w:after="0"/>
              <w:rPr>
                <w:sz w:val="24"/>
                <w:szCs w:val="24"/>
                <w:color w:val="auto"/>
              </w:rPr>
            </w:pPr>
          </w:p>
        </w:tc>
        <w:tc>
          <w:tcPr>
            <w:tcW w:w="120" w:type="dxa"/>
            <w:vAlign w:val="bottom"/>
            <w:tcBorders>
              <w:bottom w:val="single" w:sz="8" w:color="001770"/>
            </w:tcBorders>
          </w:tcPr>
          <w:p>
            <w:pPr>
              <w:spacing w:after="0"/>
              <w:rPr>
                <w:sz w:val="24"/>
                <w:szCs w:val="24"/>
                <w:color w:val="auto"/>
              </w:rPr>
            </w:pPr>
          </w:p>
        </w:tc>
        <w:tc>
          <w:tcPr>
            <w:tcW w:w="2040" w:type="dxa"/>
            <w:vAlign w:val="bottom"/>
            <w:tcBorders>
              <w:bottom w:val="single" w:sz="8" w:color="001770"/>
            </w:tcBorders>
            <w:gridSpan w:val="4"/>
          </w:tcPr>
          <w:p>
            <w:pPr>
              <w:spacing w:after="0"/>
              <w:rPr>
                <w:sz w:val="24"/>
                <w:szCs w:val="24"/>
                <w:color w:val="auto"/>
              </w:rPr>
            </w:pPr>
          </w:p>
        </w:tc>
        <w:tc>
          <w:tcPr>
            <w:tcW w:w="540" w:type="dxa"/>
            <w:vAlign w:val="bottom"/>
            <w:tcBorders>
              <w:bottom w:val="single" w:sz="8" w:color="001770"/>
            </w:tcBorders>
          </w:tcPr>
          <w:p>
            <w:pPr>
              <w:spacing w:after="0"/>
              <w:rPr>
                <w:sz w:val="24"/>
                <w:szCs w:val="24"/>
                <w:color w:val="auto"/>
              </w:rPr>
            </w:pPr>
          </w:p>
        </w:tc>
        <w:tc>
          <w:tcPr>
            <w:tcW w:w="20" w:type="dxa"/>
            <w:vAlign w:val="bottom"/>
            <w:tcBorders>
              <w:bottom w:val="single" w:sz="8" w:color="001770"/>
            </w:tcBorders>
          </w:tcPr>
          <w:p>
            <w:pPr>
              <w:spacing w:after="0"/>
              <w:rPr>
                <w:sz w:val="24"/>
                <w:szCs w:val="24"/>
                <w:color w:val="auto"/>
              </w:rPr>
            </w:pPr>
          </w:p>
        </w:tc>
      </w:tr>
      <w:tr>
        <w:trPr>
          <w:trHeight w:val="157"/>
        </w:trPr>
        <w:tc>
          <w:tcPr>
            <w:tcW w:w="4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4"/>
          </w:tcPr>
          <w:p>
            <w:pPr>
              <w:jc w:val="right"/>
              <w:ind w:right="102"/>
              <w:spacing w:after="0"/>
              <w:rPr>
                <w:sz w:val="20"/>
                <w:szCs w:val="20"/>
                <w:color w:val="auto"/>
              </w:rPr>
            </w:pPr>
            <w:r>
              <w:rPr>
                <w:rFonts w:ascii="Arial" w:cs="Arial" w:eastAsia="Arial" w:hAnsi="Arial"/>
                <w:sz w:val="12"/>
                <w:szCs w:val="12"/>
                <w:color w:val="auto"/>
                <w:w w:val="96"/>
              </w:rPr>
              <w:t>AIG | Third Quarter 2026 Form 10-Q</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37</w:t>
            </w:r>
          </w:p>
        </w:tc>
        <w:tc>
          <w:tcPr>
            <w:tcW w:w="20" w:type="dxa"/>
            <w:vAlign w:val="bottom"/>
          </w:tcPr>
          <w:p>
            <w:pPr>
              <w:spacing w:after="0"/>
              <w:rPr>
                <w:sz w:val="13"/>
                <w:szCs w:val="13"/>
                <w:color w:val="auto"/>
              </w:rPr>
            </w:pPr>
          </w:p>
        </w:tc>
      </w:tr>
      <w:tr>
        <w:trPr>
          <w:trHeight w:val="208"/>
        </w:trPr>
        <w:tc>
          <w:tcPr>
            <w:tcW w:w="4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color w:val="13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13. Equity</w:t>
      </w:r>
    </w:p>
    <w:p>
      <w:pPr>
        <w:spacing w:after="0" w:line="200" w:lineRule="exact"/>
        <w:rPr>
          <w:sz w:val="20"/>
          <w:szCs w:val="20"/>
          <w:color w:val="auto"/>
        </w:rPr>
      </w:pPr>
    </w:p>
    <w:p>
      <w:pPr>
        <w:spacing w:after="0" w:line="29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color w:val="1252DE"/>
        </w:rPr>
        <w:t xml:space="preserve">The following table presents the other comprehensive income (loss) reclassification adjustments for the three and nine months ended </w:t>
      </w:r>
      <w:r>
        <w:rPr>
          <w:rFonts w:ascii="Arial" w:cs="Arial" w:eastAsia="Arial" w:hAnsi="Arial"/>
          <w:sz w:val="16"/>
          <w:szCs w:val="16"/>
          <w:b w:val="1"/>
          <w:bCs w:val="1"/>
          <w:color w:val="1352DE"/>
        </w:rPr>
        <w:t>September</w:t>
      </w:r>
      <w:r>
        <w:rPr>
          <w:rFonts w:ascii="Arial" w:cs="Arial" w:eastAsia="Arial" w:hAnsi="Arial"/>
          <w:sz w:val="16"/>
          <w:szCs w:val="16"/>
          <w:b w:val="1"/>
          <w:bCs w:val="1"/>
          <w:color w:val="1252DE"/>
        </w:rPr>
        <w:t xml:space="preserve"> </w:t>
      </w:r>
      <w:r>
        <w:rPr>
          <w:rFonts w:ascii="Arial" w:cs="Arial" w:eastAsia="Arial" w:hAnsi="Arial"/>
          <w:sz w:val="16"/>
          <w:szCs w:val="16"/>
          <w:b w:val="1"/>
          <w:bCs w:val="1"/>
          <w:color w:val="1352DE"/>
        </w:rPr>
        <w:t>30, 2026 and 2025</w:t>
      </w:r>
      <w:r>
        <w:rPr>
          <w:rFonts w:ascii="Arial" w:cs="Arial" w:eastAsia="Arial" w:hAnsi="Arial"/>
          <w:sz w:val="16"/>
          <w:szCs w:val="16"/>
          <w:b w:val="1"/>
          <w:bCs w:val="1"/>
          <w:color w:val="1252DE"/>
        </w:rPr>
        <w:t>, respectively: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600" w:type="dxa"/>
            <w:vAlign w:val="bottom"/>
            <w:tcBorders>
              <w:top w:val="single" w:sz="8" w:color="1352DE"/>
            </w:tcBorders>
          </w:tcPr>
          <w:p>
            <w:pPr>
              <w:spacing w:after="0"/>
              <w:rPr>
                <w:sz w:val="12"/>
                <w:szCs w:val="12"/>
                <w:color w:val="auto"/>
              </w:rPr>
            </w:pPr>
          </w:p>
        </w:tc>
        <w:tc>
          <w:tcPr>
            <w:tcW w:w="380" w:type="dxa"/>
            <w:vAlign w:val="bottom"/>
            <w:tcBorders>
              <w:top w:val="single" w:sz="8" w:color="1352DE"/>
            </w:tcBorders>
          </w:tcPr>
          <w:p>
            <w:pPr>
              <w:spacing w:after="0"/>
              <w:rPr>
                <w:sz w:val="12"/>
                <w:szCs w:val="12"/>
                <w:color w:val="auto"/>
              </w:rPr>
            </w:pPr>
          </w:p>
        </w:tc>
        <w:tc>
          <w:tcPr>
            <w:tcW w:w="1160" w:type="dxa"/>
            <w:vAlign w:val="bottom"/>
            <w:tcBorders>
              <w:top w:val="single" w:sz="8" w:color="1352DE"/>
            </w:tcBorders>
          </w:tcPr>
          <w:p>
            <w:pPr>
              <w:jc w:val="right"/>
              <w:spacing w:after="0"/>
              <w:rPr>
                <w:sz w:val="20"/>
                <w:szCs w:val="20"/>
                <w:color w:val="auto"/>
              </w:rPr>
            </w:pPr>
            <w:r>
              <w:rPr>
                <w:rFonts w:ascii="Arial" w:cs="Arial" w:eastAsia="Arial" w:hAnsi="Arial"/>
                <w:sz w:val="12"/>
                <w:szCs w:val="12"/>
                <w:color w:val="1252DE"/>
              </w:rPr>
              <w:t>Unrealized</w:t>
            </w:r>
          </w:p>
        </w:tc>
        <w:tc>
          <w:tcPr>
            <w:tcW w:w="180" w:type="dxa"/>
            <w:vAlign w:val="bottom"/>
            <w:tcBorders>
              <w:top w:val="single" w:sz="8" w:color="1352DE"/>
            </w:tcBorders>
          </w:tcPr>
          <w:p>
            <w:pPr>
              <w:spacing w:after="0"/>
              <w:rPr>
                <w:sz w:val="12"/>
                <w:szCs w:val="12"/>
                <w:color w:val="auto"/>
              </w:rPr>
            </w:pPr>
          </w:p>
        </w:tc>
        <w:tc>
          <w:tcPr>
            <w:tcW w:w="840" w:type="dxa"/>
            <w:vAlign w:val="bottom"/>
            <w:tcBorders>
              <w:top w:val="single" w:sz="8" w:color="1352DE"/>
            </w:tcBorders>
          </w:tcPr>
          <w:p>
            <w:pPr>
              <w:spacing w:after="0"/>
              <w:rPr>
                <w:sz w:val="12"/>
                <w:szCs w:val="12"/>
                <w:color w:val="auto"/>
              </w:rPr>
            </w:pPr>
          </w:p>
        </w:tc>
        <w:tc>
          <w:tcPr>
            <w:tcW w:w="180" w:type="dxa"/>
            <w:vAlign w:val="bottom"/>
            <w:tcBorders>
              <w:top w:val="single" w:sz="8" w:color="1352DE"/>
            </w:tcBorders>
          </w:tcPr>
          <w:p>
            <w:pPr>
              <w:spacing w:after="0"/>
              <w:rPr>
                <w:sz w:val="12"/>
                <w:szCs w:val="12"/>
                <w:color w:val="auto"/>
              </w:rPr>
            </w:pPr>
          </w:p>
        </w:tc>
        <w:tc>
          <w:tcPr>
            <w:tcW w:w="1140" w:type="dxa"/>
            <w:vAlign w:val="bottom"/>
            <w:tcBorders>
              <w:top w:val="single" w:sz="8" w:color="1352DE"/>
            </w:tcBorders>
          </w:tcPr>
          <w:p>
            <w:pPr>
              <w:jc w:val="right"/>
              <w:spacing w:after="0"/>
              <w:rPr>
                <w:sz w:val="20"/>
                <w:szCs w:val="20"/>
                <w:color w:val="auto"/>
              </w:rPr>
            </w:pPr>
            <w:r>
              <w:rPr>
                <w:rFonts w:ascii="Arial" w:cs="Arial" w:eastAsia="Arial" w:hAnsi="Arial"/>
                <w:sz w:val="12"/>
                <w:szCs w:val="12"/>
                <w:color w:val="1252DE"/>
              </w:rPr>
              <w:t>Change in the</w:t>
            </w:r>
          </w:p>
        </w:tc>
        <w:tc>
          <w:tcPr>
            <w:tcW w:w="200" w:type="dxa"/>
            <w:vAlign w:val="bottom"/>
            <w:tcBorders>
              <w:top w:val="single" w:sz="8" w:color="1352DE"/>
            </w:tcBorders>
          </w:tcPr>
          <w:p>
            <w:pPr>
              <w:spacing w:after="0"/>
              <w:rPr>
                <w:sz w:val="12"/>
                <w:szCs w:val="12"/>
                <w:color w:val="auto"/>
              </w:rPr>
            </w:pPr>
          </w:p>
        </w:tc>
        <w:tc>
          <w:tcPr>
            <w:tcW w:w="780" w:type="dxa"/>
            <w:vAlign w:val="bottom"/>
            <w:tcBorders>
              <w:top w:val="single" w:sz="8" w:color="1352DE"/>
            </w:tcBorders>
          </w:tcPr>
          <w:p>
            <w:pPr>
              <w:spacing w:after="0"/>
              <w:rPr>
                <w:sz w:val="12"/>
                <w:szCs w:val="12"/>
                <w:color w:val="auto"/>
              </w:rPr>
            </w:pPr>
          </w:p>
        </w:tc>
        <w:tc>
          <w:tcPr>
            <w:tcW w:w="200" w:type="dxa"/>
            <w:vAlign w:val="bottom"/>
            <w:tcBorders>
              <w:top w:val="single" w:sz="8" w:color="1352DE"/>
            </w:tcBorders>
          </w:tcPr>
          <w:p>
            <w:pPr>
              <w:spacing w:after="0"/>
              <w:rPr>
                <w:sz w:val="12"/>
                <w:szCs w:val="12"/>
                <w:color w:val="auto"/>
              </w:rPr>
            </w:pPr>
          </w:p>
        </w:tc>
        <w:tc>
          <w:tcPr>
            <w:tcW w:w="720" w:type="dxa"/>
            <w:vAlign w:val="bottom"/>
            <w:tcBorders>
              <w:top w:val="single" w:sz="8" w:color="1352DE"/>
            </w:tcBorders>
          </w:tcPr>
          <w:p>
            <w:pPr>
              <w:spacing w:after="0"/>
              <w:rPr>
                <w:sz w:val="12"/>
                <w:szCs w:val="12"/>
                <w:color w:val="auto"/>
              </w:rPr>
            </w:pPr>
          </w:p>
        </w:tc>
        <w:tc>
          <w:tcPr>
            <w:tcW w:w="280" w:type="dxa"/>
            <w:vAlign w:val="bottom"/>
            <w:tcBorders>
              <w:top w:val="single" w:sz="8" w:color="1352DE"/>
            </w:tcBorders>
          </w:tcPr>
          <w:p>
            <w:pPr>
              <w:spacing w:after="0"/>
              <w:rPr>
                <w:sz w:val="12"/>
                <w:szCs w:val="12"/>
                <w:color w:val="auto"/>
              </w:rPr>
            </w:pPr>
          </w:p>
        </w:tc>
        <w:tc>
          <w:tcPr>
            <w:tcW w:w="560" w:type="dxa"/>
            <w:vAlign w:val="bottom"/>
            <w:tcBorders>
              <w:top w:val="single" w:sz="8" w:color="1352DE"/>
            </w:tcBorders>
          </w:tcPr>
          <w:p>
            <w:pPr>
              <w:spacing w:after="0"/>
              <w:rPr>
                <w:sz w:val="12"/>
                <w:szCs w:val="12"/>
                <w:color w:val="auto"/>
              </w:rPr>
            </w:pPr>
          </w:p>
        </w:tc>
      </w:tr>
      <w:tr>
        <w:trPr>
          <w:trHeight w:val="122"/>
        </w:trPr>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2"/>
                <w:szCs w:val="12"/>
                <w:color w:val="1252DE"/>
              </w:rPr>
              <w:t>Appreciation</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Arial" w:cs="Arial" w:eastAsia="Arial" w:hAnsi="Arial"/>
                <w:sz w:val="12"/>
                <w:szCs w:val="12"/>
                <w:color w:val="1252DE"/>
              </w:rPr>
              <w:t>discount rates</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9"/>
        </w:trPr>
        <w:tc>
          <w:tcPr>
            <w:tcW w:w="4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2"/>
                <w:szCs w:val="12"/>
                <w:color w:val="1252DE"/>
              </w:rPr>
              <w:t>(Depreciation)</w:t>
            </w:r>
          </w:p>
        </w:tc>
        <w:tc>
          <w:tcPr>
            <w:tcW w:w="1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1252DE"/>
              </w:rPr>
              <w:t>Unrealized</w:t>
            </w:r>
          </w:p>
        </w:tc>
        <w:tc>
          <w:tcPr>
            <w:tcW w:w="18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1252DE"/>
              </w:rPr>
              <w:t>used to measure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2"/>
        </w:trPr>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2"/>
                <w:szCs w:val="12"/>
                <w:color w:val="1252DE"/>
              </w:rPr>
              <w:t>of Fixed Maturity</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2"/>
                <w:szCs w:val="12"/>
                <w:color w:val="1252DE"/>
              </w:rPr>
              <w:t>Appreciation</w:t>
            </w:r>
          </w:p>
        </w:tc>
        <w:tc>
          <w:tcPr>
            <w:tcW w:w="18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Arial" w:cs="Arial" w:eastAsia="Arial" w:hAnsi="Arial"/>
                <w:sz w:val="12"/>
                <w:szCs w:val="12"/>
                <w:color w:val="1252DE"/>
              </w:rPr>
              <w:t>traditional and</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2"/>
                <w:szCs w:val="12"/>
                <w:color w:val="1252DE"/>
              </w:rPr>
              <w:t>Foreign</w:t>
            </w: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1252DE"/>
              </w:rPr>
              <w:t>Retirement</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2"/>
                <w:szCs w:val="12"/>
                <w:color w:val="1252DE"/>
              </w:rPr>
              <w:t>Securities on Which</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2"/>
                <w:szCs w:val="12"/>
                <w:color w:val="1252DE"/>
              </w:rPr>
              <w:t>(Depreciation)</w:t>
            </w:r>
          </w:p>
        </w:tc>
        <w:tc>
          <w:tcPr>
            <w:tcW w:w="18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Arial" w:cs="Arial" w:eastAsia="Arial" w:hAnsi="Arial"/>
                <w:sz w:val="12"/>
                <w:szCs w:val="12"/>
                <w:color w:val="1252DE"/>
              </w:rPr>
              <w:t>limited payment</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2"/>
                <w:szCs w:val="12"/>
                <w:color w:val="1252DE"/>
              </w:rPr>
              <w:t>Currency</w:t>
            </w: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1252DE"/>
              </w:rPr>
              <w:t>Plan</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1"/>
        </w:trPr>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2"/>
                <w:szCs w:val="12"/>
                <w:color w:val="1252DE"/>
              </w:rPr>
              <w:t>Allowance for Credit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2"/>
                <w:szCs w:val="12"/>
                <w:color w:val="1252DE"/>
              </w:rPr>
              <w:t>of All Other</w:t>
            </w:r>
          </w:p>
        </w:tc>
        <w:tc>
          <w:tcPr>
            <w:tcW w:w="18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Arial" w:cs="Arial" w:eastAsia="Arial" w:hAnsi="Arial"/>
                <w:sz w:val="12"/>
                <w:szCs w:val="12"/>
                <w:color w:val="1252DE"/>
              </w:rPr>
              <w:t>long-duration</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2"/>
                <w:szCs w:val="12"/>
                <w:color w:val="1252DE"/>
              </w:rPr>
              <w:t>Translation</w:t>
            </w: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1252DE"/>
              </w:rPr>
              <w:t>Liabilities</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69"/>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i w:val="1"/>
                <w:iCs w:val="1"/>
                <w:color w:val="1252DE"/>
              </w:rPr>
              <w:t>(in millions)</w:t>
            </w:r>
          </w:p>
        </w:tc>
        <w:tc>
          <w:tcPr>
            <w:tcW w:w="380" w:type="dxa"/>
            <w:vAlign w:val="bottom"/>
            <w:tcBorders>
              <w:bottom w:val="single" w:sz="8" w:color="1352DE"/>
            </w:tcBorders>
          </w:tcPr>
          <w:p>
            <w:pPr>
              <w:spacing w:after="0"/>
              <w:rPr>
                <w:sz w:val="14"/>
                <w:szCs w:val="14"/>
                <w:color w:val="auto"/>
              </w:rPr>
            </w:pPr>
          </w:p>
        </w:tc>
        <w:tc>
          <w:tcPr>
            <w:tcW w:w="11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Losses Was Taken</w:t>
            </w:r>
          </w:p>
        </w:tc>
        <w:tc>
          <w:tcPr>
            <w:tcW w:w="180" w:type="dxa"/>
            <w:vAlign w:val="bottom"/>
            <w:tcBorders>
              <w:bottom w:val="single" w:sz="8" w:color="1352DE"/>
            </w:tcBorders>
          </w:tcPr>
          <w:p>
            <w:pPr>
              <w:spacing w:after="0"/>
              <w:rPr>
                <w:sz w:val="14"/>
                <w:szCs w:val="14"/>
                <w:color w:val="auto"/>
              </w:rPr>
            </w:pP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Investments</w:t>
            </w:r>
          </w:p>
        </w:tc>
        <w:tc>
          <w:tcPr>
            <w:tcW w:w="180" w:type="dxa"/>
            <w:vAlign w:val="bottom"/>
            <w:tcBorders>
              <w:bottom w:val="single" w:sz="8" w:color="1352DE"/>
            </w:tcBorders>
          </w:tcPr>
          <w:p>
            <w:pPr>
              <w:spacing w:after="0"/>
              <w:rPr>
                <w:sz w:val="14"/>
                <w:szCs w:val="14"/>
                <w:color w:val="auto"/>
              </w:rPr>
            </w:pPr>
          </w:p>
        </w:tc>
        <w:tc>
          <w:tcPr>
            <w:tcW w:w="11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insurance contracts</w:t>
            </w:r>
          </w:p>
        </w:tc>
        <w:tc>
          <w:tcPr>
            <w:tcW w:w="200" w:type="dxa"/>
            <w:vAlign w:val="bottom"/>
            <w:tcBorders>
              <w:bottom w:val="single" w:sz="8" w:color="1352DE"/>
            </w:tcBorders>
          </w:tcPr>
          <w:p>
            <w:pPr>
              <w:spacing w:after="0"/>
              <w:rPr>
                <w:sz w:val="14"/>
                <w:szCs w:val="14"/>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Adjustments</w:t>
            </w:r>
          </w:p>
        </w:tc>
        <w:tc>
          <w:tcPr>
            <w:tcW w:w="20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Adjustment</w:t>
            </w:r>
          </w:p>
        </w:tc>
        <w:tc>
          <w:tcPr>
            <w:tcW w:w="280" w:type="dxa"/>
            <w:vAlign w:val="bottom"/>
            <w:tcBorders>
              <w:bottom w:val="single" w:sz="8" w:color="1352DE"/>
            </w:tcBorders>
          </w:tcPr>
          <w:p>
            <w:pPr>
              <w:spacing w:after="0"/>
              <w:rPr>
                <w:sz w:val="14"/>
                <w:szCs w:val="14"/>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Total</w:t>
            </w:r>
          </w:p>
        </w:tc>
      </w:tr>
      <w:tr>
        <w:trPr>
          <w:trHeight w:val="163"/>
        </w:trPr>
        <w:tc>
          <w:tcPr>
            <w:tcW w:w="4600" w:type="dxa"/>
            <w:vAlign w:val="bottom"/>
          </w:tcPr>
          <w:p>
            <w:pPr>
              <w:ind w:left="20"/>
              <w:spacing w:after="0"/>
              <w:rPr>
                <w:sz w:val="20"/>
                <w:szCs w:val="20"/>
                <w:color w:val="auto"/>
              </w:rPr>
            </w:pPr>
            <w:r>
              <w:rPr>
                <w:rFonts w:ascii="Arial" w:cs="Arial" w:eastAsia="Arial" w:hAnsi="Arial"/>
                <w:sz w:val="12"/>
                <w:szCs w:val="12"/>
                <w:b w:val="1"/>
                <w:bCs w:val="1"/>
                <w:color w:val="1252DE"/>
              </w:rPr>
              <w:t>Three Months Ended September 30, 2026</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4600" w:type="dxa"/>
            <w:vAlign w:val="bottom"/>
          </w:tcPr>
          <w:p>
            <w:pPr>
              <w:ind w:left="20"/>
              <w:spacing w:after="0"/>
              <w:rPr>
                <w:sz w:val="20"/>
                <w:szCs w:val="20"/>
                <w:color w:val="auto"/>
              </w:rPr>
            </w:pPr>
            <w:r>
              <w:rPr>
                <w:rFonts w:ascii="Arial" w:cs="Arial" w:eastAsia="Arial" w:hAnsi="Arial"/>
                <w:sz w:val="12"/>
                <w:szCs w:val="12"/>
                <w:color w:val="auto"/>
              </w:rPr>
              <w:t>Unrealized change arising during period</w:t>
            </w:r>
          </w:p>
        </w:tc>
        <w:tc>
          <w:tcPr>
            <w:tcW w:w="38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1252DE"/>
              </w:rPr>
              <w:t>(2,220)</w:t>
            </w:r>
          </w:p>
        </w:tc>
        <w:tc>
          <w:tcPr>
            <w:tcW w:w="18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40" w:type="dxa"/>
            <w:vAlign w:val="bottom"/>
          </w:tcPr>
          <w:p>
            <w:pPr>
              <w:jc w:val="right"/>
              <w:ind w:right="22"/>
              <w:spacing w:after="0"/>
              <w:rPr>
                <w:sz w:val="20"/>
                <w:szCs w:val="20"/>
                <w:color w:val="auto"/>
              </w:rPr>
            </w:pPr>
            <w:r>
              <w:rPr>
                <w:rFonts w:ascii="Arial" w:cs="Arial" w:eastAsia="Arial" w:hAnsi="Arial"/>
                <w:sz w:val="12"/>
                <w:szCs w:val="12"/>
                <w:b w:val="1"/>
                <w:bCs w:val="1"/>
                <w:color w:val="1252DE"/>
              </w:rPr>
              <w:t>15</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1252DE"/>
              </w:rPr>
              <w:t>78</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720" w:type="dxa"/>
            <w:vAlign w:val="bottom"/>
          </w:tcPr>
          <w:p>
            <w:pPr>
              <w:jc w:val="right"/>
              <w:ind w:right="2"/>
              <w:spacing w:after="0"/>
              <w:rPr>
                <w:sz w:val="20"/>
                <w:szCs w:val="20"/>
                <w:color w:val="auto"/>
              </w:rPr>
            </w:pPr>
            <w:r>
              <w:rPr>
                <w:rFonts w:ascii="Arial" w:cs="Arial" w:eastAsia="Arial" w:hAnsi="Arial"/>
                <w:sz w:val="12"/>
                <w:szCs w:val="12"/>
                <w:b w:val="1"/>
                <w:bCs w:val="1"/>
                <w:color w:val="1252DE"/>
              </w:rPr>
              <w:t>(3)</w:t>
            </w:r>
          </w:p>
        </w:tc>
        <w:tc>
          <w:tcPr>
            <w:tcW w:w="280" w:type="dxa"/>
            <w:vAlign w:val="bottom"/>
          </w:tcPr>
          <w:p>
            <w:pPr>
              <w:jc w:val="right"/>
              <w:ind w:right="122"/>
              <w:spacing w:after="0"/>
              <w:rPr>
                <w:sz w:val="20"/>
                <w:szCs w:val="20"/>
                <w:color w:val="auto"/>
              </w:rPr>
            </w:pPr>
            <w:r>
              <w:rPr>
                <w:rFonts w:ascii="Arial" w:cs="Arial" w:eastAsia="Arial" w:hAnsi="Arial"/>
                <w:sz w:val="12"/>
                <w:szCs w:val="12"/>
                <w:b w:val="1"/>
                <w:bCs w:val="1"/>
                <w:color w:val="1252DE"/>
              </w:rPr>
              <w: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1252DE"/>
              </w:rPr>
              <w:t>(2,130)</w:t>
            </w:r>
          </w:p>
        </w:tc>
      </w:tr>
      <w:tr>
        <w:trPr>
          <w:trHeight w:val="181"/>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Less: Reclassification adjustments included in net income</w:t>
            </w:r>
          </w:p>
        </w:tc>
        <w:tc>
          <w:tcPr>
            <w:tcW w:w="38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(5)</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(174)</w:t>
            </w:r>
          </w:p>
        </w:tc>
        <w:tc>
          <w:tcPr>
            <w:tcW w:w="18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(11)</w:t>
            </w:r>
          </w:p>
        </w:tc>
        <w:tc>
          <w:tcPr>
            <w:tcW w:w="2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(190)</w:t>
            </w:r>
          </w:p>
        </w:tc>
      </w:tr>
      <w:tr>
        <w:trPr>
          <w:trHeight w:val="163"/>
        </w:trPr>
        <w:tc>
          <w:tcPr>
            <w:tcW w:w="4600" w:type="dxa"/>
            <w:vAlign w:val="bottom"/>
          </w:tcPr>
          <w:p>
            <w:pPr>
              <w:ind w:left="20"/>
              <w:spacing w:after="0"/>
              <w:rPr>
                <w:sz w:val="20"/>
                <w:szCs w:val="20"/>
                <w:color w:val="auto"/>
              </w:rPr>
            </w:pPr>
            <w:r>
              <w:rPr>
                <w:rFonts w:ascii="Arial" w:cs="Arial" w:eastAsia="Arial" w:hAnsi="Arial"/>
                <w:sz w:val="12"/>
                <w:szCs w:val="12"/>
                <w:b w:val="1"/>
                <w:bCs w:val="1"/>
                <w:color w:val="1252DE"/>
              </w:rPr>
              <w:t>Total other comprehensive income (loss), before income tax expense (benefit)</w:t>
            </w:r>
          </w:p>
        </w:tc>
        <w:tc>
          <w:tcPr>
            <w:tcW w:w="38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5</w:t>
            </w:r>
          </w:p>
        </w:tc>
        <w:tc>
          <w:tcPr>
            <w:tcW w:w="18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1252DE"/>
              </w:rPr>
              <w:t>(2,046)</w:t>
            </w:r>
          </w:p>
        </w:tc>
        <w:tc>
          <w:tcPr>
            <w:tcW w:w="18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b w:val="1"/>
                <w:bCs w:val="1"/>
                <w:color w:val="1252DE"/>
              </w:rPr>
              <w:t>15</w:t>
            </w:r>
          </w:p>
        </w:tc>
        <w:tc>
          <w:tcPr>
            <w:tcW w:w="200" w:type="dxa"/>
            <w:vAlign w:val="bottom"/>
          </w:tcPr>
          <w:p>
            <w:pPr>
              <w:spacing w:after="0"/>
              <w:rPr>
                <w:sz w:val="14"/>
                <w:szCs w:val="14"/>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1252DE"/>
              </w:rPr>
              <w:t>78</w:t>
            </w:r>
          </w:p>
        </w:tc>
        <w:tc>
          <w:tcPr>
            <w:tcW w:w="20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b w:val="1"/>
                <w:bCs w:val="1"/>
                <w:color w:val="1252DE"/>
              </w:rPr>
              <w:t>8</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1252DE"/>
              </w:rPr>
              <w:t>(1,940)</w:t>
            </w:r>
          </w:p>
        </w:tc>
      </w:tr>
      <w:tr>
        <w:trPr>
          <w:trHeight w:val="182"/>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Less: Income tax expense (benefit)</w:t>
            </w:r>
          </w:p>
        </w:tc>
        <w:tc>
          <w:tcPr>
            <w:tcW w:w="38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1</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(86)</w:t>
            </w:r>
          </w:p>
        </w:tc>
        <w:tc>
          <w:tcPr>
            <w:tcW w:w="18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3</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(12)</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2</w:t>
            </w:r>
          </w:p>
        </w:tc>
        <w:tc>
          <w:tcPr>
            <w:tcW w:w="2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(92)</w:t>
            </w:r>
          </w:p>
        </w:tc>
      </w:tr>
      <w:tr>
        <w:trPr>
          <w:trHeight w:val="169"/>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 other comprehensive income (loss), net of income tax expense (benefit)</w:t>
            </w:r>
          </w:p>
        </w:tc>
        <w:tc>
          <w:tcPr>
            <w:tcW w:w="3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4</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(1,960)</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12</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7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90</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72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6</w:t>
            </w:r>
          </w:p>
        </w:tc>
        <w:tc>
          <w:tcPr>
            <w:tcW w:w="280" w:type="dxa"/>
            <w:vAlign w:val="bottom"/>
            <w:tcBorders>
              <w:bottom w:val="single" w:sz="8" w:color="1352DE"/>
            </w:tcBorders>
          </w:tcPr>
          <w:p>
            <w:pPr>
              <w:jc w:val="right"/>
              <w:ind w:right="122"/>
              <w:spacing w:after="0"/>
              <w:rPr>
                <w:sz w:val="20"/>
                <w:szCs w:val="20"/>
                <w:color w:val="auto"/>
              </w:rPr>
            </w:pPr>
            <w:r>
              <w:rPr>
                <w:rFonts w:ascii="Arial" w:cs="Arial" w:eastAsia="Arial" w:hAnsi="Arial"/>
                <w:sz w:val="12"/>
                <w:szCs w:val="12"/>
                <w:b w:val="1"/>
                <w:bCs w:val="1"/>
                <w:color w:val="12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(1,848)</w:t>
            </w:r>
          </w:p>
        </w:tc>
      </w:tr>
      <w:tr>
        <w:trPr>
          <w:trHeight w:val="238"/>
        </w:trPr>
        <w:tc>
          <w:tcPr>
            <w:tcW w:w="4600" w:type="dxa"/>
            <w:vAlign w:val="bottom"/>
          </w:tcPr>
          <w:p>
            <w:pPr>
              <w:ind w:left="20"/>
              <w:spacing w:after="0"/>
              <w:rPr>
                <w:sz w:val="20"/>
                <w:szCs w:val="20"/>
                <w:color w:val="auto"/>
              </w:rPr>
            </w:pPr>
            <w:r>
              <w:rPr>
                <w:rFonts w:ascii="Arial" w:cs="Arial" w:eastAsia="Arial" w:hAnsi="Arial"/>
                <w:sz w:val="12"/>
                <w:szCs w:val="12"/>
                <w:color w:val="1252DE"/>
              </w:rPr>
              <w:t>Three Months Ended September 30, 2025</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76"/>
        </w:trPr>
        <w:tc>
          <w:tcPr>
            <w:tcW w:w="4600" w:type="dxa"/>
            <w:vAlign w:val="bottom"/>
          </w:tcPr>
          <w:p>
            <w:pPr>
              <w:ind w:left="20"/>
              <w:spacing w:after="0"/>
              <w:rPr>
                <w:sz w:val="20"/>
                <w:szCs w:val="20"/>
                <w:color w:val="auto"/>
              </w:rPr>
            </w:pPr>
            <w:r>
              <w:rPr>
                <w:rFonts w:ascii="Arial" w:cs="Arial" w:eastAsia="Arial" w:hAnsi="Arial"/>
                <w:sz w:val="12"/>
                <w:szCs w:val="12"/>
                <w:color w:val="auto"/>
              </w:rPr>
              <w:t>Unrealized change arising during period</w:t>
            </w:r>
          </w:p>
        </w:tc>
        <w:tc>
          <w:tcPr>
            <w:tcW w:w="3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461</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7</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(52)</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416</w:t>
            </w:r>
          </w:p>
        </w:tc>
      </w:tr>
      <w:tr>
        <w:trPr>
          <w:trHeight w:val="187"/>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Less: Reclassification adjustments included in net income</w:t>
            </w:r>
          </w:p>
        </w:tc>
        <w:tc>
          <w:tcPr>
            <w:tcW w:w="380" w:type="dxa"/>
            <w:vAlign w:val="bottom"/>
            <w:tcBorders>
              <w:bottom w:val="single" w:sz="8" w:color="1352DE"/>
            </w:tcBorders>
          </w:tcPr>
          <w:p>
            <w:pPr>
              <w:spacing w:after="0"/>
              <w:rPr>
                <w:sz w:val="16"/>
                <w:szCs w:val="16"/>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(102)</w:t>
            </w:r>
          </w:p>
        </w:tc>
        <w:tc>
          <w:tcPr>
            <w:tcW w:w="180" w:type="dxa"/>
            <w:vAlign w:val="bottom"/>
            <w:tcBorders>
              <w:bottom w:val="single" w:sz="8" w:color="1352DE"/>
            </w:tcBorders>
          </w:tcPr>
          <w:p>
            <w:pPr>
              <w:spacing w:after="0"/>
              <w:rPr>
                <w:sz w:val="16"/>
                <w:szCs w:val="16"/>
                <w:color w:val="auto"/>
              </w:rPr>
            </w:pP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1352DE"/>
            </w:tcBorders>
          </w:tcPr>
          <w:p>
            <w:pPr>
              <w:spacing w:after="0"/>
              <w:rPr>
                <w:sz w:val="16"/>
                <w:szCs w:val="16"/>
                <w:color w:val="auto"/>
              </w:rPr>
            </w:pP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(9)</w:t>
            </w:r>
          </w:p>
        </w:tc>
        <w:tc>
          <w:tcPr>
            <w:tcW w:w="280" w:type="dxa"/>
            <w:vAlign w:val="bottom"/>
            <w:tcBorders>
              <w:bottom w:val="single" w:sz="8" w:color="1352DE"/>
            </w:tcBorders>
          </w:tcPr>
          <w:p>
            <w:pPr>
              <w:spacing w:after="0"/>
              <w:rPr>
                <w:sz w:val="16"/>
                <w:szCs w:val="16"/>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(111)</w:t>
            </w:r>
          </w:p>
        </w:tc>
      </w:tr>
      <w:tr>
        <w:trPr>
          <w:trHeight w:val="163"/>
        </w:trPr>
        <w:tc>
          <w:tcPr>
            <w:tcW w:w="4600" w:type="dxa"/>
            <w:vAlign w:val="bottom"/>
          </w:tcPr>
          <w:p>
            <w:pPr>
              <w:ind w:left="20"/>
              <w:spacing w:after="0"/>
              <w:rPr>
                <w:sz w:val="20"/>
                <w:szCs w:val="20"/>
                <w:color w:val="auto"/>
              </w:rPr>
            </w:pPr>
            <w:r>
              <w:rPr>
                <w:rFonts w:ascii="Arial" w:cs="Arial" w:eastAsia="Arial" w:hAnsi="Arial"/>
                <w:sz w:val="12"/>
                <w:szCs w:val="12"/>
                <w:b w:val="1"/>
                <w:bCs w:val="1"/>
                <w:color w:val="1252DE"/>
              </w:rPr>
              <w:t>Total other comprehensive income (loss), before income tax expense (benefit)</w:t>
            </w:r>
          </w:p>
        </w:tc>
        <w:tc>
          <w:tcPr>
            <w:tcW w:w="38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563</w:t>
            </w:r>
          </w:p>
        </w:tc>
        <w:tc>
          <w:tcPr>
            <w:tcW w:w="18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7</w:t>
            </w:r>
          </w:p>
        </w:tc>
        <w:tc>
          <w:tcPr>
            <w:tcW w:w="20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(52)</w:t>
            </w:r>
          </w:p>
        </w:tc>
        <w:tc>
          <w:tcPr>
            <w:tcW w:w="20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9</w:t>
            </w:r>
          </w:p>
        </w:tc>
        <w:tc>
          <w:tcPr>
            <w:tcW w:w="28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527</w:t>
            </w:r>
          </w:p>
        </w:tc>
      </w:tr>
      <w:tr>
        <w:trPr>
          <w:trHeight w:val="181"/>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Less: Income tax expense (benefit)</w:t>
            </w:r>
          </w:p>
        </w:tc>
        <w:tc>
          <w:tcPr>
            <w:tcW w:w="38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16</w:t>
            </w:r>
          </w:p>
        </w:tc>
        <w:tc>
          <w:tcPr>
            <w:tcW w:w="18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2</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4</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3</w:t>
            </w:r>
          </w:p>
        </w:tc>
        <w:tc>
          <w:tcPr>
            <w:tcW w:w="2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25</w:t>
            </w:r>
          </w:p>
        </w:tc>
      </w:tr>
      <w:tr>
        <w:trPr>
          <w:trHeight w:val="169"/>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 other comprehensive income (loss), net of income tax expense (benefit)</w:t>
            </w:r>
          </w:p>
        </w:tc>
        <w:tc>
          <w:tcPr>
            <w:tcW w:w="3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547</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5</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(56)</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6</w:t>
            </w:r>
          </w:p>
        </w:tc>
        <w:tc>
          <w:tcPr>
            <w:tcW w:w="280" w:type="dxa"/>
            <w:vAlign w:val="bottom"/>
            <w:tcBorders>
              <w:bottom w:val="single" w:sz="8" w:color="1352DE"/>
            </w:tcBorders>
          </w:tcPr>
          <w:p>
            <w:pPr>
              <w:jc w:val="right"/>
              <w:ind w:right="12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502</w:t>
            </w:r>
          </w:p>
        </w:tc>
      </w:tr>
      <w:tr>
        <w:trPr>
          <w:trHeight w:val="271"/>
        </w:trPr>
        <w:tc>
          <w:tcPr>
            <w:tcW w:w="4600" w:type="dxa"/>
            <w:vAlign w:val="bottom"/>
          </w:tcPr>
          <w:p>
            <w:pPr>
              <w:ind w:left="20"/>
              <w:spacing w:after="0"/>
              <w:rPr>
                <w:sz w:val="20"/>
                <w:szCs w:val="20"/>
                <w:color w:val="auto"/>
              </w:rPr>
            </w:pPr>
            <w:r>
              <w:rPr>
                <w:rFonts w:ascii="Arial" w:cs="Arial" w:eastAsia="Arial" w:hAnsi="Arial"/>
                <w:sz w:val="12"/>
                <w:szCs w:val="12"/>
                <w:b w:val="1"/>
                <w:bCs w:val="1"/>
                <w:color w:val="1252DE"/>
              </w:rPr>
              <w:t>Nine Months Ended September 30, 2026</w:t>
            </w: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76"/>
        </w:trPr>
        <w:tc>
          <w:tcPr>
            <w:tcW w:w="4600" w:type="dxa"/>
            <w:vAlign w:val="bottom"/>
          </w:tcPr>
          <w:p>
            <w:pPr>
              <w:ind w:left="20"/>
              <w:spacing w:after="0"/>
              <w:rPr>
                <w:sz w:val="20"/>
                <w:szCs w:val="20"/>
                <w:color w:val="auto"/>
              </w:rPr>
            </w:pPr>
            <w:r>
              <w:rPr>
                <w:rFonts w:ascii="Arial" w:cs="Arial" w:eastAsia="Arial" w:hAnsi="Arial"/>
                <w:sz w:val="12"/>
                <w:szCs w:val="12"/>
                <w:color w:val="auto"/>
              </w:rPr>
              <w:t>Unrealized change arising during period</w:t>
            </w:r>
          </w:p>
        </w:tc>
        <w:tc>
          <w:tcPr>
            <w:tcW w:w="38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1252DE"/>
              </w:rPr>
              <w:t>(2,997)</w:t>
            </w:r>
          </w:p>
        </w:tc>
        <w:tc>
          <w:tcPr>
            <w:tcW w:w="18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40" w:type="dxa"/>
            <w:vAlign w:val="bottom"/>
          </w:tcPr>
          <w:p>
            <w:pPr>
              <w:jc w:val="right"/>
              <w:ind w:right="22"/>
              <w:spacing w:after="0"/>
              <w:rPr>
                <w:sz w:val="20"/>
                <w:szCs w:val="20"/>
                <w:color w:val="auto"/>
              </w:rPr>
            </w:pPr>
            <w:r>
              <w:rPr>
                <w:rFonts w:ascii="Arial" w:cs="Arial" w:eastAsia="Arial" w:hAnsi="Arial"/>
                <w:sz w:val="12"/>
                <w:szCs w:val="12"/>
                <w:b w:val="1"/>
                <w:bCs w:val="1"/>
                <w:color w:val="1252DE"/>
              </w:rPr>
              <w:t>28</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780" w:type="dxa"/>
            <w:vAlign w:val="bottom"/>
          </w:tcPr>
          <w:p>
            <w:pPr>
              <w:jc w:val="right"/>
              <w:ind w:right="2"/>
              <w:spacing w:after="0"/>
              <w:rPr>
                <w:sz w:val="20"/>
                <w:szCs w:val="20"/>
                <w:color w:val="auto"/>
              </w:rPr>
            </w:pPr>
            <w:r>
              <w:rPr>
                <w:rFonts w:ascii="Arial" w:cs="Arial" w:eastAsia="Arial" w:hAnsi="Arial"/>
                <w:sz w:val="12"/>
                <w:szCs w:val="12"/>
                <w:b w:val="1"/>
                <w:bCs w:val="1"/>
                <w:color w:val="1252DE"/>
              </w:rPr>
              <w:t>(45)</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720" w:type="dxa"/>
            <w:vAlign w:val="bottom"/>
          </w:tcPr>
          <w:p>
            <w:pPr>
              <w:jc w:val="right"/>
              <w:ind w:right="2"/>
              <w:spacing w:after="0"/>
              <w:rPr>
                <w:sz w:val="20"/>
                <w:szCs w:val="20"/>
                <w:color w:val="auto"/>
              </w:rPr>
            </w:pPr>
            <w:r>
              <w:rPr>
                <w:rFonts w:ascii="Arial" w:cs="Arial" w:eastAsia="Arial" w:hAnsi="Arial"/>
                <w:sz w:val="12"/>
                <w:szCs w:val="12"/>
                <w:b w:val="1"/>
                <w:bCs w:val="1"/>
                <w:color w:val="1252DE"/>
              </w:rPr>
              <w:t>(2)</w:t>
            </w:r>
          </w:p>
        </w:tc>
        <w:tc>
          <w:tcPr>
            <w:tcW w:w="280" w:type="dxa"/>
            <w:vAlign w:val="bottom"/>
          </w:tcPr>
          <w:p>
            <w:pPr>
              <w:jc w:val="right"/>
              <w:ind w:right="122"/>
              <w:spacing w:after="0"/>
              <w:rPr>
                <w:sz w:val="20"/>
                <w:szCs w:val="20"/>
                <w:color w:val="auto"/>
              </w:rPr>
            </w:pPr>
            <w:r>
              <w:rPr>
                <w:rFonts w:ascii="Arial" w:cs="Arial" w:eastAsia="Arial" w:hAnsi="Arial"/>
                <w:sz w:val="12"/>
                <w:szCs w:val="12"/>
                <w:b w:val="1"/>
                <w:bCs w:val="1"/>
                <w:color w:val="1252DE"/>
              </w:rPr>
              <w: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1252DE"/>
              </w:rPr>
              <w:t>(3,016)</w:t>
            </w:r>
          </w:p>
        </w:tc>
      </w:tr>
      <w:tr>
        <w:trPr>
          <w:trHeight w:val="182"/>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Less: Reclassification adjustments included in net income</w:t>
            </w:r>
          </w:p>
        </w:tc>
        <w:tc>
          <w:tcPr>
            <w:tcW w:w="38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(5)</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(367)</w:t>
            </w:r>
          </w:p>
        </w:tc>
        <w:tc>
          <w:tcPr>
            <w:tcW w:w="18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(26)</w:t>
            </w:r>
          </w:p>
        </w:tc>
        <w:tc>
          <w:tcPr>
            <w:tcW w:w="2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(398)</w:t>
            </w:r>
          </w:p>
        </w:tc>
      </w:tr>
      <w:tr>
        <w:trPr>
          <w:trHeight w:val="163"/>
        </w:trPr>
        <w:tc>
          <w:tcPr>
            <w:tcW w:w="4600" w:type="dxa"/>
            <w:vAlign w:val="bottom"/>
          </w:tcPr>
          <w:p>
            <w:pPr>
              <w:ind w:left="20"/>
              <w:spacing w:after="0"/>
              <w:rPr>
                <w:sz w:val="20"/>
                <w:szCs w:val="20"/>
                <w:color w:val="auto"/>
              </w:rPr>
            </w:pPr>
            <w:r>
              <w:rPr>
                <w:rFonts w:ascii="Arial" w:cs="Arial" w:eastAsia="Arial" w:hAnsi="Arial"/>
                <w:sz w:val="12"/>
                <w:szCs w:val="12"/>
                <w:b w:val="1"/>
                <w:bCs w:val="1"/>
                <w:color w:val="1252DE"/>
              </w:rPr>
              <w:t>Total other comprehensive income (loss), before income tax expense (benefit)</w:t>
            </w:r>
          </w:p>
        </w:tc>
        <w:tc>
          <w:tcPr>
            <w:tcW w:w="38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1252DE"/>
              </w:rPr>
              <w:t>5</w:t>
            </w:r>
          </w:p>
        </w:tc>
        <w:tc>
          <w:tcPr>
            <w:tcW w:w="18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1252DE"/>
              </w:rPr>
              <w:t>(2,630)</w:t>
            </w:r>
          </w:p>
        </w:tc>
        <w:tc>
          <w:tcPr>
            <w:tcW w:w="18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b w:val="1"/>
                <w:bCs w:val="1"/>
                <w:color w:val="1252DE"/>
              </w:rPr>
              <w:t>28</w:t>
            </w:r>
          </w:p>
        </w:tc>
        <w:tc>
          <w:tcPr>
            <w:tcW w:w="20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b w:val="1"/>
                <w:bCs w:val="1"/>
                <w:color w:val="1252DE"/>
              </w:rPr>
              <w:t>(45)</w:t>
            </w:r>
          </w:p>
        </w:tc>
        <w:tc>
          <w:tcPr>
            <w:tcW w:w="20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b w:val="1"/>
                <w:bCs w:val="1"/>
                <w:color w:val="1252DE"/>
              </w:rPr>
              <w:t>24</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1252DE"/>
              </w:rPr>
              <w:t>(2,618)</w:t>
            </w:r>
          </w:p>
        </w:tc>
      </w:tr>
      <w:tr>
        <w:trPr>
          <w:trHeight w:val="182"/>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Less: Income tax expense (benefit)</w:t>
            </w:r>
          </w:p>
        </w:tc>
        <w:tc>
          <w:tcPr>
            <w:tcW w:w="38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1</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(162)</w:t>
            </w:r>
          </w:p>
        </w:tc>
        <w:tc>
          <w:tcPr>
            <w:tcW w:w="18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7</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6</w:t>
            </w:r>
          </w:p>
        </w:tc>
        <w:tc>
          <w:tcPr>
            <w:tcW w:w="2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(151)</w:t>
            </w:r>
          </w:p>
        </w:tc>
      </w:tr>
      <w:tr>
        <w:trPr>
          <w:trHeight w:val="169"/>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252DE"/>
              </w:rPr>
              <w:t>Total other comprehensive income (loss), net of income tax expense (benefit)</w:t>
            </w:r>
          </w:p>
        </w:tc>
        <w:tc>
          <w:tcPr>
            <w:tcW w:w="3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4</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(2,468)</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21</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78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(42)</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72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18</w:t>
            </w:r>
          </w:p>
        </w:tc>
        <w:tc>
          <w:tcPr>
            <w:tcW w:w="280" w:type="dxa"/>
            <w:vAlign w:val="bottom"/>
            <w:tcBorders>
              <w:bottom w:val="single" w:sz="8" w:color="1352DE"/>
            </w:tcBorders>
          </w:tcPr>
          <w:p>
            <w:pPr>
              <w:jc w:val="right"/>
              <w:ind w:right="122"/>
              <w:spacing w:after="0"/>
              <w:rPr>
                <w:sz w:val="20"/>
                <w:szCs w:val="20"/>
                <w:color w:val="auto"/>
              </w:rPr>
            </w:pPr>
            <w:r>
              <w:rPr>
                <w:rFonts w:ascii="Arial" w:cs="Arial" w:eastAsia="Arial" w:hAnsi="Arial"/>
                <w:sz w:val="12"/>
                <w:szCs w:val="12"/>
                <w:b w:val="1"/>
                <w:bCs w:val="1"/>
                <w:color w:val="1252DE"/>
              </w:rPr>
              <w:t>$</w:t>
            </w: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(2,467)</w:t>
            </w:r>
          </w:p>
        </w:tc>
      </w:tr>
      <w:tr>
        <w:trPr>
          <w:trHeight w:val="238"/>
        </w:trPr>
        <w:tc>
          <w:tcPr>
            <w:tcW w:w="4600" w:type="dxa"/>
            <w:vAlign w:val="bottom"/>
          </w:tcPr>
          <w:p>
            <w:pPr>
              <w:ind w:left="20"/>
              <w:spacing w:after="0"/>
              <w:rPr>
                <w:sz w:val="20"/>
                <w:szCs w:val="20"/>
                <w:color w:val="auto"/>
              </w:rPr>
            </w:pPr>
            <w:r>
              <w:rPr>
                <w:rFonts w:ascii="Arial" w:cs="Arial" w:eastAsia="Arial" w:hAnsi="Arial"/>
                <w:sz w:val="12"/>
                <w:szCs w:val="12"/>
                <w:color w:val="1252DE"/>
              </w:rPr>
              <w:t>Nine Months Ended September 30, 2025</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76"/>
        </w:trPr>
        <w:tc>
          <w:tcPr>
            <w:tcW w:w="4600" w:type="dxa"/>
            <w:vAlign w:val="bottom"/>
          </w:tcPr>
          <w:p>
            <w:pPr>
              <w:ind w:left="20"/>
              <w:spacing w:after="0"/>
              <w:rPr>
                <w:sz w:val="20"/>
                <w:szCs w:val="20"/>
                <w:color w:val="auto"/>
              </w:rPr>
            </w:pPr>
            <w:r>
              <w:rPr>
                <w:rFonts w:ascii="Arial" w:cs="Arial" w:eastAsia="Arial" w:hAnsi="Arial"/>
                <w:sz w:val="12"/>
                <w:szCs w:val="12"/>
                <w:color w:val="auto"/>
              </w:rPr>
              <w:t>Unrealized change arising during period</w:t>
            </w:r>
          </w:p>
        </w:tc>
        <w:tc>
          <w:tcPr>
            <w:tcW w:w="3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875</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16</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2"/>
              <w:spacing w:after="0"/>
              <w:rPr>
                <w:sz w:val="20"/>
                <w:szCs w:val="20"/>
                <w:color w:val="auto"/>
              </w:rPr>
            </w:pPr>
            <w:r>
              <w:rPr>
                <w:rFonts w:ascii="Arial" w:cs="Arial" w:eastAsia="Arial" w:hAnsi="Arial"/>
                <w:sz w:val="12"/>
                <w:szCs w:val="12"/>
                <w:color w:val="auto"/>
              </w:rPr>
              <w:t>537</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2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1,420</w:t>
            </w:r>
          </w:p>
        </w:tc>
      </w:tr>
      <w:tr>
        <w:trPr>
          <w:trHeight w:val="187"/>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Less: Reclassification adjustments included in net income</w:t>
            </w:r>
          </w:p>
        </w:tc>
        <w:tc>
          <w:tcPr>
            <w:tcW w:w="380" w:type="dxa"/>
            <w:vAlign w:val="bottom"/>
            <w:tcBorders>
              <w:bottom w:val="single" w:sz="8" w:color="1352DE"/>
            </w:tcBorders>
          </w:tcPr>
          <w:p>
            <w:pPr>
              <w:spacing w:after="0"/>
              <w:rPr>
                <w:sz w:val="16"/>
                <w:szCs w:val="16"/>
                <w:color w:val="auto"/>
              </w:rPr>
            </w:pPr>
          </w:p>
        </w:tc>
        <w:tc>
          <w:tcPr>
            <w:tcW w:w="1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1352DE"/>
            </w:tcBorders>
          </w:tcPr>
          <w:p>
            <w:pPr>
              <w:spacing w:after="0"/>
              <w:rPr>
                <w:sz w:val="16"/>
                <w:szCs w:val="16"/>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(515)</w:t>
            </w:r>
          </w:p>
        </w:tc>
        <w:tc>
          <w:tcPr>
            <w:tcW w:w="180" w:type="dxa"/>
            <w:vAlign w:val="bottom"/>
            <w:tcBorders>
              <w:bottom w:val="single" w:sz="8" w:color="1352DE"/>
            </w:tcBorders>
          </w:tcPr>
          <w:p>
            <w:pPr>
              <w:spacing w:after="0"/>
              <w:rPr>
                <w:sz w:val="16"/>
                <w:szCs w:val="16"/>
                <w:color w:val="auto"/>
              </w:rPr>
            </w:pP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1352DE"/>
            </w:tcBorders>
          </w:tcPr>
          <w:p>
            <w:pPr>
              <w:spacing w:after="0"/>
              <w:rPr>
                <w:sz w:val="16"/>
                <w:szCs w:val="16"/>
                <w:color w:val="auto"/>
              </w:rPr>
            </w:pPr>
          </w:p>
        </w:tc>
        <w:tc>
          <w:tcPr>
            <w:tcW w:w="72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(24)</w:t>
            </w:r>
          </w:p>
        </w:tc>
        <w:tc>
          <w:tcPr>
            <w:tcW w:w="280" w:type="dxa"/>
            <w:vAlign w:val="bottom"/>
            <w:tcBorders>
              <w:bottom w:val="single" w:sz="8" w:color="1352DE"/>
            </w:tcBorders>
          </w:tcPr>
          <w:p>
            <w:pPr>
              <w:spacing w:after="0"/>
              <w:rPr>
                <w:sz w:val="16"/>
                <w:szCs w:val="16"/>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(539)</w:t>
            </w:r>
          </w:p>
        </w:tc>
      </w:tr>
      <w:tr>
        <w:trPr>
          <w:trHeight w:val="164"/>
        </w:trPr>
        <w:tc>
          <w:tcPr>
            <w:tcW w:w="4600" w:type="dxa"/>
            <w:vAlign w:val="bottom"/>
          </w:tcPr>
          <w:p>
            <w:pPr>
              <w:ind w:left="20"/>
              <w:spacing w:after="0"/>
              <w:rPr>
                <w:sz w:val="20"/>
                <w:szCs w:val="20"/>
                <w:color w:val="auto"/>
              </w:rPr>
            </w:pPr>
            <w:r>
              <w:rPr>
                <w:rFonts w:ascii="Arial" w:cs="Arial" w:eastAsia="Arial" w:hAnsi="Arial"/>
                <w:sz w:val="12"/>
                <w:szCs w:val="12"/>
                <w:b w:val="1"/>
                <w:bCs w:val="1"/>
                <w:color w:val="1352DE"/>
              </w:rPr>
              <w:t>Total other comprehensive income (loss), before income tax expense (benefit)</w:t>
            </w:r>
          </w:p>
        </w:tc>
        <w:tc>
          <w:tcPr>
            <w:tcW w:w="380" w:type="dxa"/>
            <w:vAlign w:val="bottom"/>
          </w:tcPr>
          <w:p>
            <w:pPr>
              <w:spacing w:after="0"/>
              <w:rPr>
                <w:sz w:val="14"/>
                <w:szCs w:val="14"/>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4"/>
                <w:szCs w:val="14"/>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1,390</w:t>
            </w:r>
          </w:p>
        </w:tc>
        <w:tc>
          <w:tcPr>
            <w:tcW w:w="18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16</w:t>
            </w:r>
          </w:p>
        </w:tc>
        <w:tc>
          <w:tcPr>
            <w:tcW w:w="200" w:type="dxa"/>
            <w:vAlign w:val="bottom"/>
          </w:tcPr>
          <w:p>
            <w:pPr>
              <w:spacing w:after="0"/>
              <w:rPr>
                <w:sz w:val="14"/>
                <w:szCs w:val="14"/>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color w:val="auto"/>
              </w:rPr>
              <w:t>537</w:t>
            </w:r>
          </w:p>
        </w:tc>
        <w:tc>
          <w:tcPr>
            <w:tcW w:w="20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19</w:t>
            </w:r>
          </w:p>
        </w:tc>
        <w:tc>
          <w:tcPr>
            <w:tcW w:w="28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1,959</w:t>
            </w:r>
          </w:p>
        </w:tc>
      </w:tr>
      <w:tr>
        <w:trPr>
          <w:trHeight w:val="181"/>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Less: Income tax expense (benefit)</w:t>
            </w:r>
          </w:p>
        </w:tc>
        <w:tc>
          <w:tcPr>
            <w:tcW w:w="380" w:type="dxa"/>
            <w:vAlign w:val="bottom"/>
            <w:tcBorders>
              <w:bottom w:val="single" w:sz="8" w:color="1352DE"/>
            </w:tcBorders>
          </w:tcPr>
          <w:p>
            <w:pPr>
              <w:spacing w:after="0"/>
              <w:rPr>
                <w:sz w:val="15"/>
                <w:szCs w:val="15"/>
                <w:color w:val="auto"/>
              </w:rPr>
            </w:pP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1352DE"/>
            </w:tcBorders>
          </w:tcPr>
          <w:p>
            <w:pPr>
              <w:spacing w:after="0"/>
              <w:rPr>
                <w:sz w:val="15"/>
                <w:szCs w:val="15"/>
                <w:color w:val="auto"/>
              </w:rPr>
            </w:pPr>
          </w:p>
        </w:tc>
        <w:tc>
          <w:tcPr>
            <w:tcW w:w="8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(74)</w:t>
            </w:r>
          </w:p>
        </w:tc>
        <w:tc>
          <w:tcPr>
            <w:tcW w:w="180" w:type="dxa"/>
            <w:vAlign w:val="bottom"/>
            <w:tcBorders>
              <w:bottom w:val="single" w:sz="8" w:color="1352DE"/>
            </w:tcBorders>
          </w:tcPr>
          <w:p>
            <w:pPr>
              <w:spacing w:after="0"/>
              <w:rPr>
                <w:sz w:val="15"/>
                <w:szCs w:val="15"/>
                <w:color w:val="auto"/>
              </w:rPr>
            </w:pP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4</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(30)</w:t>
            </w:r>
          </w:p>
        </w:tc>
        <w:tc>
          <w:tcPr>
            <w:tcW w:w="200" w:type="dxa"/>
            <w:vAlign w:val="bottom"/>
            <w:tcBorders>
              <w:bottom w:val="single" w:sz="8" w:color="1352DE"/>
            </w:tcBorders>
          </w:tcPr>
          <w:p>
            <w:pPr>
              <w:spacing w:after="0"/>
              <w:rPr>
                <w:sz w:val="15"/>
                <w:szCs w:val="15"/>
                <w:color w:val="auto"/>
              </w:rPr>
            </w:pPr>
          </w:p>
        </w:tc>
        <w:tc>
          <w:tcPr>
            <w:tcW w:w="72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6</w:t>
            </w:r>
          </w:p>
        </w:tc>
        <w:tc>
          <w:tcPr>
            <w:tcW w:w="28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(95)</w:t>
            </w:r>
          </w:p>
        </w:tc>
      </w:tr>
      <w:tr>
        <w:trPr>
          <w:trHeight w:val="169"/>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352DE"/>
              </w:rPr>
              <w:t>Total other comprehensive income (loss), net of income tax expense (benefit)</w:t>
            </w:r>
          </w:p>
        </w:tc>
        <w:tc>
          <w:tcPr>
            <w:tcW w:w="3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1,464</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12</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567</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13</w:t>
            </w:r>
          </w:p>
        </w:tc>
        <w:tc>
          <w:tcPr>
            <w:tcW w:w="280" w:type="dxa"/>
            <w:vAlign w:val="bottom"/>
            <w:tcBorders>
              <w:bottom w:val="single" w:sz="8" w:color="1352DE"/>
            </w:tcBorders>
          </w:tcPr>
          <w:p>
            <w:pPr>
              <w:jc w:val="right"/>
              <w:ind w:right="12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2,054</w:t>
            </w:r>
          </w:p>
        </w:tc>
      </w:tr>
    </w:tbl>
    <w:p>
      <w:pPr>
        <w:spacing w:after="0" w:line="296" w:lineRule="exact"/>
        <w:rPr>
          <w:sz w:val="20"/>
          <w:szCs w:val="20"/>
          <w:color w:val="auto"/>
        </w:rPr>
      </w:pPr>
    </w:p>
    <w:p>
      <w:pPr>
        <w:ind w:right="520"/>
        <w:spacing w:after="0" w:line="333" w:lineRule="auto"/>
        <w:rPr>
          <w:sz w:val="20"/>
          <w:szCs w:val="20"/>
          <w:color w:val="auto"/>
        </w:rPr>
      </w:pPr>
      <w:r>
        <w:rPr>
          <w:rFonts w:ascii="Arial" w:cs="Arial" w:eastAsia="Arial" w:hAnsi="Arial"/>
          <w:sz w:val="16"/>
          <w:szCs w:val="16"/>
          <w:b w:val="1"/>
          <w:bCs w:val="1"/>
          <w:color w:val="1352DE"/>
        </w:rPr>
        <w:t>The following table presents the effect of the reclassification of significant items out of AOCI on the respective line items in the Condensed Consolidated Statements of Income (Loss)</w:t>
      </w:r>
      <w:r>
        <w:rPr>
          <w:rFonts w:ascii="Arial" w:cs="Arial" w:eastAsia="Arial" w:hAnsi="Arial"/>
          <w:sz w:val="21"/>
          <w:szCs w:val="21"/>
          <w:b w:val="1"/>
          <w:bCs w:val="1"/>
          <w:color w:val="1352DE"/>
          <w:vertAlign w:val="superscript"/>
        </w:rPr>
        <w:t>(a)</w:t>
      </w:r>
      <w:r>
        <w:rPr>
          <w:rFonts w:ascii="Arial" w:cs="Arial" w:eastAsia="Arial" w:hAnsi="Arial"/>
          <w:sz w:val="16"/>
          <w:szCs w:val="16"/>
          <w:b w:val="1"/>
          <w:bCs w:val="1"/>
          <w:color w:val="1352DE"/>
        </w:rPr>
        <w:t>:</w:t>
      </w:r>
    </w:p>
    <w:tbl>
      <w:tblPr>
        <w:tblLayout w:type="fixed"/>
        <w:tblInd w:w="0" w:type="dxa"/>
        <w:tblCellMar>
          <w:top w:w="0" w:type="dxa"/>
          <w:left w:w="0" w:type="dxa"/>
          <w:bottom w:w="0" w:type="dxa"/>
          <w:right w:w="0" w:type="dxa"/>
        </w:tblCellMar>
      </w:tblPr>
      <w:tr>
        <w:trPr>
          <w:trHeight w:val="207"/>
        </w:trPr>
        <w:tc>
          <w:tcPr>
            <w:tcW w:w="3120" w:type="dxa"/>
            <w:vAlign w:val="bottom"/>
            <w:tcBorders>
              <w:top w:val="single" w:sz="8" w:color="1352DE"/>
            </w:tcBorders>
          </w:tcPr>
          <w:p>
            <w:pPr>
              <w:spacing w:after="0"/>
              <w:rPr>
                <w:sz w:val="18"/>
                <w:szCs w:val="18"/>
                <w:color w:val="auto"/>
              </w:rPr>
            </w:pPr>
          </w:p>
        </w:tc>
        <w:tc>
          <w:tcPr>
            <w:tcW w:w="100" w:type="dxa"/>
            <w:vAlign w:val="bottom"/>
            <w:tcBorders>
              <w:top w:val="single" w:sz="8" w:color="1352DE"/>
              <w:bottom w:val="single" w:sz="8" w:color="1352DE"/>
            </w:tcBorders>
          </w:tcPr>
          <w:p>
            <w:pPr>
              <w:spacing w:after="0"/>
              <w:rPr>
                <w:sz w:val="18"/>
                <w:szCs w:val="18"/>
                <w:color w:val="auto"/>
              </w:rPr>
            </w:pPr>
          </w:p>
        </w:tc>
        <w:tc>
          <w:tcPr>
            <w:tcW w:w="140" w:type="dxa"/>
            <w:vAlign w:val="bottom"/>
            <w:tcBorders>
              <w:top w:val="single" w:sz="8" w:color="1352DE"/>
              <w:bottom w:val="single" w:sz="8" w:color="1352DE"/>
            </w:tcBorders>
          </w:tcPr>
          <w:p>
            <w:pPr>
              <w:spacing w:after="0"/>
              <w:rPr>
                <w:sz w:val="18"/>
                <w:szCs w:val="18"/>
                <w:color w:val="auto"/>
              </w:rPr>
            </w:pPr>
          </w:p>
        </w:tc>
        <w:tc>
          <w:tcPr>
            <w:tcW w:w="1240" w:type="dxa"/>
            <w:vAlign w:val="bottom"/>
            <w:tcBorders>
              <w:top w:val="single" w:sz="8" w:color="1352DE"/>
              <w:bottom w:val="single" w:sz="8" w:color="1352DE"/>
            </w:tcBorders>
          </w:tcPr>
          <w:p>
            <w:pPr>
              <w:spacing w:after="0"/>
              <w:rPr>
                <w:sz w:val="18"/>
                <w:szCs w:val="18"/>
                <w:color w:val="auto"/>
              </w:rPr>
            </w:pPr>
          </w:p>
        </w:tc>
        <w:tc>
          <w:tcPr>
            <w:tcW w:w="260" w:type="dxa"/>
            <w:vAlign w:val="bottom"/>
            <w:tcBorders>
              <w:top w:val="single" w:sz="8" w:color="1352DE"/>
              <w:bottom w:val="single" w:sz="8" w:color="1352DE"/>
            </w:tcBorders>
          </w:tcPr>
          <w:p>
            <w:pPr>
              <w:spacing w:after="0"/>
              <w:rPr>
                <w:sz w:val="18"/>
                <w:szCs w:val="18"/>
                <w:color w:val="auto"/>
              </w:rPr>
            </w:pPr>
          </w:p>
        </w:tc>
        <w:tc>
          <w:tcPr>
            <w:tcW w:w="2680" w:type="dxa"/>
            <w:vAlign w:val="bottom"/>
            <w:tcBorders>
              <w:top w:val="single" w:sz="8" w:color="1352DE"/>
              <w:bottom w:val="single" w:sz="8" w:color="1352DE"/>
            </w:tcBorders>
            <w:gridSpan w:val="4"/>
          </w:tcPr>
          <w:p>
            <w:pPr>
              <w:jc w:val="right"/>
              <w:ind w:right="448"/>
              <w:spacing w:after="0"/>
              <w:rPr>
                <w:sz w:val="20"/>
                <w:szCs w:val="20"/>
                <w:color w:val="auto"/>
              </w:rPr>
            </w:pPr>
            <w:r>
              <w:rPr>
                <w:rFonts w:ascii="Arial" w:cs="Arial" w:eastAsia="Arial" w:hAnsi="Arial"/>
                <w:sz w:val="14"/>
                <w:szCs w:val="14"/>
                <w:color w:val="1252DE"/>
              </w:rPr>
              <w:t>Amount Reclassified from AOCI</w:t>
            </w:r>
          </w:p>
        </w:tc>
        <w:tc>
          <w:tcPr>
            <w:tcW w:w="560" w:type="dxa"/>
            <w:vAlign w:val="bottom"/>
            <w:tcBorders>
              <w:top w:val="single" w:sz="8" w:color="1352DE"/>
              <w:bottom w:val="single" w:sz="8" w:color="1352DE"/>
            </w:tcBorders>
          </w:tcPr>
          <w:p>
            <w:pPr>
              <w:spacing w:after="0"/>
              <w:rPr>
                <w:sz w:val="18"/>
                <w:szCs w:val="18"/>
                <w:color w:val="auto"/>
              </w:rPr>
            </w:pPr>
          </w:p>
        </w:tc>
        <w:tc>
          <w:tcPr>
            <w:tcW w:w="760" w:type="dxa"/>
            <w:vAlign w:val="bottom"/>
            <w:tcBorders>
              <w:top w:val="single" w:sz="8" w:color="1352DE"/>
              <w:bottom w:val="single" w:sz="8" w:color="1352DE"/>
            </w:tcBorders>
          </w:tcPr>
          <w:p>
            <w:pPr>
              <w:spacing w:after="0"/>
              <w:rPr>
                <w:sz w:val="18"/>
                <w:szCs w:val="18"/>
                <w:color w:val="auto"/>
              </w:rPr>
            </w:pPr>
          </w:p>
        </w:tc>
        <w:tc>
          <w:tcPr>
            <w:tcW w:w="2360" w:type="dxa"/>
            <w:vAlign w:val="bottom"/>
            <w:tcBorders>
              <w:top w:val="single" w:sz="8" w:color="1352DE"/>
            </w:tcBorders>
          </w:tcPr>
          <w:p>
            <w:pPr>
              <w:jc w:val="center"/>
              <w:ind w:left="56"/>
              <w:spacing w:after="0"/>
              <w:rPr>
                <w:sz w:val="20"/>
                <w:szCs w:val="20"/>
                <w:color w:val="auto"/>
              </w:rPr>
            </w:pPr>
            <w:r>
              <w:rPr>
                <w:rFonts w:ascii="Arial" w:cs="Arial" w:eastAsia="Arial" w:hAnsi="Arial"/>
                <w:sz w:val="14"/>
                <w:szCs w:val="14"/>
                <w:color w:val="1252DE"/>
              </w:rPr>
              <w:t>Affected Line Item in the</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100" w:type="dxa"/>
            <w:vAlign w:val="bottom"/>
            <w:tcBorders>
              <w:bottom w:val="single" w:sz="8" w:color="1352DE"/>
            </w:tcBorders>
          </w:tcPr>
          <w:p>
            <w:pPr>
              <w:spacing w:after="0"/>
              <w:rPr>
                <w:sz w:val="17"/>
                <w:szCs w:val="17"/>
                <w:color w:val="auto"/>
              </w:rPr>
            </w:pPr>
          </w:p>
        </w:tc>
        <w:tc>
          <w:tcPr>
            <w:tcW w:w="140" w:type="dxa"/>
            <w:vAlign w:val="bottom"/>
            <w:tcBorders>
              <w:bottom w:val="single" w:sz="8" w:color="1352DE"/>
            </w:tcBorders>
          </w:tcPr>
          <w:p>
            <w:pPr>
              <w:spacing w:after="0"/>
              <w:rPr>
                <w:sz w:val="17"/>
                <w:szCs w:val="17"/>
                <w:color w:val="auto"/>
              </w:rPr>
            </w:pPr>
          </w:p>
        </w:tc>
        <w:tc>
          <w:tcPr>
            <w:tcW w:w="2620" w:type="dxa"/>
            <w:vAlign w:val="bottom"/>
            <w:tcBorders>
              <w:bottom w:val="single" w:sz="8" w:color="1352DE"/>
            </w:tcBorders>
            <w:gridSpan w:val="3"/>
          </w:tcPr>
          <w:p>
            <w:pPr>
              <w:jc w:val="right"/>
              <w:ind w:right="188"/>
              <w:spacing w:after="0"/>
              <w:rPr>
                <w:sz w:val="20"/>
                <w:szCs w:val="20"/>
                <w:color w:val="auto"/>
              </w:rPr>
            </w:pPr>
            <w:r>
              <w:rPr>
                <w:rFonts w:ascii="Arial" w:cs="Arial" w:eastAsia="Arial" w:hAnsi="Arial"/>
                <w:sz w:val="14"/>
                <w:szCs w:val="14"/>
                <w:color w:val="1252DE"/>
              </w:rPr>
              <w:t>Three Months Ended September 30,</w:t>
            </w:r>
          </w:p>
        </w:tc>
        <w:tc>
          <w:tcPr>
            <w:tcW w:w="100" w:type="dxa"/>
            <w:vAlign w:val="bottom"/>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2540" w:type="dxa"/>
            <w:vAlign w:val="bottom"/>
            <w:tcBorders>
              <w:bottom w:val="single" w:sz="8" w:color="1352DE"/>
            </w:tcBorders>
            <w:gridSpan w:val="3"/>
          </w:tcPr>
          <w:p>
            <w:pPr>
              <w:jc w:val="right"/>
              <w:ind w:right="188"/>
              <w:spacing w:after="0"/>
              <w:rPr>
                <w:sz w:val="20"/>
                <w:szCs w:val="20"/>
                <w:color w:val="auto"/>
              </w:rPr>
            </w:pPr>
            <w:r>
              <w:rPr>
                <w:rFonts w:ascii="Arial" w:cs="Arial" w:eastAsia="Arial" w:hAnsi="Arial"/>
                <w:sz w:val="14"/>
                <w:szCs w:val="14"/>
                <w:color w:val="1252DE"/>
              </w:rPr>
              <w:t>Nine Months Ended September 30,</w:t>
            </w:r>
          </w:p>
        </w:tc>
        <w:tc>
          <w:tcPr>
            <w:tcW w:w="2360" w:type="dxa"/>
            <w:vAlign w:val="bottom"/>
          </w:tcPr>
          <w:p>
            <w:pPr>
              <w:jc w:val="center"/>
              <w:ind w:left="56"/>
              <w:spacing w:after="0"/>
              <w:rPr>
                <w:sz w:val="20"/>
                <w:szCs w:val="20"/>
                <w:color w:val="auto"/>
              </w:rPr>
            </w:pPr>
            <w:r>
              <w:rPr>
                <w:rFonts w:ascii="Arial" w:cs="Arial" w:eastAsia="Arial" w:hAnsi="Arial"/>
                <w:sz w:val="14"/>
                <w:szCs w:val="14"/>
                <w:color w:val="1252DE"/>
              </w:rPr>
              <w:t>Condensed Consolidated</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1352DE"/>
            </w:tcBorders>
            <w:gridSpan w:val="2"/>
          </w:tcPr>
          <w:p>
            <w:pPr>
              <w:ind w:left="20"/>
              <w:spacing w:after="0"/>
              <w:rPr>
                <w:sz w:val="20"/>
                <w:szCs w:val="20"/>
                <w:color w:val="auto"/>
              </w:rPr>
            </w:pPr>
            <w:r>
              <w:rPr>
                <w:rFonts w:ascii="Arial" w:cs="Arial" w:eastAsia="Arial" w:hAnsi="Arial"/>
                <w:sz w:val="13"/>
                <w:szCs w:val="13"/>
                <w:i w:val="1"/>
                <w:iCs w:val="1"/>
                <w:color w:val="1252DE"/>
              </w:rPr>
              <w:t>(in millions)</w:t>
            </w:r>
          </w:p>
        </w:tc>
        <w:tc>
          <w:tcPr>
            <w:tcW w:w="140" w:type="dxa"/>
            <w:vAlign w:val="bottom"/>
            <w:tcBorders>
              <w:bottom w:val="single" w:sz="8" w:color="1352DE"/>
            </w:tcBorders>
          </w:tcPr>
          <w:p>
            <w:pPr>
              <w:spacing w:after="0"/>
              <w:rPr>
                <w:sz w:val="17"/>
                <w:szCs w:val="17"/>
                <w:color w:val="auto"/>
              </w:rPr>
            </w:pPr>
          </w:p>
        </w:tc>
        <w:tc>
          <w:tcPr>
            <w:tcW w:w="1240" w:type="dxa"/>
            <w:vAlign w:val="bottom"/>
            <w:tcBorders>
              <w:bottom w:val="single" w:sz="8" w:color="1352DE"/>
            </w:tcBorders>
          </w:tcPr>
          <w:p>
            <w:pPr>
              <w:jc w:val="right"/>
              <w:ind w:right="8"/>
              <w:spacing w:after="0"/>
              <w:rPr>
                <w:sz w:val="20"/>
                <w:szCs w:val="20"/>
                <w:color w:val="auto"/>
              </w:rPr>
            </w:pPr>
            <w:r>
              <w:rPr>
                <w:rFonts w:ascii="Arial" w:cs="Arial" w:eastAsia="Arial" w:hAnsi="Arial"/>
                <w:sz w:val="15"/>
                <w:szCs w:val="15"/>
                <w:b w:val="1"/>
                <w:bCs w:val="1"/>
                <w:color w:val="1252DE"/>
              </w:rPr>
              <w:t>2026</w:t>
            </w:r>
          </w:p>
        </w:tc>
        <w:tc>
          <w:tcPr>
            <w:tcW w:w="260" w:type="dxa"/>
            <w:vAlign w:val="bottom"/>
            <w:tcBorders>
              <w:bottom w:val="single" w:sz="8" w:color="1352DE"/>
            </w:tcBorders>
          </w:tcPr>
          <w:p>
            <w:pPr>
              <w:spacing w:after="0"/>
              <w:rPr>
                <w:sz w:val="17"/>
                <w:szCs w:val="17"/>
                <w:color w:val="auto"/>
              </w:rPr>
            </w:pPr>
          </w:p>
        </w:tc>
        <w:tc>
          <w:tcPr>
            <w:tcW w:w="11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10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12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2026</w:t>
            </w:r>
          </w:p>
        </w:tc>
        <w:tc>
          <w:tcPr>
            <w:tcW w:w="56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360" w:type="dxa"/>
            <w:vAlign w:val="bottom"/>
            <w:tcBorders>
              <w:bottom w:val="single" w:sz="8" w:color="1352DE"/>
            </w:tcBorders>
          </w:tcPr>
          <w:p>
            <w:pPr>
              <w:jc w:val="center"/>
              <w:ind w:left="56"/>
              <w:spacing w:after="0"/>
              <w:rPr>
                <w:sz w:val="20"/>
                <w:szCs w:val="20"/>
                <w:color w:val="auto"/>
              </w:rPr>
            </w:pPr>
            <w:r>
              <w:rPr>
                <w:rFonts w:ascii="Arial" w:cs="Arial" w:eastAsia="Arial" w:hAnsi="Arial"/>
                <w:sz w:val="14"/>
                <w:szCs w:val="14"/>
                <w:color w:val="1252DE"/>
              </w:rPr>
              <w:t>Statements of Income (Loss)</w:t>
            </w:r>
          </w:p>
        </w:tc>
        <w:tc>
          <w:tcPr>
            <w:tcW w:w="0" w:type="dxa"/>
            <w:vAlign w:val="bottom"/>
          </w:tcPr>
          <w:p>
            <w:pPr>
              <w:spacing w:after="0"/>
              <w:rPr>
                <w:sz w:val="1"/>
                <w:szCs w:val="1"/>
                <w:color w:val="auto"/>
              </w:rPr>
            </w:pPr>
          </w:p>
        </w:tc>
      </w:tr>
      <w:tr>
        <w:trPr>
          <w:trHeight w:val="146"/>
        </w:trPr>
        <w:tc>
          <w:tcPr>
            <w:tcW w:w="32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1252DE"/>
              </w:rPr>
              <w:t>Unrealized appreciation (depreciation) of fixed</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1252DE"/>
              </w:rPr>
              <w:t>maturity securities on which allowance for</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gridSpan w:val="2"/>
          </w:tcPr>
          <w:p>
            <w:pPr>
              <w:ind w:left="140"/>
              <w:spacing w:after="0"/>
              <w:rPr>
                <w:sz w:val="20"/>
                <w:szCs w:val="20"/>
                <w:color w:val="auto"/>
              </w:rPr>
            </w:pPr>
            <w:r>
              <w:rPr>
                <w:rFonts w:ascii="Arial" w:cs="Arial" w:eastAsia="Arial" w:hAnsi="Arial"/>
                <w:sz w:val="14"/>
                <w:szCs w:val="14"/>
                <w:b w:val="1"/>
                <w:bCs w:val="1"/>
                <w:color w:val="1252DE"/>
              </w:rPr>
              <w:t>credit losses was taken</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1352DE"/>
            </w:tcBorders>
            <w:gridSpan w:val="2"/>
          </w:tcPr>
          <w:p>
            <w:pPr>
              <w:ind w:left="100"/>
              <w:spacing w:after="0"/>
              <w:rPr>
                <w:sz w:val="20"/>
                <w:szCs w:val="20"/>
                <w:color w:val="auto"/>
              </w:rPr>
            </w:pPr>
            <w:r>
              <w:rPr>
                <w:rFonts w:ascii="Arial" w:cs="Arial" w:eastAsia="Arial" w:hAnsi="Arial"/>
                <w:sz w:val="15"/>
                <w:szCs w:val="15"/>
                <w:color w:val="auto"/>
              </w:rPr>
              <w:t>Investments</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2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(5)</w:t>
            </w:r>
          </w:p>
        </w:tc>
        <w:tc>
          <w:tcPr>
            <w:tcW w:w="2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1352DE"/>
            </w:tcBorders>
            <w:gridSpan w:val="2"/>
          </w:tcPr>
          <w:p>
            <w:pPr>
              <w:ind w:left="9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(5)</w:t>
            </w:r>
          </w:p>
        </w:tc>
        <w:tc>
          <w:tcPr>
            <w:tcW w:w="560" w:type="dxa"/>
            <w:vAlign w:val="bottom"/>
            <w:tcBorders>
              <w:bottom w:val="single" w:sz="8" w:color="1352DE"/>
            </w:tcBorders>
          </w:tcPr>
          <w:p>
            <w:pPr>
              <w:jc w:val="right"/>
              <w:ind w:right="348"/>
              <w:spacing w:after="0"/>
              <w:rPr>
                <w:sz w:val="20"/>
                <w:szCs w:val="20"/>
                <w:color w:val="auto"/>
              </w:rPr>
            </w:pPr>
            <w:r>
              <w:rPr>
                <w:rFonts w:ascii="Arial" w:cs="Arial" w:eastAsia="Arial" w:hAnsi="Arial"/>
                <w:sz w:val="14"/>
                <w:szCs w:val="14"/>
                <w:color w:val="auto"/>
              </w:rPr>
              <w:t>$</w:t>
            </w:r>
          </w:p>
        </w:tc>
        <w:tc>
          <w:tcPr>
            <w:tcW w:w="3120" w:type="dxa"/>
            <w:vAlign w:val="bottom"/>
            <w:tcBorders>
              <w:bottom w:val="single" w:sz="8" w:color="1352DE"/>
            </w:tcBorders>
            <w:gridSpan w:val="2"/>
          </w:tcPr>
          <w:p>
            <w:pPr>
              <w:ind w:left="560"/>
              <w:spacing w:after="0"/>
              <w:rPr>
                <w:sz w:val="20"/>
                <w:szCs w:val="20"/>
                <w:color w:val="auto"/>
              </w:rPr>
            </w:pPr>
            <w:r>
              <w:rPr>
                <w:rFonts w:ascii="Arial" w:cs="Arial" w:eastAsia="Arial" w:hAnsi="Arial"/>
                <w:sz w:val="14"/>
                <w:szCs w:val="14"/>
                <w:color w:val="auto"/>
              </w:rPr>
              <w:t>—   Net realized gains (losses)</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1352DE"/>
            </w:tcBorders>
            <w:gridSpan w:val="2"/>
          </w:tcPr>
          <w:p>
            <w:pPr>
              <w:ind w:left="20"/>
              <w:spacing w:after="0"/>
              <w:rPr>
                <w:sz w:val="20"/>
                <w:szCs w:val="20"/>
                <w:color w:val="auto"/>
              </w:rPr>
            </w:pPr>
            <w:r>
              <w:rPr>
                <w:rFonts w:ascii="Arial" w:cs="Arial" w:eastAsia="Arial" w:hAnsi="Arial"/>
                <w:sz w:val="14"/>
                <w:szCs w:val="14"/>
                <w:b w:val="1"/>
                <w:bCs w:val="1"/>
                <w:color w:val="1252DE"/>
              </w:rPr>
              <w:t>Total</w:t>
            </w:r>
          </w:p>
        </w:tc>
        <w:tc>
          <w:tcPr>
            <w:tcW w:w="140" w:type="dxa"/>
            <w:vAlign w:val="bottom"/>
            <w:tcBorders>
              <w:bottom w:val="single" w:sz="8" w:color="1352DE"/>
            </w:tcBorders>
          </w:tcPr>
          <w:p>
            <w:pPr>
              <w:spacing w:after="0"/>
              <w:rPr>
                <w:sz w:val="17"/>
                <w:szCs w:val="17"/>
                <w:color w:val="auto"/>
              </w:rPr>
            </w:pPr>
          </w:p>
        </w:tc>
        <w:tc>
          <w:tcPr>
            <w:tcW w:w="12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(5)</w:t>
            </w:r>
          </w:p>
        </w:tc>
        <w:tc>
          <w:tcPr>
            <w:tcW w:w="260" w:type="dxa"/>
            <w:vAlign w:val="bottom"/>
            <w:tcBorders>
              <w:bottom w:val="single" w:sz="8" w:color="1352DE"/>
            </w:tcBorders>
          </w:tcPr>
          <w:p>
            <w:pPr>
              <w:spacing w:after="0"/>
              <w:rPr>
                <w:sz w:val="17"/>
                <w:szCs w:val="17"/>
                <w:color w:val="auto"/>
              </w:rPr>
            </w:pPr>
          </w:p>
        </w:tc>
        <w:tc>
          <w:tcPr>
            <w:tcW w:w="1220" w:type="dxa"/>
            <w:vAlign w:val="bottom"/>
            <w:tcBorders>
              <w:bottom w:val="single" w:sz="8" w:color="1352DE"/>
            </w:tcBorders>
            <w:gridSpan w:val="2"/>
          </w:tcPr>
          <w:p>
            <w:pPr>
              <w:ind w:left="9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1352DE"/>
            </w:tcBorders>
          </w:tcPr>
          <w:p>
            <w:pPr>
              <w:spacing w:after="0"/>
              <w:rPr>
                <w:sz w:val="17"/>
                <w:szCs w:val="17"/>
                <w:color w:val="auto"/>
              </w:rPr>
            </w:pPr>
          </w:p>
        </w:tc>
        <w:tc>
          <w:tcPr>
            <w:tcW w:w="1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(5)</w:t>
            </w:r>
          </w:p>
        </w:tc>
        <w:tc>
          <w:tcPr>
            <w:tcW w:w="56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ind w:left="560"/>
              <w:spacing w:after="0"/>
              <w:rPr>
                <w:sz w:val="20"/>
                <w:szCs w:val="20"/>
                <w:color w:val="auto"/>
              </w:rPr>
            </w:pPr>
            <w:r>
              <w:rPr>
                <w:rFonts w:ascii="Arial" w:cs="Arial" w:eastAsia="Arial" w:hAnsi="Arial"/>
                <w:sz w:val="14"/>
                <w:szCs w:val="14"/>
                <w:color w:val="auto"/>
              </w:rPr>
              <w:t>—</w:t>
            </w:r>
          </w:p>
        </w:tc>
        <w:tc>
          <w:tcPr>
            <w:tcW w:w="236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1252DE"/>
              </w:rPr>
              <w:t>Unrealized appreciation (depreciation) of all</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gridSpan w:val="2"/>
          </w:tcPr>
          <w:p>
            <w:pPr>
              <w:ind w:left="140"/>
              <w:spacing w:after="0"/>
              <w:rPr>
                <w:sz w:val="20"/>
                <w:szCs w:val="20"/>
                <w:color w:val="auto"/>
              </w:rPr>
            </w:pPr>
            <w:r>
              <w:rPr>
                <w:rFonts w:ascii="Arial" w:cs="Arial" w:eastAsia="Arial" w:hAnsi="Arial"/>
                <w:sz w:val="14"/>
                <w:szCs w:val="14"/>
                <w:b w:val="1"/>
                <w:bCs w:val="1"/>
                <w:color w:val="1252DE"/>
              </w:rPr>
              <w:t>other investments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1352DE"/>
            </w:tcBorders>
            <w:gridSpan w:val="2"/>
          </w:tcPr>
          <w:p>
            <w:pPr>
              <w:ind w:left="140"/>
              <w:spacing w:after="0"/>
              <w:rPr>
                <w:sz w:val="20"/>
                <w:szCs w:val="20"/>
                <w:color w:val="auto"/>
              </w:rPr>
            </w:pPr>
            <w:r>
              <w:rPr>
                <w:rFonts w:ascii="Arial" w:cs="Arial" w:eastAsia="Arial" w:hAnsi="Arial"/>
                <w:sz w:val="14"/>
                <w:szCs w:val="14"/>
                <w:color w:val="auto"/>
              </w:rPr>
              <w:t>Investments</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2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(174)</w:t>
            </w:r>
          </w:p>
        </w:tc>
        <w:tc>
          <w:tcPr>
            <w:tcW w:w="2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1352DE"/>
            </w:tcBorders>
          </w:tcPr>
          <w:p>
            <w:pPr>
              <w:spacing w:after="0"/>
              <w:rPr>
                <w:sz w:val="18"/>
                <w:szCs w:val="18"/>
                <w:color w:val="auto"/>
              </w:rPr>
            </w:pPr>
          </w:p>
        </w:tc>
        <w:tc>
          <w:tcPr>
            <w:tcW w:w="2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(367)</w:t>
            </w:r>
          </w:p>
        </w:tc>
        <w:tc>
          <w:tcPr>
            <w:tcW w:w="560" w:type="dxa"/>
            <w:vAlign w:val="bottom"/>
            <w:tcBorders>
              <w:bottom w:val="single" w:sz="8" w:color="1352DE"/>
            </w:tcBorders>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(515)</w:t>
            </w:r>
          </w:p>
        </w:tc>
        <w:tc>
          <w:tcPr>
            <w:tcW w:w="236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Net realized gains (losses)</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1352DE"/>
            </w:tcBorders>
            <w:gridSpan w:val="2"/>
          </w:tcPr>
          <w:p>
            <w:pPr>
              <w:ind w:left="20"/>
              <w:spacing w:after="0"/>
              <w:rPr>
                <w:sz w:val="20"/>
                <w:szCs w:val="20"/>
                <w:color w:val="auto"/>
              </w:rPr>
            </w:pPr>
            <w:r>
              <w:rPr>
                <w:rFonts w:ascii="Arial" w:cs="Arial" w:eastAsia="Arial" w:hAnsi="Arial"/>
                <w:sz w:val="14"/>
                <w:szCs w:val="14"/>
                <w:b w:val="1"/>
                <w:bCs w:val="1"/>
                <w:color w:val="1252DE"/>
              </w:rPr>
              <w:t>Total</w:t>
            </w:r>
          </w:p>
        </w:tc>
        <w:tc>
          <w:tcPr>
            <w:tcW w:w="140" w:type="dxa"/>
            <w:vAlign w:val="bottom"/>
            <w:tcBorders>
              <w:bottom w:val="single" w:sz="8" w:color="1352DE"/>
            </w:tcBorders>
          </w:tcPr>
          <w:p>
            <w:pPr>
              <w:spacing w:after="0"/>
              <w:rPr>
                <w:sz w:val="17"/>
                <w:szCs w:val="17"/>
                <w:color w:val="auto"/>
              </w:rPr>
            </w:pPr>
          </w:p>
        </w:tc>
        <w:tc>
          <w:tcPr>
            <w:tcW w:w="12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(174)</w:t>
            </w:r>
          </w:p>
        </w:tc>
        <w:tc>
          <w:tcPr>
            <w:tcW w:w="260" w:type="dxa"/>
            <w:vAlign w:val="bottom"/>
            <w:tcBorders>
              <w:bottom w:val="single" w:sz="8" w:color="1352DE"/>
            </w:tcBorders>
          </w:tcPr>
          <w:p>
            <w:pPr>
              <w:spacing w:after="0"/>
              <w:rPr>
                <w:sz w:val="17"/>
                <w:szCs w:val="17"/>
                <w:color w:val="auto"/>
              </w:rPr>
            </w:pPr>
          </w:p>
        </w:tc>
        <w:tc>
          <w:tcPr>
            <w:tcW w:w="11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1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(367)</w:t>
            </w:r>
          </w:p>
        </w:tc>
        <w:tc>
          <w:tcPr>
            <w:tcW w:w="56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(515)</w:t>
            </w:r>
          </w:p>
        </w:tc>
        <w:tc>
          <w:tcPr>
            <w:tcW w:w="236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1252DE"/>
              </w:rPr>
              <w:t>Change in retirement plan liabilities</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gridSpan w:val="2"/>
          </w:tcPr>
          <w:p>
            <w:pPr>
              <w:ind w:left="140"/>
              <w:spacing w:after="0"/>
              <w:rPr>
                <w:sz w:val="20"/>
                <w:szCs w:val="20"/>
                <w:color w:val="auto"/>
              </w:rPr>
            </w:pPr>
            <w:r>
              <w:rPr>
                <w:rFonts w:ascii="Arial" w:cs="Arial" w:eastAsia="Arial" w:hAnsi="Arial"/>
                <w:sz w:val="14"/>
                <w:szCs w:val="14"/>
                <w:b w:val="1"/>
                <w:bCs w:val="1"/>
                <w:color w:val="1252DE"/>
              </w:rPr>
              <w:t>adjustment</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60" w:type="dxa"/>
            <w:vAlign w:val="bottom"/>
            <w:vMerge w:val="restart"/>
          </w:tcPr>
          <w:p>
            <w:pPr>
              <w:ind w:left="1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79"/>
        </w:trPr>
        <w:tc>
          <w:tcPr>
            <w:tcW w:w="3220" w:type="dxa"/>
            <w:vAlign w:val="bottom"/>
            <w:gridSpan w:val="2"/>
          </w:tcPr>
          <w:p>
            <w:pPr>
              <w:ind w:left="140"/>
              <w:spacing w:after="0"/>
              <w:rPr>
                <w:sz w:val="20"/>
                <w:szCs w:val="20"/>
                <w:color w:val="auto"/>
              </w:rPr>
            </w:pPr>
            <w:r>
              <w:rPr>
                <w:rFonts w:ascii="Arial" w:cs="Arial" w:eastAsia="Arial" w:hAnsi="Arial"/>
                <w:sz w:val="14"/>
                <w:szCs w:val="14"/>
                <w:color w:val="auto"/>
              </w:rPr>
              <w:t>Prior-service credit</w:t>
            </w:r>
          </w:p>
        </w:tc>
        <w:tc>
          <w:tcPr>
            <w:tcW w:w="140" w:type="dxa"/>
            <w:vAlign w:val="bottom"/>
          </w:tcPr>
          <w:p>
            <w:pPr>
              <w:spacing w:after="0"/>
              <w:rPr>
                <w:sz w:val="15"/>
                <w:szCs w:val="15"/>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b w:val="1"/>
                <w:bCs w:val="1"/>
                <w:color w:val="1252DE"/>
              </w:rPr>
              <w:t>(1)</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1252DE"/>
              </w:rPr>
              <w:t>(3)</w:t>
            </w: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20" w:type="dxa"/>
            <w:vAlign w:val="bottom"/>
            <w:tcBorders>
              <w:bottom w:val="single" w:sz="8" w:color="1352DE"/>
            </w:tcBorders>
            <w:gridSpan w:val="2"/>
          </w:tcPr>
          <w:p>
            <w:pPr>
              <w:ind w:left="140"/>
              <w:spacing w:after="0"/>
              <w:rPr>
                <w:sz w:val="20"/>
                <w:szCs w:val="20"/>
                <w:color w:val="auto"/>
              </w:rPr>
            </w:pPr>
            <w:r>
              <w:rPr>
                <w:rFonts w:ascii="Arial" w:cs="Arial" w:eastAsia="Arial" w:hAnsi="Arial"/>
                <w:sz w:val="14"/>
                <w:szCs w:val="14"/>
                <w:color w:val="auto"/>
              </w:rPr>
              <w:t>Actuarial losses</w:t>
            </w:r>
          </w:p>
        </w:tc>
        <w:tc>
          <w:tcPr>
            <w:tcW w:w="140" w:type="dxa"/>
            <w:vAlign w:val="bottom"/>
            <w:tcBorders>
              <w:bottom w:val="single" w:sz="8" w:color="1352DE"/>
            </w:tcBorders>
          </w:tcPr>
          <w:p>
            <w:pPr>
              <w:spacing w:after="0"/>
              <w:rPr>
                <w:sz w:val="20"/>
                <w:szCs w:val="20"/>
                <w:color w:val="auto"/>
              </w:rPr>
            </w:pPr>
          </w:p>
        </w:tc>
        <w:tc>
          <w:tcPr>
            <w:tcW w:w="12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(10)</w:t>
            </w:r>
          </w:p>
        </w:tc>
        <w:tc>
          <w:tcPr>
            <w:tcW w:w="260" w:type="dxa"/>
            <w:vAlign w:val="bottom"/>
            <w:tcBorders>
              <w:bottom w:val="single" w:sz="8" w:color="1352DE"/>
            </w:tcBorders>
          </w:tcPr>
          <w:p>
            <w:pPr>
              <w:spacing w:after="0"/>
              <w:rPr>
                <w:sz w:val="20"/>
                <w:szCs w:val="20"/>
                <w:color w:val="auto"/>
              </w:rPr>
            </w:pPr>
          </w:p>
        </w:tc>
        <w:tc>
          <w:tcPr>
            <w:tcW w:w="11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1352DE"/>
            </w:tcBorders>
          </w:tcPr>
          <w:p>
            <w:pPr>
              <w:spacing w:after="0"/>
              <w:rPr>
                <w:sz w:val="20"/>
                <w:szCs w:val="20"/>
                <w:color w:val="auto"/>
              </w:rPr>
            </w:pPr>
          </w:p>
        </w:tc>
        <w:tc>
          <w:tcPr>
            <w:tcW w:w="240" w:type="dxa"/>
            <w:vAlign w:val="bottom"/>
            <w:tcBorders>
              <w:bottom w:val="single" w:sz="8" w:color="1352DE"/>
            </w:tcBorders>
          </w:tcPr>
          <w:p>
            <w:pPr>
              <w:spacing w:after="0"/>
              <w:rPr>
                <w:sz w:val="20"/>
                <w:szCs w:val="20"/>
                <w:color w:val="auto"/>
              </w:rPr>
            </w:pPr>
          </w:p>
        </w:tc>
        <w:tc>
          <w:tcPr>
            <w:tcW w:w="1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(23)</w:t>
            </w:r>
          </w:p>
        </w:tc>
        <w:tc>
          <w:tcPr>
            <w:tcW w:w="560" w:type="dxa"/>
            <w:vAlign w:val="bottom"/>
            <w:tcBorders>
              <w:bottom w:val="single" w:sz="8" w:color="1352DE"/>
            </w:tcBorders>
          </w:tcPr>
          <w:p>
            <w:pPr>
              <w:spacing w:after="0"/>
              <w:rPr>
                <w:sz w:val="20"/>
                <w:szCs w:val="20"/>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(22)</w:t>
            </w:r>
          </w:p>
        </w:tc>
        <w:tc>
          <w:tcPr>
            <w:tcW w:w="2360" w:type="dxa"/>
            <w:vAlign w:val="bottom"/>
            <w:tcBorders>
              <w:bottom w:val="single" w:sz="8" w:color="1352DE"/>
            </w:tcBorders>
          </w:tcPr>
          <w:p>
            <w:pPr>
              <w:ind w:left="1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1352DE"/>
            </w:tcBorders>
            <w:gridSpan w:val="2"/>
          </w:tcPr>
          <w:p>
            <w:pPr>
              <w:ind w:left="20"/>
              <w:spacing w:after="0"/>
              <w:rPr>
                <w:sz w:val="20"/>
                <w:szCs w:val="20"/>
                <w:color w:val="auto"/>
              </w:rPr>
            </w:pPr>
            <w:r>
              <w:rPr>
                <w:rFonts w:ascii="Arial" w:cs="Arial" w:eastAsia="Arial" w:hAnsi="Arial"/>
                <w:sz w:val="14"/>
                <w:szCs w:val="14"/>
                <w:b w:val="1"/>
                <w:bCs w:val="1"/>
                <w:color w:val="1252DE"/>
              </w:rPr>
              <w:t>Total</w:t>
            </w:r>
          </w:p>
        </w:tc>
        <w:tc>
          <w:tcPr>
            <w:tcW w:w="140" w:type="dxa"/>
            <w:vAlign w:val="bottom"/>
            <w:tcBorders>
              <w:bottom w:val="single" w:sz="8" w:color="1352DE"/>
            </w:tcBorders>
          </w:tcPr>
          <w:p>
            <w:pPr>
              <w:spacing w:after="0"/>
              <w:rPr>
                <w:sz w:val="17"/>
                <w:szCs w:val="17"/>
                <w:color w:val="auto"/>
              </w:rPr>
            </w:pPr>
          </w:p>
        </w:tc>
        <w:tc>
          <w:tcPr>
            <w:tcW w:w="12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(11)</w:t>
            </w:r>
          </w:p>
        </w:tc>
        <w:tc>
          <w:tcPr>
            <w:tcW w:w="260" w:type="dxa"/>
            <w:vAlign w:val="bottom"/>
            <w:tcBorders>
              <w:bottom w:val="single" w:sz="8" w:color="1352DE"/>
            </w:tcBorders>
          </w:tcPr>
          <w:p>
            <w:pPr>
              <w:spacing w:after="0"/>
              <w:rPr>
                <w:sz w:val="17"/>
                <w:szCs w:val="17"/>
                <w:color w:val="auto"/>
              </w:rPr>
            </w:pPr>
          </w:p>
        </w:tc>
        <w:tc>
          <w:tcPr>
            <w:tcW w:w="11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1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(26)</w:t>
            </w:r>
          </w:p>
        </w:tc>
        <w:tc>
          <w:tcPr>
            <w:tcW w:w="56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(24)</w:t>
            </w:r>
          </w:p>
        </w:tc>
        <w:tc>
          <w:tcPr>
            <w:tcW w:w="236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1352DE"/>
            </w:tcBorders>
            <w:gridSpan w:val="2"/>
          </w:tcPr>
          <w:p>
            <w:pPr>
              <w:ind w:left="20"/>
              <w:spacing w:after="0"/>
              <w:rPr>
                <w:sz w:val="20"/>
                <w:szCs w:val="20"/>
                <w:color w:val="auto"/>
              </w:rPr>
            </w:pPr>
            <w:r>
              <w:rPr>
                <w:rFonts w:ascii="Arial" w:cs="Arial" w:eastAsia="Arial" w:hAnsi="Arial"/>
                <w:sz w:val="14"/>
                <w:szCs w:val="14"/>
                <w:b w:val="1"/>
                <w:bCs w:val="1"/>
                <w:color w:val="1252DE"/>
              </w:rPr>
              <w:t>Total reclassifications for the period</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2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(190)</w:t>
            </w:r>
          </w:p>
        </w:tc>
        <w:tc>
          <w:tcPr>
            <w:tcW w:w="2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12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(398)</w:t>
            </w:r>
          </w:p>
        </w:tc>
        <w:tc>
          <w:tcPr>
            <w:tcW w:w="560" w:type="dxa"/>
            <w:vAlign w:val="bottom"/>
            <w:tcBorders>
              <w:bottom w:val="single" w:sz="8" w:color="1352DE"/>
            </w:tcBorders>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(539)</w:t>
            </w:r>
          </w:p>
        </w:tc>
        <w:tc>
          <w:tcPr>
            <w:tcW w:w="236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560" w:hanging="212"/>
        <w:spacing w:after="0" w:line="264" w:lineRule="auto"/>
        <w:tabs>
          <w:tab w:leader="none" w:pos="208" w:val="left"/>
        </w:tabs>
        <w:numPr>
          <w:ilvl w:val="0"/>
          <w:numId w:val="53"/>
        </w:numPr>
        <w:rPr>
          <w:rFonts w:ascii="Arial" w:cs="Arial" w:eastAsia="Arial" w:hAnsi="Arial"/>
          <w:sz w:val="13"/>
          <w:szCs w:val="13"/>
          <w:color w:val="auto"/>
        </w:rPr>
      </w:pPr>
      <w:r>
        <w:rPr>
          <w:rFonts w:ascii="Arial" w:cs="Arial" w:eastAsia="Arial" w:hAnsi="Arial"/>
          <w:sz w:val="13"/>
          <w:szCs w:val="13"/>
          <w:color w:val="auto"/>
        </w:rPr>
        <w:t>Change in the discount rates used to measure traditional and limited-payment long-duration insurance contracts is not reclassified out of AOCI and included in the Condensed Consolidated Statements of Income (Loss) and thus have been excluded from the table.</w:t>
      </w:r>
    </w:p>
    <w:p>
      <w:pPr>
        <w:spacing w:after="0" w:line="49" w:lineRule="exact"/>
        <w:rPr>
          <w:rFonts w:ascii="Arial" w:cs="Arial" w:eastAsia="Arial" w:hAnsi="Arial"/>
          <w:sz w:val="13"/>
          <w:szCs w:val="13"/>
          <w:color w:val="auto"/>
        </w:rPr>
      </w:pPr>
    </w:p>
    <w:p>
      <w:pPr>
        <w:ind w:left="220" w:hanging="212"/>
        <w:spacing w:after="0"/>
        <w:tabs>
          <w:tab w:leader="none" w:pos="2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These AOCI components are included in the computation of net periodic pension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4771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60" w:hanging="734"/>
        <w:spacing w:after="0"/>
        <w:tabs>
          <w:tab w:leader="none" w:pos="760" w:val="left"/>
        </w:tabs>
        <w:numPr>
          <w:ilvl w:val="0"/>
          <w:numId w:val="54"/>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color w:val="13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14. Earnings Per Common Share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14. Earnings Per Common Share (EPS)</w:t>
      </w:r>
    </w:p>
    <w:p>
      <w:pPr>
        <w:spacing w:after="0" w:line="229"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color w:val="auto"/>
        </w:rPr>
        <w:t>Basic EPS is computed by dividing net income available to common shareholders by the weighted average number of common shares outstanding. The diluted EPS computation assumes the issuance of all potentially dilutive common shares outstanding using the treasury stock method or the if-converted method, as applicable, and excludes the effect of anti-dilutive shares.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1252DE"/>
        </w:rPr>
        <w:t>The following table presents the computation of basic and diluted EPS: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20" w:type="dxa"/>
            <w:vAlign w:val="bottom"/>
            <w:tcBorders>
              <w:top w:val="single" w:sz="8" w:color="1352DE"/>
            </w:tcBorders>
          </w:tcPr>
          <w:p>
            <w:pPr>
              <w:spacing w:after="0"/>
              <w:rPr>
                <w:sz w:val="14"/>
                <w:szCs w:val="14"/>
                <w:color w:val="auto"/>
              </w:rPr>
            </w:pPr>
          </w:p>
        </w:tc>
        <w:tc>
          <w:tcPr>
            <w:tcW w:w="220" w:type="dxa"/>
            <w:vAlign w:val="bottom"/>
            <w:tcBorders>
              <w:top w:val="single" w:sz="8" w:color="1352DE"/>
            </w:tcBorders>
          </w:tcPr>
          <w:p>
            <w:pPr>
              <w:spacing w:after="0"/>
              <w:rPr>
                <w:sz w:val="14"/>
                <w:szCs w:val="14"/>
                <w:color w:val="auto"/>
              </w:rPr>
            </w:pPr>
          </w:p>
        </w:tc>
        <w:tc>
          <w:tcPr>
            <w:tcW w:w="2500" w:type="dxa"/>
            <w:vAlign w:val="bottom"/>
            <w:tcBorders>
              <w:top w:val="single" w:sz="8" w:color="1352DE"/>
            </w:tcBorders>
            <w:gridSpan w:val="4"/>
          </w:tcPr>
          <w:p>
            <w:pPr>
              <w:jc w:val="center"/>
              <w:ind w:right="440"/>
              <w:spacing w:after="0"/>
              <w:rPr>
                <w:sz w:val="20"/>
                <w:szCs w:val="20"/>
                <w:color w:val="auto"/>
              </w:rPr>
            </w:pPr>
            <w:r>
              <w:rPr>
                <w:rFonts w:ascii="Arial" w:cs="Arial" w:eastAsia="Arial" w:hAnsi="Arial"/>
                <w:sz w:val="14"/>
                <w:szCs w:val="14"/>
                <w:color w:val="1252DE"/>
              </w:rPr>
              <w:t>Three Months Ended</w:t>
            </w:r>
          </w:p>
        </w:tc>
        <w:tc>
          <w:tcPr>
            <w:tcW w:w="200" w:type="dxa"/>
            <w:vAlign w:val="bottom"/>
            <w:tcBorders>
              <w:top w:val="single" w:sz="8" w:color="1352DE"/>
            </w:tcBorders>
          </w:tcPr>
          <w:p>
            <w:pPr>
              <w:spacing w:after="0"/>
              <w:rPr>
                <w:sz w:val="14"/>
                <w:szCs w:val="14"/>
                <w:color w:val="auto"/>
              </w:rPr>
            </w:pPr>
          </w:p>
        </w:tc>
        <w:tc>
          <w:tcPr>
            <w:tcW w:w="2280" w:type="dxa"/>
            <w:vAlign w:val="bottom"/>
            <w:tcBorders>
              <w:top w:val="single" w:sz="8" w:color="1352DE"/>
            </w:tcBorders>
            <w:gridSpan w:val="3"/>
          </w:tcPr>
          <w:p>
            <w:pPr>
              <w:jc w:val="right"/>
              <w:ind w:right="528"/>
              <w:spacing w:after="0"/>
              <w:rPr>
                <w:sz w:val="20"/>
                <w:szCs w:val="20"/>
                <w:color w:val="auto"/>
              </w:rPr>
            </w:pPr>
            <w:r>
              <w:rPr>
                <w:rFonts w:ascii="Arial" w:cs="Arial" w:eastAsia="Arial" w:hAnsi="Arial"/>
                <w:sz w:val="14"/>
                <w:szCs w:val="14"/>
                <w:color w:val="1252DE"/>
              </w:rPr>
              <w:t>Nine Months Ended</w:t>
            </w:r>
          </w:p>
        </w:tc>
        <w:tc>
          <w:tcPr>
            <w:tcW w:w="0" w:type="dxa"/>
            <w:vAlign w:val="bottom"/>
          </w:tcPr>
          <w:p>
            <w:pPr>
              <w:spacing w:after="0"/>
              <w:rPr>
                <w:sz w:val="1"/>
                <w:szCs w:val="1"/>
                <w:color w:val="auto"/>
              </w:rPr>
            </w:pPr>
          </w:p>
        </w:tc>
      </w:tr>
      <w:tr>
        <w:trPr>
          <w:trHeight w:val="185"/>
        </w:trPr>
        <w:tc>
          <w:tcPr>
            <w:tcW w:w="6020" w:type="dxa"/>
            <w:vAlign w:val="bottom"/>
            <w:vMerge w:val="restart"/>
          </w:tcPr>
          <w:p>
            <w:pPr>
              <w:ind w:left="20"/>
              <w:spacing w:after="0"/>
              <w:rPr>
                <w:sz w:val="20"/>
                <w:szCs w:val="20"/>
                <w:color w:val="auto"/>
              </w:rPr>
            </w:pPr>
            <w:r>
              <w:rPr>
                <w:rFonts w:ascii="Arial" w:cs="Arial" w:eastAsia="Arial" w:hAnsi="Arial"/>
                <w:sz w:val="13"/>
                <w:szCs w:val="13"/>
                <w:i w:val="1"/>
                <w:iCs w:val="1"/>
                <w:color w:val="1252DE"/>
              </w:rPr>
              <w:t>(dollars in millions, except per common share data)</w:t>
            </w:r>
          </w:p>
        </w:tc>
        <w:tc>
          <w:tcPr>
            <w:tcW w:w="220" w:type="dxa"/>
            <w:vAlign w:val="bottom"/>
          </w:tcPr>
          <w:p>
            <w:pPr>
              <w:spacing w:after="0"/>
              <w:rPr>
                <w:sz w:val="16"/>
                <w:szCs w:val="16"/>
                <w:color w:val="auto"/>
              </w:rPr>
            </w:pPr>
          </w:p>
        </w:tc>
        <w:tc>
          <w:tcPr>
            <w:tcW w:w="2500" w:type="dxa"/>
            <w:vAlign w:val="bottom"/>
            <w:gridSpan w:val="4"/>
          </w:tcPr>
          <w:p>
            <w:pPr>
              <w:jc w:val="center"/>
              <w:ind w:right="440"/>
              <w:spacing w:after="0"/>
              <w:rPr>
                <w:sz w:val="20"/>
                <w:szCs w:val="20"/>
                <w:color w:val="auto"/>
              </w:rPr>
            </w:pPr>
            <w:r>
              <w:rPr>
                <w:rFonts w:ascii="Arial" w:cs="Arial" w:eastAsia="Arial" w:hAnsi="Arial"/>
                <w:sz w:val="14"/>
                <w:szCs w:val="14"/>
                <w:color w:val="1252DE"/>
              </w:rPr>
              <w:t>September 30,</w:t>
            </w:r>
          </w:p>
        </w:tc>
        <w:tc>
          <w:tcPr>
            <w:tcW w:w="200" w:type="dxa"/>
            <w:vAlign w:val="bottom"/>
          </w:tcPr>
          <w:p>
            <w:pPr>
              <w:spacing w:after="0"/>
              <w:rPr>
                <w:sz w:val="16"/>
                <w:szCs w:val="16"/>
                <w:color w:val="auto"/>
              </w:rPr>
            </w:pPr>
          </w:p>
        </w:tc>
        <w:tc>
          <w:tcPr>
            <w:tcW w:w="2280" w:type="dxa"/>
            <w:vAlign w:val="bottom"/>
            <w:gridSpan w:val="3"/>
          </w:tcPr>
          <w:p>
            <w:pPr>
              <w:jc w:val="right"/>
              <w:ind w:right="688"/>
              <w:spacing w:after="0"/>
              <w:rPr>
                <w:sz w:val="20"/>
                <w:szCs w:val="20"/>
                <w:color w:val="auto"/>
              </w:rPr>
            </w:pPr>
            <w:r>
              <w:rPr>
                <w:rFonts w:ascii="Arial" w:cs="Arial" w:eastAsia="Arial" w:hAnsi="Arial"/>
                <w:sz w:val="14"/>
                <w:szCs w:val="14"/>
                <w:color w:val="1252DE"/>
              </w:rPr>
              <w:t>September 30,</w:t>
            </w:r>
          </w:p>
        </w:tc>
        <w:tc>
          <w:tcPr>
            <w:tcW w:w="0" w:type="dxa"/>
            <w:vAlign w:val="bottom"/>
          </w:tcPr>
          <w:p>
            <w:pPr>
              <w:spacing w:after="0"/>
              <w:rPr>
                <w:sz w:val="1"/>
                <w:szCs w:val="1"/>
                <w:color w:val="auto"/>
              </w:rPr>
            </w:pPr>
          </w:p>
        </w:tc>
      </w:tr>
      <w:tr>
        <w:trPr>
          <w:trHeight w:val="195"/>
        </w:trPr>
        <w:tc>
          <w:tcPr>
            <w:tcW w:w="6020" w:type="dxa"/>
            <w:vAlign w:val="bottom"/>
            <w:tcBorders>
              <w:bottom w:val="single" w:sz="8" w:color="1352DE"/>
            </w:tcBorders>
            <w:vMerge w:val="continue"/>
          </w:tcPr>
          <w:p>
            <w:pPr>
              <w:spacing w:after="0"/>
              <w:rPr>
                <w:sz w:val="16"/>
                <w:szCs w:val="16"/>
                <w:color w:val="auto"/>
              </w:rPr>
            </w:pPr>
          </w:p>
        </w:tc>
        <w:tc>
          <w:tcPr>
            <w:tcW w:w="220" w:type="dxa"/>
            <w:vAlign w:val="bottom"/>
            <w:tcBorders>
              <w:top w:val="single" w:sz="8" w:color="1352DE"/>
              <w:bottom w:val="single" w:sz="8" w:color="1352DE"/>
            </w:tcBorders>
          </w:tcPr>
          <w:p>
            <w:pPr>
              <w:spacing w:after="0"/>
              <w:rPr>
                <w:sz w:val="16"/>
                <w:szCs w:val="16"/>
                <w:color w:val="auto"/>
              </w:rPr>
            </w:pPr>
          </w:p>
        </w:tc>
        <w:tc>
          <w:tcPr>
            <w:tcW w:w="1040" w:type="dxa"/>
            <w:vAlign w:val="bottom"/>
            <w:tcBorders>
              <w:top w:val="single" w:sz="8" w:color="1352DE"/>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2026</w:t>
            </w:r>
          </w:p>
        </w:tc>
        <w:tc>
          <w:tcPr>
            <w:tcW w:w="260" w:type="dxa"/>
            <w:vAlign w:val="bottom"/>
            <w:tcBorders>
              <w:top w:val="single" w:sz="8" w:color="1352DE"/>
              <w:bottom w:val="single" w:sz="8" w:color="1352DE"/>
            </w:tcBorders>
          </w:tcPr>
          <w:p>
            <w:pPr>
              <w:spacing w:after="0"/>
              <w:rPr>
                <w:sz w:val="16"/>
                <w:szCs w:val="16"/>
                <w:color w:val="auto"/>
              </w:rPr>
            </w:pPr>
          </w:p>
        </w:tc>
        <w:tc>
          <w:tcPr>
            <w:tcW w:w="98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20" w:type="dxa"/>
            <w:vAlign w:val="bottom"/>
            <w:tcBorders>
              <w:bottom w:val="single" w:sz="8" w:color="1352DE"/>
            </w:tcBorders>
          </w:tcPr>
          <w:p>
            <w:pPr>
              <w:spacing w:after="0"/>
              <w:rPr>
                <w:sz w:val="16"/>
                <w:szCs w:val="16"/>
                <w:color w:val="auto"/>
              </w:rPr>
            </w:pPr>
          </w:p>
        </w:tc>
        <w:tc>
          <w:tcPr>
            <w:tcW w:w="200" w:type="dxa"/>
            <w:vAlign w:val="bottom"/>
            <w:tcBorders>
              <w:top w:val="single" w:sz="8" w:color="1352DE"/>
              <w:bottom w:val="single" w:sz="8" w:color="1352DE"/>
            </w:tcBorders>
          </w:tcPr>
          <w:p>
            <w:pPr>
              <w:spacing w:after="0"/>
              <w:rPr>
                <w:sz w:val="16"/>
                <w:szCs w:val="16"/>
                <w:color w:val="auto"/>
              </w:rPr>
            </w:pPr>
          </w:p>
        </w:tc>
        <w:tc>
          <w:tcPr>
            <w:tcW w:w="1040" w:type="dxa"/>
            <w:vAlign w:val="bottom"/>
            <w:tcBorders>
              <w:top w:val="single" w:sz="8" w:color="1352DE"/>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2026</w:t>
            </w:r>
          </w:p>
        </w:tc>
        <w:tc>
          <w:tcPr>
            <w:tcW w:w="280" w:type="dxa"/>
            <w:vAlign w:val="bottom"/>
            <w:tcBorders>
              <w:top w:val="single" w:sz="8" w:color="1352DE"/>
              <w:bottom w:val="single" w:sz="8" w:color="1352DE"/>
            </w:tcBorders>
          </w:tcPr>
          <w:p>
            <w:pPr>
              <w:spacing w:after="0"/>
              <w:rPr>
                <w:sz w:val="16"/>
                <w:szCs w:val="16"/>
                <w:color w:val="auto"/>
              </w:rPr>
            </w:pPr>
          </w:p>
        </w:tc>
        <w:tc>
          <w:tcPr>
            <w:tcW w:w="96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0" w:type="dxa"/>
            <w:vAlign w:val="bottom"/>
          </w:tcPr>
          <w:p>
            <w:pPr>
              <w:spacing w:after="0"/>
              <w:rPr>
                <w:sz w:val="1"/>
                <w:szCs w:val="1"/>
                <w:color w:val="auto"/>
              </w:rPr>
            </w:pPr>
          </w:p>
        </w:tc>
      </w:tr>
      <w:tr>
        <w:trPr>
          <w:trHeight w:val="195"/>
        </w:trPr>
        <w:tc>
          <w:tcPr>
            <w:tcW w:w="6020" w:type="dxa"/>
            <w:vAlign w:val="bottom"/>
          </w:tcPr>
          <w:p>
            <w:pPr>
              <w:ind w:left="20"/>
              <w:spacing w:after="0"/>
              <w:rPr>
                <w:sz w:val="20"/>
                <w:szCs w:val="20"/>
                <w:color w:val="auto"/>
              </w:rPr>
            </w:pPr>
            <w:r>
              <w:rPr>
                <w:rFonts w:ascii="Arial" w:cs="Arial" w:eastAsia="Arial" w:hAnsi="Arial"/>
                <w:sz w:val="14"/>
                <w:szCs w:val="14"/>
                <w:b w:val="1"/>
                <w:bCs w:val="1"/>
                <w:color w:val="1252DE"/>
              </w:rPr>
              <w:t>Numerator for EPS: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1252DE"/>
              </w:rPr>
              <w:t>849</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524</w:t>
            </w:r>
          </w:p>
        </w:tc>
        <w:tc>
          <w:tcPr>
            <w:tcW w:w="2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1252DE"/>
              </w:rPr>
              <w:t>2,560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17"/>
        </w:trPr>
        <w:tc>
          <w:tcPr>
            <w:tcW w:w="602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Less: Net income attributable to noncontrolling interests</w:t>
            </w:r>
          </w:p>
        </w:tc>
        <w:tc>
          <w:tcPr>
            <w:tcW w:w="220" w:type="dxa"/>
            <w:vAlign w:val="bottom"/>
            <w:tcBorders>
              <w:bottom w:val="single" w:sz="8" w:color="1352DE"/>
            </w:tcBorders>
          </w:tcPr>
          <w:p>
            <w:pPr>
              <w:spacing w:after="0"/>
              <w:rPr>
                <w:sz w:val="18"/>
                <w:szCs w:val="18"/>
                <w:color w:val="auto"/>
              </w:rPr>
            </w:pPr>
          </w:p>
        </w:tc>
        <w:tc>
          <w:tcPr>
            <w:tcW w:w="10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5</w:t>
            </w:r>
          </w:p>
        </w:tc>
        <w:tc>
          <w:tcPr>
            <w:tcW w:w="260" w:type="dxa"/>
            <w:vAlign w:val="bottom"/>
            <w:tcBorders>
              <w:bottom w:val="single" w:sz="8" w:color="1352DE"/>
            </w:tcBorders>
          </w:tcPr>
          <w:p>
            <w:pPr>
              <w:spacing w:after="0"/>
              <w:rPr>
                <w:sz w:val="18"/>
                <w:szCs w:val="18"/>
                <w:color w:val="auto"/>
              </w:rPr>
            </w:pPr>
          </w:p>
        </w:tc>
        <w:tc>
          <w:tcPr>
            <w:tcW w:w="9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10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5</w:t>
            </w:r>
          </w:p>
        </w:tc>
        <w:tc>
          <w:tcPr>
            <w:tcW w:w="280" w:type="dxa"/>
            <w:vAlign w:val="bottom"/>
            <w:tcBorders>
              <w:bottom w:val="single" w:sz="8" w:color="1352DE"/>
            </w:tcBorders>
          </w:tcPr>
          <w:p>
            <w:pPr>
              <w:spacing w:after="0"/>
              <w:rPr>
                <w:sz w:val="18"/>
                <w:szCs w:val="18"/>
                <w:color w:val="auto"/>
              </w:rPr>
            </w:pPr>
          </w:p>
        </w:tc>
        <w:tc>
          <w:tcPr>
            <w:tcW w:w="9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252DE"/>
              </w:rPr>
              <w:t>Net income attributable to AIG common shareholders</w:t>
            </w:r>
          </w:p>
        </w:tc>
        <w:tc>
          <w:tcPr>
            <w:tcW w:w="2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0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844</w:t>
            </w:r>
          </w:p>
        </w:tc>
        <w:tc>
          <w:tcPr>
            <w:tcW w:w="2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519</w:t>
            </w:r>
          </w:p>
        </w:tc>
        <w:tc>
          <w:tcPr>
            <w:tcW w:w="22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10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2,555</w:t>
            </w:r>
          </w:p>
        </w:tc>
        <w:tc>
          <w:tcPr>
            <w:tcW w:w="2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276"/>
        </w:trPr>
        <w:tc>
          <w:tcPr>
            <w:tcW w:w="6020" w:type="dxa"/>
            <w:vAlign w:val="bottom"/>
          </w:tcPr>
          <w:p>
            <w:pPr>
              <w:ind w:left="20"/>
              <w:spacing w:after="0"/>
              <w:rPr>
                <w:sz w:val="20"/>
                <w:szCs w:val="20"/>
                <w:color w:val="auto"/>
              </w:rPr>
            </w:pPr>
            <w:r>
              <w:rPr>
                <w:rFonts w:ascii="Arial" w:cs="Arial" w:eastAsia="Arial" w:hAnsi="Arial"/>
                <w:sz w:val="14"/>
                <w:szCs w:val="14"/>
                <w:b w:val="1"/>
                <w:bCs w:val="1"/>
                <w:color w:val="1252DE"/>
              </w:rPr>
              <w:t>Denominator for EPS: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40"/>
              <w:spacing w:after="0"/>
              <w:rPr>
                <w:sz w:val="20"/>
                <w:szCs w:val="20"/>
                <w:color w:val="auto"/>
              </w:rPr>
            </w:pPr>
            <w:r>
              <w:rPr>
                <w:rFonts w:ascii="Arial" w:cs="Arial" w:eastAsia="Arial" w:hAnsi="Arial"/>
                <w:sz w:val="14"/>
                <w:szCs w:val="14"/>
                <w:color w:val="auto"/>
              </w:rPr>
              <w:t>Weighted average common shares outstanding - basic</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1252DE"/>
              </w:rPr>
              <w:t>522,963,373</w:t>
            </w:r>
          </w:p>
        </w:tc>
        <w:tc>
          <w:tcPr>
            <w:tcW w:w="2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553,308,504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1252DE"/>
              </w:rPr>
              <w:t>530,133,311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573,176,050</w:t>
            </w:r>
          </w:p>
        </w:tc>
        <w:tc>
          <w:tcPr>
            <w:tcW w:w="0" w:type="dxa"/>
            <w:vAlign w:val="bottom"/>
          </w:tcPr>
          <w:p>
            <w:pPr>
              <w:spacing w:after="0"/>
              <w:rPr>
                <w:sz w:val="1"/>
                <w:szCs w:val="1"/>
                <w:color w:val="auto"/>
              </w:rPr>
            </w:pPr>
          </w:p>
        </w:tc>
      </w:tr>
      <w:tr>
        <w:trPr>
          <w:trHeight w:val="204"/>
        </w:trPr>
        <w:tc>
          <w:tcPr>
            <w:tcW w:w="602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Dilutive common shares</w:t>
            </w:r>
          </w:p>
        </w:tc>
        <w:tc>
          <w:tcPr>
            <w:tcW w:w="22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4,261,278</w:t>
            </w:r>
          </w:p>
        </w:tc>
        <w:tc>
          <w:tcPr>
            <w:tcW w:w="26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5,211,326</w:t>
            </w:r>
          </w:p>
        </w:tc>
        <w:tc>
          <w:tcPr>
            <w:tcW w:w="22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4,134,365</w:t>
            </w:r>
          </w:p>
        </w:tc>
        <w:tc>
          <w:tcPr>
            <w:tcW w:w="280" w:type="dxa"/>
            <w:vAlign w:val="bottom"/>
            <w:tcBorders>
              <w:bottom w:val="single" w:sz="8" w:color="1352DE"/>
            </w:tcBorders>
          </w:tcPr>
          <w:p>
            <w:pPr>
              <w:spacing w:after="0"/>
              <w:rPr>
                <w:sz w:val="17"/>
                <w:szCs w:val="17"/>
                <w:color w:val="auto"/>
              </w:rPr>
            </w:pPr>
          </w:p>
        </w:tc>
        <w:tc>
          <w:tcPr>
            <w:tcW w:w="9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5,245,177</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Weighted average common shares outstanding - diluted</w:t>
            </w:r>
            <w:r>
              <w:rPr>
                <w:rFonts w:ascii="Arial" w:cs="Arial" w:eastAsia="Arial" w:hAnsi="Arial"/>
                <w:sz w:val="9"/>
                <w:szCs w:val="9"/>
                <w:color w:val="auto"/>
              </w:rPr>
              <w:t>(a)</w:t>
            </w:r>
          </w:p>
        </w:tc>
        <w:tc>
          <w:tcPr>
            <w:tcW w:w="220" w:type="dxa"/>
            <w:vAlign w:val="bottom"/>
            <w:tcBorders>
              <w:bottom w:val="single" w:sz="8" w:color="1352DE"/>
            </w:tcBorders>
          </w:tcPr>
          <w:p>
            <w:pPr>
              <w:spacing w:after="0"/>
              <w:rPr>
                <w:sz w:val="18"/>
                <w:szCs w:val="18"/>
                <w:color w:val="auto"/>
              </w:rPr>
            </w:pPr>
          </w:p>
        </w:tc>
        <w:tc>
          <w:tcPr>
            <w:tcW w:w="10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527,224,651</w:t>
            </w:r>
          </w:p>
        </w:tc>
        <w:tc>
          <w:tcPr>
            <w:tcW w:w="260" w:type="dxa"/>
            <w:vAlign w:val="bottom"/>
            <w:tcBorders>
              <w:bottom w:val="single" w:sz="8" w:color="1352DE"/>
            </w:tcBorders>
          </w:tcPr>
          <w:p>
            <w:pPr>
              <w:spacing w:after="0"/>
              <w:rPr>
                <w:sz w:val="18"/>
                <w:szCs w:val="18"/>
                <w:color w:val="auto"/>
              </w:rPr>
            </w:pPr>
          </w:p>
        </w:tc>
        <w:tc>
          <w:tcPr>
            <w:tcW w:w="9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558,519,830</w:t>
            </w:r>
          </w:p>
        </w:tc>
        <w:tc>
          <w:tcPr>
            <w:tcW w:w="22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10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534,267,676</w:t>
            </w:r>
          </w:p>
        </w:tc>
        <w:tc>
          <w:tcPr>
            <w:tcW w:w="280" w:type="dxa"/>
            <w:vAlign w:val="bottom"/>
            <w:tcBorders>
              <w:bottom w:val="single" w:sz="8" w:color="1352DE"/>
            </w:tcBorders>
          </w:tcPr>
          <w:p>
            <w:pPr>
              <w:spacing w:after="0"/>
              <w:rPr>
                <w:sz w:val="18"/>
                <w:szCs w:val="18"/>
                <w:color w:val="auto"/>
              </w:rPr>
            </w:pPr>
          </w:p>
        </w:tc>
        <w:tc>
          <w:tcPr>
            <w:tcW w:w="9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578,421,227</w:t>
            </w:r>
          </w:p>
        </w:tc>
        <w:tc>
          <w:tcPr>
            <w:tcW w:w="0" w:type="dxa"/>
            <w:vAlign w:val="bottom"/>
          </w:tcPr>
          <w:p>
            <w:pPr>
              <w:spacing w:after="0"/>
              <w:rPr>
                <w:sz w:val="1"/>
                <w:szCs w:val="1"/>
                <w:color w:val="auto"/>
              </w:rPr>
            </w:pPr>
          </w:p>
        </w:tc>
      </w:tr>
      <w:tr>
        <w:trPr>
          <w:trHeight w:val="195"/>
        </w:trPr>
        <w:tc>
          <w:tcPr>
            <w:tcW w:w="6020" w:type="dxa"/>
            <w:vAlign w:val="bottom"/>
          </w:tcPr>
          <w:p>
            <w:pPr>
              <w:ind w:left="20"/>
              <w:spacing w:after="0"/>
              <w:rPr>
                <w:sz w:val="20"/>
                <w:szCs w:val="20"/>
                <w:color w:val="auto"/>
              </w:rPr>
            </w:pPr>
            <w:r>
              <w:rPr>
                <w:rFonts w:ascii="Arial" w:cs="Arial" w:eastAsia="Arial" w:hAnsi="Arial"/>
                <w:sz w:val="14"/>
                <w:szCs w:val="14"/>
                <w:b w:val="1"/>
                <w:bCs w:val="1"/>
                <w:color w:val="1252DE"/>
              </w:rPr>
              <w:t>Net income per common share attributable to AIG common shareholders: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4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1252DE"/>
              </w:rPr>
              <w:t>1.61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0.94</w:t>
            </w:r>
          </w:p>
        </w:tc>
        <w:tc>
          <w:tcPr>
            <w:tcW w:w="2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1252DE"/>
              </w:rPr>
              <w:t>4.82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17"/>
        </w:trPr>
        <w:tc>
          <w:tcPr>
            <w:tcW w:w="602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0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1.60</w:t>
            </w:r>
          </w:p>
        </w:tc>
        <w:tc>
          <w:tcPr>
            <w:tcW w:w="2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0.93</w:t>
            </w:r>
          </w:p>
        </w:tc>
        <w:tc>
          <w:tcPr>
            <w:tcW w:w="22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w:t>
            </w:r>
          </w:p>
        </w:tc>
        <w:tc>
          <w:tcPr>
            <w:tcW w:w="10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4.78</w:t>
            </w:r>
          </w:p>
        </w:tc>
        <w:tc>
          <w:tcPr>
            <w:tcW w:w="2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20" w:hanging="212"/>
        <w:spacing w:after="0" w:line="273" w:lineRule="auto"/>
        <w:tabs>
          <w:tab w:leader="none" w:pos="208" w:val="left"/>
        </w:tabs>
        <w:numPr>
          <w:ilvl w:val="0"/>
          <w:numId w:val="55"/>
        </w:numPr>
        <w:rPr>
          <w:rFonts w:ascii="Arial" w:cs="Arial" w:eastAsia="Arial" w:hAnsi="Arial"/>
          <w:sz w:val="13"/>
          <w:szCs w:val="13"/>
          <w:color w:val="auto"/>
        </w:rPr>
      </w:pPr>
      <w:r>
        <w:rPr>
          <w:rFonts w:ascii="Arial" w:cs="Arial" w:eastAsia="Arial" w:hAnsi="Arial"/>
          <w:sz w:val="13"/>
          <w:szCs w:val="13"/>
          <w:color w:val="auto"/>
        </w:rPr>
        <w:t>Potential dilutive common shares are due to our share-based employee compensation plans and agreements. The number of potential common shares excluded from diluted shares outstanding was 1,115,913 and 982,281 for the three and nine months ended September 30, 2026, respectively, and 139,655 and 140,042 for the three and nine months ended September 30, 2025, respectively, because the effect of including those common shares in the calculation would have been anti-dilutive.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information regarding our repurchases of AIG Common Stock, see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234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color w:val="001871"/>
        </w:rPr>
        <w:t>15. Income Taxes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BASIS OF PRESENTATION</w:t>
      </w:r>
    </w:p>
    <w:p>
      <w:pPr>
        <w:spacing w:after="0" w:line="117"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We file a consolidated U.S. federal income tax return with our eligible U.S. subsidiaries. Income earned by subsidiaries operating outside the U.S. is taxed, and income tax expense is recorded, based on applicable U.S. and foreign laws.</w:t>
      </w:r>
    </w:p>
    <w:p>
      <w:pPr>
        <w:spacing w:after="0" w:line="4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consider our foreign earnings with respect to certain operations in Canada, South Africa, Japan, Latin America, Bermuda as well as the European, Asia Pacific and Middle East regions to be indefinitely reinvested. These earnings relate to ongoing operations and have been reinvested in active business operations. A deferred tax liability has not been recorded for those foreign subsidiaries whose earnings are considered to be indefinitely reinvested. If recorded, such deferred tax liability would not be material to our consolidated financial condition. Deferred taxes, if necessary, have been provided on earnings of non-U.S. affiliates whose earnings are not indefinitely reinvested.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INTERIM TAX CALCULATION METHOD</w:t>
      </w:r>
    </w:p>
    <w:p>
      <w:pPr>
        <w:spacing w:after="0" w:line="11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We use the estimated annual effective tax rate method in computing our interim tax provision. Certain items, including those deemed to be unusual, infrequent or that cannot be reliably estimated, are excluded from the estimated annual effective tax rate. In these cases, the actual tax expense or benefit is reported in the same period as the related item. Certain tax effects are also not reflected in the estimated annual effective tax rate, primarily certain changes in uncertain tax positions and realizability of deferred tax assets are recorded in the period in which the change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39</w:t>
            </w:r>
          </w:p>
        </w:tc>
      </w:tr>
      <w:tr>
        <w:trPr>
          <w:trHeight w:val="208"/>
        </w:trPr>
        <w:tc>
          <w:tcPr>
            <w:tcW w:w="75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 xml:space="preserve">ITEM 1 </w:t>
      </w:r>
      <w:r>
        <w:rPr>
          <w:rFonts w:ascii="Arial" w:cs="Arial" w:eastAsia="Arial" w:hAnsi="Arial"/>
          <w:sz w:val="13"/>
          <w:szCs w:val="13"/>
          <w:color w:val="333740"/>
        </w:rPr>
        <w:t>|</w:t>
      </w:r>
      <w:r>
        <w:rPr>
          <w:rFonts w:ascii="Arial" w:cs="Arial" w:eastAsia="Arial" w:hAnsi="Arial"/>
          <w:sz w:val="13"/>
          <w:szCs w:val="13"/>
          <w:color w:val="auto"/>
        </w:rPr>
        <w:t xml:space="preserve"> </w:t>
      </w:r>
      <w:r>
        <w:rPr>
          <w:rFonts w:ascii="Arial" w:cs="Arial" w:eastAsia="Arial" w:hAnsi="Arial"/>
          <w:sz w:val="13"/>
          <w:szCs w:val="13"/>
          <w:b w:val="1"/>
          <w:bCs w:val="1"/>
          <w:color w:val="1352DE"/>
        </w:rPr>
        <w:t>Notes to Condensed Consolidated Financial Statements (unaudited)</w:t>
      </w:r>
      <w:r>
        <w:rPr>
          <w:rFonts w:ascii="Arial" w:cs="Arial" w:eastAsia="Arial" w:hAnsi="Arial"/>
          <w:sz w:val="13"/>
          <w:szCs w:val="13"/>
          <w:color w:val="auto"/>
        </w:rPr>
        <w:t xml:space="preserve"> </w:t>
      </w:r>
      <w:r>
        <w:rPr>
          <w:rFonts w:ascii="Arial" w:cs="Arial" w:eastAsia="Arial" w:hAnsi="Arial"/>
          <w:sz w:val="13"/>
          <w:szCs w:val="13"/>
          <w:color w:val="1352DE"/>
        </w:rPr>
        <w:t>|</w:t>
      </w:r>
      <w:r>
        <w:rPr>
          <w:rFonts w:ascii="Arial" w:cs="Arial" w:eastAsia="Arial" w:hAnsi="Arial"/>
          <w:sz w:val="13"/>
          <w:szCs w:val="13"/>
          <w:color w:val="auto"/>
        </w:rPr>
        <w:t xml:space="preserve"> </w:t>
      </w:r>
      <w:r>
        <w:rPr>
          <w:rFonts w:ascii="Arial" w:cs="Arial" w:eastAsia="Arial" w:hAnsi="Arial"/>
          <w:sz w:val="13"/>
          <w:szCs w:val="13"/>
          <w:b w:val="1"/>
          <w:bCs w:val="1"/>
          <w:color w:val="001871"/>
        </w:rPr>
        <w:t>15. Income Taxes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INTERIM TAX EXPENSE (BENEFIT)</w:t>
      </w:r>
    </w:p>
    <w:p>
      <w:pPr>
        <w:spacing w:after="0" w:line="10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the three months ended September 30, 2026, the effective tax rate on income was 24.1 percent. The effective tax rate on income differs from the statutory tax rate of 21 percent primarily due to tax charges associated with the effect of foreign operations, certain non-deductible expenses, and state and local income taxes, partially offset by the decrease in deferred tax asset valuation allowance associated with certain foreign jurisdictions and other net discrete benefits. The effect of foreign operations is primarily related to income of our foreign operations taxed at statutory tax rates higher than 21 percent, other foreign taxes, and foreign income subject to U.S. taxation.</w:t>
      </w:r>
    </w:p>
    <w:p>
      <w:pPr>
        <w:spacing w:after="0" w:line="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For the nine months ended September 30, 2026, the effective tax rate on income was 24.0 percent. The effective tax rate on income differs from the statutory tax rate of 21 percent primarily due to tax charges associated with the effect of foreign operations, certain non-deductible expenses, and state and local income taxes. The charges are partially offset by the impact of excess tax benefits related to share-based compensation payments recorded through the income statement and the decrease in deferred tax asset valuation allowance associated with certain foreign jurisdictions. The effect of foreign operations is primarily related to income of our foreign operations taxed at statutory tax rates higher than 21 percent, other foreign taxes, and foreign income subject to U.S. taxation.</w:t>
      </w:r>
    </w:p>
    <w:p>
      <w:pPr>
        <w:spacing w:after="0" w:line="7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For the three months ended September 30, 2025, the effective tax rate on income was 26.6 percent. The effective tax rate on income differs from the statutory tax rate of 21 percent primarily due to tax charges associated with the effect of foreign operations, certain non-deductible expenses, and state and local income taxes, partially offset by a tax benefit related to prior year tax return adjustments. The effect of foreign operations is primarily related to income of our foreign operations taxed at statutory tax rates higher than 21 percent, other foreign taxes, and foreign income subject to U.S. taxation.</w:t>
      </w:r>
    </w:p>
    <w:p>
      <w:pPr>
        <w:spacing w:after="0" w:line="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the nine months ended September 30, 2025, the effective tax rate on income was 26.5 percent. The effective tax rate on income differs from the statutory tax rate of 21 percent primarily due to tax charges associated with the effect of foreign operations, certain non-deductible expenses, state and local income taxes, and an increase in deferred tax asset valuation allowance associated with certain foreign jurisdictions. The charges are partially offset by tax benefits related to prior year tax return adjustments, closure of tax audits in Germany and California, and excess tax benefits related to share-based compensation payments recorded through the income statement. The effect of foreign operations is primarily related to income of our foreign operations taxed at statutory tax rates higher than 21 percent, other foreign taxes, and foreign income subject to U.S. taxation.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ASSESSMENT OF DEFERRED TAX ASSET VALUATION ALLOWANCE</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the nine months ended September 30, 2026, recent changes in market conditions, including changes in interest rates, impacted the unrealized tax gains and losses in the available for sale securities portfolios of our U.S. general insurance and non-insurance companies, resulting in an increase to deferred tax assets related to net unrealized tax capital losses. The deferred tax assets relate to the unrealized tax capital losses for which the carryforward period has not yet begun. As of September 30, 2026, based on all available evidence, we concluded that a valuation allowance of $622 million is necessary on deferred tax assets related to unrealized tax capital losses that are not more-likely-than-not to be realized. For the nine months ended September 30, 2026, we recorded an increase in valuation allowance of $422 million associated with the unrealized tax capital losses in AIG's available for sale securities portfolio. The valuation allowance increase was allocated to Other comprehensive income.</w:t>
      </w:r>
    </w:p>
    <w:p>
      <w:pPr>
        <w:spacing w:after="0" w:line="7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For the nine months ended September 30, 2026, we recognized a net $21 million decrease in deferred tax asset valuation allowance associated with certain foreign jurisdictions, and established a state valuation allowance of $88 million related to the initial recognition and corresponding increase in New York State (NYS) net operating loss deferred tax asset as a result of the completion of NYS audit activity.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TAX EXAMINATIONS</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are currently under examination by the Internal Revenue Service (IRS) for the tax years 2011 through 2019. We continue to engage in the IRS Appeals process for certain disagreed issues related to tax years 2007 through 2010. These tax years are still subject to ongoing computational review by IRS Appeals.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changes in our unrecognized tax benefits, interest and penalties for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24771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hanging="734"/>
        <w:spacing w:after="0"/>
        <w:tabs>
          <w:tab w:leader="none" w:pos="760" w:val="left"/>
        </w:tabs>
        <w:numPr>
          <w:ilvl w:val="0"/>
          <w:numId w:val="56"/>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right="380" w:hanging="1295"/>
        <w:spacing w:after="0" w:line="268" w:lineRule="auto"/>
        <w:rPr>
          <w:sz w:val="20"/>
          <w:szCs w:val="20"/>
          <w:color w:val="auto"/>
        </w:rPr>
      </w:pPr>
      <w:r>
        <w:rPr>
          <w:rFonts w:ascii="Arial" w:cs="Arial" w:eastAsia="Arial" w:hAnsi="Arial"/>
          <w:sz w:val="32"/>
          <w:szCs w:val="32"/>
          <w:color w:val="auto"/>
        </w:rPr>
        <w:t xml:space="preserve">ITEM 2 | </w:t>
      </w:r>
      <w:r>
        <w:rPr>
          <w:rFonts w:ascii="Arial" w:cs="Arial" w:eastAsia="Arial" w:hAnsi="Arial"/>
          <w:sz w:val="32"/>
          <w:szCs w:val="32"/>
          <w:color w:val="001871"/>
        </w:rPr>
        <w:t>Management’s Discussion and Analysis of Financial Condition and</w:t>
      </w:r>
      <w:r>
        <w:rPr>
          <w:rFonts w:ascii="Arial" w:cs="Arial" w:eastAsia="Arial" w:hAnsi="Arial"/>
          <w:sz w:val="32"/>
          <w:szCs w:val="32"/>
          <w:color w:val="auto"/>
        </w:rPr>
        <w:t xml:space="preserve"> </w:t>
      </w:r>
      <w:r>
        <w:rPr>
          <w:rFonts w:ascii="Arial" w:cs="Arial" w:eastAsia="Arial" w:hAnsi="Arial"/>
          <w:sz w:val="32"/>
          <w:szCs w:val="32"/>
          <w:color w:val="001871"/>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234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7"/>
          <w:szCs w:val="27"/>
          <w:color w:val="001871"/>
        </w:rPr>
        <w:t>Glossary and Acronyms of Selected Insurance Terms and References</w:t>
      </w:r>
    </w:p>
    <w:p>
      <w:pPr>
        <w:spacing w:after="0" w:line="21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Throughout this Management’s Discussion and Analysis of Financial Condition and Results of Operations (MD&amp;A), we use certain terms and abbreviations, which are summarized in the Glossary and Acronyms.</w:t>
      </w:r>
    </w:p>
    <w:p>
      <w:pPr>
        <w:spacing w:after="0" w:line="4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This discussion contains a number of cross-references to additional information included throughout this Quarterly Report on Form 10-Q and in our Annual Report on Form 10-K for the year ended December 31, 2025 (the 2025 Annual Report) to assist readers seeking additional information related to a particular subject.</w:t>
      </w:r>
    </w:p>
    <w:p>
      <w:pPr>
        <w:spacing w:after="0" w:line="64"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In this Quarterly Report on Form 10-Q, unless the context indicates otherwise, we use the terms “AIG,” “we,” “us,” “our” or "the Company" to refer to American International Group, Inc., a Delaware corporation, and its consolidated subsidiaries. We use the term “AIG Parent” to refer solely to American International Group, Inc., and not to any of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234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7"/>
          <w:szCs w:val="27"/>
          <w:color w:val="001871"/>
        </w:rPr>
        <w:t>Cautionary Note on Forward-Looking Statements</w:t>
      </w:r>
    </w:p>
    <w:p>
      <w:pPr>
        <w:spacing w:after="0" w:line="216" w:lineRule="exact"/>
        <w:rPr>
          <w:sz w:val="20"/>
          <w:szCs w:val="20"/>
          <w:color w:val="auto"/>
        </w:rPr>
      </w:pPr>
    </w:p>
    <w:p>
      <w:pPr>
        <w:ind w:right="20"/>
        <w:spacing w:after="0" w:line="216" w:lineRule="exact"/>
        <w:rPr>
          <w:sz w:val="20"/>
          <w:szCs w:val="20"/>
          <w:color w:val="auto"/>
        </w:rPr>
      </w:pPr>
      <w:r>
        <w:rPr>
          <w:rFonts w:ascii="Arial" w:cs="Arial" w:eastAsia="Arial" w:hAnsi="Arial"/>
          <w:sz w:val="16"/>
          <w:szCs w:val="16"/>
          <w:color w:val="auto"/>
        </w:rPr>
        <w:t>This Quarterly Report on Form 10-Q and other publicly available documents may include, and members of management may from time to time make and discuss, statements which, to the extent they are not statements of historical or present fact, may constitute “forward-looking statements” within the meaning of the U.S. Private Securities Litigation Reform Act of 1995.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intended to provide management’s current expectations or plans for future operating and financial performance, based on assumptions currently believed to be valid and accurate. Forward-looking statements are often preceded by, followed by or include words such as “will,” “believe,” “anticipate,” “expect,” “expectations,” “intend,” "strive," “plan,” “strategy,” “prospects,” “project,” “should,” “guidance,” “outlook,” “view,” “target,” “goal,” “estimate” and other words of similar meaning in connection with a discussion of future operating or financial performance. These statements may include, among other things, projections, goals and assumptions that relate to future actions, prospective services or products, future performance or results of current and anticipated services or products, sales efforts, expense reduction efforts, the outcome of contingencies such as legal proceedings, anticipated organizational, business or regulatory changes, the effect of catastrophic events, both natural and man-made, and macroeconomic and/or geopolitical events, anticipated dispositions, monetization and/or acquisitions of businesses or assets, the successful integration of acquired businesses, management succession and retention plans, exposure to risk, trends in operations and financial results, and other statements that are not historical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41</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All forward-looking statements involve risks, uncertainties and other factors that may cause actual results and financial condition to differ, possibly materially, from the results and financial condition expressed or implied in the forward-looking statements. Factors that could cause actual results to differ, possibly materially, from those in specific projections, targets, goals, plans, assumptions and other forward-looking statements include, without limitation:</w:t>
      </w:r>
    </w:p>
    <w:p>
      <w:pPr>
        <w:sectPr>
          <w:pgSz w:w="11900" w:h="16838" w:orient="portrait"/>
          <w:cols w:equalWidth="0" w:num="1">
            <w:col w:w="11240"/>
          </w:cols>
          <w:pgMar w:left="320" w:top="114" w:right="339" w:bottom="1440" w:gutter="0" w:footer="0" w:header="0"/>
        </w:sectPr>
      </w:pPr>
    </w:p>
    <w:p>
      <w:pPr>
        <w:spacing w:after="0" w:line="1" w:lineRule="exact"/>
        <w:rPr>
          <w:sz w:val="20"/>
          <w:szCs w:val="20"/>
          <w:color w:val="auto"/>
        </w:rPr>
      </w:pPr>
    </w:p>
    <w:p>
      <w:pPr>
        <w:ind w:left="220" w:right="100" w:hanging="212"/>
        <w:spacing w:after="0" w:line="289" w:lineRule="auto"/>
        <w:tabs>
          <w:tab w:leader="none" w:pos="21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impact of adverse developments affecting economic conditions in the markets in which we operate, including financial market conditions, macroeconomic trends, changes in trade policies, including tariffs, fluctuations in interest rates and foreign currency exchange rates, inflationary pressures, including social inflation, pandemics, and geopolitical events or conflicts;</w:t>
      </w:r>
    </w:p>
    <w:p>
      <w:pPr>
        <w:spacing w:after="0" w:line="20" w:lineRule="exact"/>
        <w:rPr>
          <w:rFonts w:ascii="Arial" w:cs="Arial" w:eastAsia="Arial" w:hAnsi="Arial"/>
          <w:sz w:val="16"/>
          <w:szCs w:val="16"/>
          <w:color w:val="auto"/>
        </w:rPr>
      </w:pPr>
    </w:p>
    <w:p>
      <w:pPr>
        <w:ind w:left="220" w:right="40" w:hanging="212"/>
        <w:spacing w:after="0" w:line="316" w:lineRule="auto"/>
        <w:tabs>
          <w:tab w:leader="none" w:pos="21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occurrence of catastrophic events, both natural and man-made, which may be exacerbated by the effects of climate change;</w:t>
      </w:r>
    </w:p>
    <w:p>
      <w:pPr>
        <w:spacing w:after="0" w:line="1" w:lineRule="exact"/>
        <w:rPr>
          <w:rFonts w:ascii="Arial" w:cs="Arial" w:eastAsia="Arial" w:hAnsi="Arial"/>
          <w:sz w:val="16"/>
          <w:szCs w:val="16"/>
          <w:color w:val="auto"/>
        </w:rPr>
      </w:pPr>
    </w:p>
    <w:p>
      <w:pPr>
        <w:ind w:left="220" w:hanging="212"/>
        <w:spacing w:after="0" w:line="291" w:lineRule="auto"/>
        <w:tabs>
          <w:tab w:leader="none" w:pos="218"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disruptions in the availability or accessibility of our or a third party’s information technology systems, including hardware and software, infrastructure or networks, and the inability to safeguard the confidentiality and integrity of customer, employee or company data due to cyberattacks, data security breaches or infrastructure vulnerabilities;</w:t>
      </w:r>
    </w:p>
    <w:p>
      <w:pPr>
        <w:spacing w:after="0" w:line="18" w:lineRule="exact"/>
        <w:rPr>
          <w:rFonts w:ascii="Arial" w:cs="Arial" w:eastAsia="Arial" w:hAnsi="Arial"/>
          <w:sz w:val="16"/>
          <w:szCs w:val="16"/>
          <w:color w:val="auto"/>
        </w:rPr>
      </w:pPr>
    </w:p>
    <w:p>
      <w:pPr>
        <w:ind w:left="220" w:right="60" w:hanging="212"/>
        <w:spacing w:after="0" w:line="301" w:lineRule="auto"/>
        <w:tabs>
          <w:tab w:leader="none" w:pos="218"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ability to effectively implement technological advancements, including the use of artificial intelligence (AI), and respond to competitors' AI and other technology initiatives;</w:t>
      </w:r>
    </w:p>
    <w:p>
      <w:pPr>
        <w:spacing w:after="0" w:line="20" w:lineRule="exact"/>
        <w:rPr>
          <w:sz w:val="20"/>
          <w:szCs w:val="20"/>
          <w:color w:val="auto"/>
        </w:rPr>
      </w:pPr>
      <w:r>
        <w:rPr>
          <w:sz w:val="20"/>
          <w:szCs w:val="20"/>
          <w:color w:val="auto"/>
        </w:rPr>
        <w:br w:type="column"/>
      </w:r>
    </w:p>
    <w:p>
      <w:pPr>
        <w:ind w:left="213" w:hanging="213"/>
        <w:spacing w:after="0"/>
        <w:tabs>
          <w:tab w:leader="none" w:pos="21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effects of sanctions and the failure to comply with those sanctions;</w:t>
      </w:r>
    </w:p>
    <w:p>
      <w:pPr>
        <w:spacing w:after="0" w:line="86" w:lineRule="exact"/>
        <w:rPr>
          <w:rFonts w:ascii="Arial" w:cs="Arial" w:eastAsia="Arial" w:hAnsi="Arial"/>
          <w:sz w:val="16"/>
          <w:szCs w:val="16"/>
          <w:color w:val="auto"/>
        </w:rPr>
      </w:pPr>
    </w:p>
    <w:p>
      <w:pPr>
        <w:ind w:left="213" w:hanging="213"/>
        <w:spacing w:after="0"/>
        <w:tabs>
          <w:tab w:leader="none" w:pos="213" w:val="left"/>
        </w:tabs>
        <w:numPr>
          <w:ilvl w:val="0"/>
          <w:numId w:val="58"/>
        </w:numPr>
        <w:rPr>
          <w:rFonts w:ascii="Arial" w:cs="Arial" w:eastAsia="Arial" w:hAnsi="Arial"/>
          <w:sz w:val="16"/>
          <w:szCs w:val="16"/>
          <w:color w:val="auto"/>
        </w:rPr>
      </w:pPr>
      <w:r>
        <w:rPr>
          <w:rFonts w:ascii="Arial" w:cs="Arial" w:eastAsia="Arial" w:hAnsi="Arial"/>
          <w:sz w:val="16"/>
          <w:szCs w:val="16"/>
          <w:color w:val="auto"/>
        </w:rPr>
        <w:t>changes to tax laws in the countries in which we operate;</w:t>
      </w:r>
    </w:p>
    <w:p>
      <w:pPr>
        <w:spacing w:after="0" w:line="86" w:lineRule="exact"/>
        <w:rPr>
          <w:rFonts w:ascii="Arial" w:cs="Arial" w:eastAsia="Arial" w:hAnsi="Arial"/>
          <w:sz w:val="16"/>
          <w:szCs w:val="16"/>
          <w:color w:val="auto"/>
        </w:rPr>
      </w:pPr>
    </w:p>
    <w:p>
      <w:pPr>
        <w:ind w:left="213" w:right="300" w:hanging="213"/>
        <w:spacing w:after="0" w:line="316" w:lineRule="auto"/>
        <w:tabs>
          <w:tab w:leader="none" w:pos="2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effectiveness of strategies to retain and recruit key personnel and to implement effective succession plans;</w:t>
      </w:r>
    </w:p>
    <w:p>
      <w:pPr>
        <w:spacing w:after="0" w:line="1" w:lineRule="exact"/>
        <w:rPr>
          <w:rFonts w:ascii="Arial" w:cs="Arial" w:eastAsia="Arial" w:hAnsi="Arial"/>
          <w:sz w:val="16"/>
          <w:szCs w:val="16"/>
          <w:color w:val="auto"/>
        </w:rPr>
      </w:pPr>
    </w:p>
    <w:p>
      <w:pPr>
        <w:ind w:left="213" w:hanging="213"/>
        <w:spacing w:after="0"/>
        <w:tabs>
          <w:tab w:leader="none" w:pos="21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outcome of significant legal, regulatory or governmental proceedings;</w:t>
      </w:r>
    </w:p>
    <w:p>
      <w:pPr>
        <w:spacing w:after="0" w:line="86" w:lineRule="exact"/>
        <w:rPr>
          <w:rFonts w:ascii="Arial" w:cs="Arial" w:eastAsia="Arial" w:hAnsi="Arial"/>
          <w:sz w:val="16"/>
          <w:szCs w:val="16"/>
          <w:color w:val="auto"/>
        </w:rPr>
      </w:pPr>
    </w:p>
    <w:p>
      <w:pPr>
        <w:ind w:left="213" w:right="200" w:hanging="213"/>
        <w:spacing w:after="0" w:line="295" w:lineRule="auto"/>
        <w:tabs>
          <w:tab w:leader="none" w:pos="2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ability to successfully complete strategic transactions, including to successfully dispose of, monetize and/or acquire businesses or assets or successfully integrate acquired businesses, and the anticipated benefits thereof;</w:t>
      </w:r>
    </w:p>
    <w:p>
      <w:pPr>
        <w:spacing w:after="0" w:line="13" w:lineRule="exact"/>
        <w:rPr>
          <w:rFonts w:ascii="Arial" w:cs="Arial" w:eastAsia="Arial" w:hAnsi="Arial"/>
          <w:sz w:val="16"/>
          <w:szCs w:val="16"/>
          <w:color w:val="auto"/>
        </w:rPr>
      </w:pPr>
    </w:p>
    <w:p>
      <w:pPr>
        <w:ind w:left="213" w:right="200" w:hanging="213"/>
        <w:spacing w:after="0" w:line="316" w:lineRule="auto"/>
        <w:tabs>
          <w:tab w:leader="none" w:pos="2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difficulty in marketing and distributing products through current and future distribution channels;</w:t>
      </w:r>
    </w:p>
    <w:p>
      <w:pPr>
        <w:spacing w:after="0" w:line="1" w:lineRule="exact"/>
        <w:rPr>
          <w:rFonts w:ascii="Arial" w:cs="Arial" w:eastAsia="Arial" w:hAnsi="Arial"/>
          <w:sz w:val="16"/>
          <w:szCs w:val="16"/>
          <w:color w:val="auto"/>
        </w:rPr>
      </w:pPr>
    </w:p>
    <w:p>
      <w:pPr>
        <w:ind w:left="213" w:right="160" w:hanging="213"/>
        <w:spacing w:after="0" w:line="316" w:lineRule="auto"/>
        <w:tabs>
          <w:tab w:leader="none" w:pos="2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actions by rating agencies with respect to our credit and financial strength ratings as well as those of our businesses and subsidiaries;</w:t>
      </w:r>
    </w:p>
    <w:p>
      <w:pPr>
        <w:spacing w:after="0" w:line="1" w:lineRule="exact"/>
        <w:rPr>
          <w:rFonts w:ascii="Arial" w:cs="Arial" w:eastAsia="Arial" w:hAnsi="Arial"/>
          <w:sz w:val="16"/>
          <w:szCs w:val="16"/>
          <w:color w:val="auto"/>
        </w:rPr>
      </w:pPr>
    </w:p>
    <w:p>
      <w:pPr>
        <w:ind w:left="213" w:right="320" w:hanging="213"/>
        <w:spacing w:after="0" w:line="316" w:lineRule="auto"/>
        <w:tabs>
          <w:tab w:leader="none" w:pos="2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changes in judgments concerning the recognition of deferred tax assets and the impairment of goodwill;</w:t>
      </w:r>
    </w:p>
    <w:p>
      <w:pPr>
        <w:spacing w:after="0" w:line="2" w:lineRule="exact"/>
        <w:rPr>
          <w:sz w:val="20"/>
          <w:szCs w:val="20"/>
          <w:color w:val="auto"/>
        </w:rPr>
      </w:pPr>
    </w:p>
    <w:p>
      <w:pPr>
        <w:sectPr>
          <w:pgSz w:w="11900" w:h="16838" w:orient="portrait"/>
          <w:cols w:equalWidth="0" w:num="2">
            <w:col w:w="5540" w:space="47"/>
            <w:col w:w="5653"/>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720" w:type="dxa"/>
            <w:vAlign w:val="bottom"/>
            <w:gridSpan w:val="2"/>
          </w:tcPr>
          <w:p>
            <w:pPr>
              <w:spacing w:after="0"/>
              <w:rPr>
                <w:sz w:val="20"/>
                <w:szCs w:val="20"/>
                <w:color w:val="auto"/>
              </w:rPr>
            </w:pPr>
            <w:r>
              <w:rPr>
                <w:rFonts w:ascii="Arial" w:cs="Arial" w:eastAsia="Arial" w:hAnsi="Arial"/>
                <w:sz w:val="16"/>
                <w:szCs w:val="16"/>
                <w:color w:val="auto"/>
              </w:rPr>
              <w:t>•  our reliance on third parties to provide certain business and administrative •</w:t>
            </w:r>
          </w:p>
        </w:tc>
        <w:tc>
          <w:tcPr>
            <w:tcW w:w="5140" w:type="dxa"/>
            <w:vAlign w:val="bottom"/>
          </w:tcPr>
          <w:p>
            <w:pPr>
              <w:ind w:left="80"/>
              <w:spacing w:after="0"/>
              <w:rPr>
                <w:sz w:val="20"/>
                <w:szCs w:val="20"/>
                <w:color w:val="auto"/>
              </w:rPr>
            </w:pPr>
            <w:r>
              <w:rPr>
                <w:rFonts w:ascii="Arial" w:cs="Arial" w:eastAsia="Arial" w:hAnsi="Arial"/>
                <w:sz w:val="16"/>
                <w:szCs w:val="16"/>
                <w:color w:val="auto"/>
              </w:rPr>
              <w:t>our ability to address evolving global stakeholder expectations and</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6"/>
                <w:szCs w:val="16"/>
                <w:color w:val="auto"/>
              </w:rPr>
              <w:t>services;</w:t>
            </w:r>
          </w:p>
        </w:tc>
        <w:tc>
          <w:tcPr>
            <w:tcW w:w="2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6"/>
                <w:szCs w:val="16"/>
                <w:color w:val="auto"/>
              </w:rPr>
              <w:t>regulatory requirements including with respect to environmental, social</w:t>
            </w:r>
          </w:p>
        </w:tc>
        <w:tc>
          <w:tcPr>
            <w:tcW w:w="0" w:type="dxa"/>
            <w:vAlign w:val="bottom"/>
          </w:tcPr>
          <w:p>
            <w:pPr>
              <w:spacing w:after="0"/>
              <w:rPr>
                <w:sz w:val="1"/>
                <w:szCs w:val="1"/>
                <w:color w:val="auto"/>
              </w:rPr>
            </w:pPr>
          </w:p>
        </w:tc>
      </w:tr>
      <w:tr>
        <w:trPr>
          <w:trHeight w:val="216"/>
        </w:trPr>
        <w:tc>
          <w:tcPr>
            <w:tcW w:w="5500" w:type="dxa"/>
            <w:vAlign w:val="bottom"/>
            <w:vMerge w:val="restart"/>
          </w:tcPr>
          <w:p>
            <w:pPr>
              <w:spacing w:after="0"/>
              <w:rPr>
                <w:sz w:val="20"/>
                <w:szCs w:val="20"/>
                <w:color w:val="auto"/>
              </w:rPr>
            </w:pPr>
            <w:r>
              <w:rPr>
                <w:rFonts w:ascii="Arial" w:cs="Arial" w:eastAsia="Arial" w:hAnsi="Arial"/>
                <w:sz w:val="16"/>
                <w:szCs w:val="16"/>
                <w:color w:val="auto"/>
              </w:rPr>
              <w:t>•  the effects of changes in laws and regulations, including those relating to</w:t>
            </w:r>
          </w:p>
        </w:tc>
        <w:tc>
          <w:tcPr>
            <w:tcW w:w="2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6"/>
                <w:szCs w:val="16"/>
                <w:color w:val="auto"/>
              </w:rPr>
              <w:t>and governance matters and to effectively execute on sustainability</w:t>
            </w:r>
          </w:p>
        </w:tc>
        <w:tc>
          <w:tcPr>
            <w:tcW w:w="0" w:type="dxa"/>
            <w:vAlign w:val="bottom"/>
          </w:tcPr>
          <w:p>
            <w:pPr>
              <w:spacing w:after="0"/>
              <w:rPr>
                <w:sz w:val="1"/>
                <w:szCs w:val="1"/>
                <w:color w:val="auto"/>
              </w:rPr>
            </w:pPr>
          </w:p>
        </w:tc>
      </w:tr>
      <w:tr>
        <w:trPr>
          <w:trHeight w:val="54"/>
        </w:trPr>
        <w:tc>
          <w:tcPr>
            <w:tcW w:w="55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140" w:type="dxa"/>
            <w:vAlign w:val="bottom"/>
            <w:vMerge w:val="restart"/>
          </w:tcPr>
          <w:p>
            <w:pPr>
              <w:ind w:left="80"/>
              <w:spacing w:after="0"/>
              <w:rPr>
                <w:sz w:val="20"/>
                <w:szCs w:val="20"/>
                <w:color w:val="auto"/>
              </w:rPr>
            </w:pPr>
            <w:r>
              <w:rPr>
                <w:rFonts w:ascii="Arial" w:cs="Arial" w:eastAsia="Arial" w:hAnsi="Arial"/>
                <w:sz w:val="16"/>
                <w:szCs w:val="16"/>
                <w:color w:val="auto"/>
              </w:rPr>
              <w:t>targets and standards;</w:t>
            </w:r>
          </w:p>
        </w:tc>
        <w:tc>
          <w:tcPr>
            <w:tcW w:w="0" w:type="dxa"/>
            <w:vAlign w:val="bottom"/>
          </w:tcPr>
          <w:p>
            <w:pPr>
              <w:spacing w:after="0"/>
              <w:rPr>
                <w:sz w:val="1"/>
                <w:szCs w:val="1"/>
                <w:color w:val="auto"/>
              </w:rPr>
            </w:pPr>
          </w:p>
        </w:tc>
      </w:tr>
      <w:tr>
        <w:trPr>
          <w:trHeight w:val="162"/>
        </w:trPr>
        <w:tc>
          <w:tcPr>
            <w:tcW w:w="5500" w:type="dxa"/>
            <w:vAlign w:val="bottom"/>
            <w:vMerge w:val="restart"/>
          </w:tcPr>
          <w:p>
            <w:pPr>
              <w:ind w:left="220"/>
              <w:spacing w:after="0"/>
              <w:rPr>
                <w:sz w:val="20"/>
                <w:szCs w:val="20"/>
                <w:color w:val="auto"/>
              </w:rPr>
            </w:pPr>
            <w:r>
              <w:rPr>
                <w:rFonts w:ascii="Arial" w:cs="Arial" w:eastAsia="Arial" w:hAnsi="Arial"/>
                <w:sz w:val="16"/>
                <w:szCs w:val="16"/>
                <w:color w:val="auto"/>
              </w:rPr>
              <w:t>privacy, data protection, cybersecurity and AI, and the regulation of</w:t>
            </w:r>
          </w:p>
        </w:tc>
        <w:tc>
          <w:tcPr>
            <w:tcW w:w="220" w:type="dxa"/>
            <w:vAlign w:val="bottom"/>
          </w:tcPr>
          <w:p>
            <w:pPr>
              <w:spacing w:after="0"/>
              <w:rPr>
                <w:sz w:val="14"/>
                <w:szCs w:val="14"/>
                <w:color w:val="auto"/>
              </w:rPr>
            </w:pP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5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6"/>
                <w:szCs w:val="16"/>
                <w:color w:val="auto"/>
              </w:rPr>
              <w:t>insurance, in the U.S. and other countries in which we operate;</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5140" w:type="dxa"/>
            <w:vAlign w:val="bottom"/>
          </w:tcPr>
          <w:p>
            <w:pPr>
              <w:ind w:left="80"/>
              <w:spacing w:after="0"/>
              <w:rPr>
                <w:sz w:val="20"/>
                <w:szCs w:val="20"/>
                <w:color w:val="auto"/>
              </w:rPr>
            </w:pPr>
            <w:r>
              <w:rPr>
                <w:rFonts w:ascii="Arial" w:cs="Arial" w:eastAsia="Arial" w:hAnsi="Arial"/>
                <w:sz w:val="16"/>
                <w:szCs w:val="16"/>
                <w:color w:val="auto"/>
              </w:rPr>
              <w:t>our ability to effectively implement restructuring initiatives and potential</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6"/>
                <w:szCs w:val="16"/>
                <w:color w:val="auto"/>
              </w:rPr>
              <w:t>•  concentrations in our investment portfolios;</w:t>
            </w:r>
          </w:p>
        </w:tc>
        <w:tc>
          <w:tcPr>
            <w:tcW w:w="220" w:type="dxa"/>
            <w:vAlign w:val="bottom"/>
          </w:tcPr>
          <w:p>
            <w:pPr>
              <w:spacing w:after="0"/>
              <w:rPr>
                <w:sz w:val="22"/>
                <w:szCs w:val="22"/>
                <w:color w:val="auto"/>
              </w:rPr>
            </w:pPr>
          </w:p>
        </w:tc>
        <w:tc>
          <w:tcPr>
            <w:tcW w:w="5140" w:type="dxa"/>
            <w:vAlign w:val="bottom"/>
          </w:tcPr>
          <w:p>
            <w:pPr>
              <w:ind w:left="80"/>
              <w:spacing w:after="0"/>
              <w:rPr>
                <w:sz w:val="20"/>
                <w:szCs w:val="20"/>
                <w:color w:val="auto"/>
              </w:rPr>
            </w:pPr>
            <w:r>
              <w:rPr>
                <w:rFonts w:ascii="Arial" w:cs="Arial" w:eastAsia="Arial" w:hAnsi="Arial"/>
                <w:sz w:val="16"/>
                <w:szCs w:val="16"/>
                <w:color w:val="auto"/>
              </w:rPr>
              <w:t>cost-savings opportunities;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4" w:right="339" w:bottom="1440" w:gutter="0" w:footer="0" w:header="0"/>
          <w:type w:val="continuous"/>
        </w:sectPr>
      </w:pPr>
    </w:p>
    <w:p>
      <w:pPr>
        <w:spacing w:after="0" w:line="54"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changes in the valuation of our investments;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reliance on third-party investment managers;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nonperformance or defaults by counterparties;</w:t>
      </w:r>
    </w:p>
    <w:p>
      <w:pPr>
        <w:spacing w:after="0" w:line="86" w:lineRule="exact"/>
        <w:rPr>
          <w:rFonts w:ascii="Arial" w:cs="Arial" w:eastAsia="Arial" w:hAnsi="Arial"/>
          <w:sz w:val="16"/>
          <w:szCs w:val="16"/>
          <w:color w:val="auto"/>
        </w:rPr>
      </w:pPr>
    </w:p>
    <w:p>
      <w:pPr>
        <w:ind w:left="220" w:right="120" w:hanging="212"/>
        <w:spacing w:after="0" w:line="301" w:lineRule="auto"/>
        <w:tabs>
          <w:tab w:leader="none" w:pos="218"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adequately assess risk and estimate related losses as well as the effectiveness of our enterprise risk management policies and procedures;</w:t>
      </w:r>
    </w:p>
    <w:p>
      <w:pPr>
        <w:spacing w:after="0" w:line="9" w:lineRule="exact"/>
        <w:rPr>
          <w:rFonts w:ascii="Arial" w:cs="Arial" w:eastAsia="Arial" w:hAnsi="Arial"/>
          <w:sz w:val="16"/>
          <w:szCs w:val="16"/>
          <w:color w:val="auto"/>
        </w:rPr>
      </w:pPr>
    </w:p>
    <w:p>
      <w:pPr>
        <w:ind w:left="220" w:hanging="212"/>
        <w:spacing w:after="0" w:line="316" w:lineRule="auto"/>
        <w:tabs>
          <w:tab w:leader="none" w:pos="218" w:val="left"/>
        </w:tabs>
        <w:numPr>
          <w:ilvl w:val="0"/>
          <w:numId w:val="59"/>
        </w:numPr>
        <w:rPr>
          <w:rFonts w:ascii="Arial" w:cs="Arial" w:eastAsia="Arial" w:hAnsi="Arial"/>
          <w:sz w:val="16"/>
          <w:szCs w:val="16"/>
          <w:color w:val="auto"/>
        </w:rPr>
      </w:pPr>
      <w:r>
        <w:rPr>
          <w:rFonts w:ascii="Arial" w:cs="Arial" w:eastAsia="Arial" w:hAnsi="Arial"/>
          <w:sz w:val="16"/>
          <w:szCs w:val="16"/>
          <w:color w:val="auto"/>
        </w:rPr>
        <w:t>changes in judgments or assumptions concerning insurance underwriting and insurance liabilities;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concentrations of our insurance, reinsurance and other risk exposures;</w:t>
      </w:r>
    </w:p>
    <w:p>
      <w:pPr>
        <w:spacing w:after="0" w:line="86" w:lineRule="exact"/>
        <w:rPr>
          <w:rFonts w:ascii="Arial" w:cs="Arial" w:eastAsia="Arial" w:hAnsi="Arial"/>
          <w:sz w:val="16"/>
          <w:szCs w:val="16"/>
          <w:color w:val="auto"/>
        </w:rPr>
      </w:pPr>
    </w:p>
    <w:p>
      <w:pPr>
        <w:ind w:left="220" w:right="660" w:hanging="212"/>
        <w:spacing w:after="0" w:line="321" w:lineRule="auto"/>
        <w:tabs>
          <w:tab w:leader="none" w:pos="218" w:val="left"/>
        </w:tabs>
        <w:numPr>
          <w:ilvl w:val="0"/>
          <w:numId w:val="59"/>
        </w:numPr>
        <w:rPr>
          <w:rFonts w:ascii="Arial" w:cs="Arial" w:eastAsia="Arial" w:hAnsi="Arial"/>
          <w:sz w:val="16"/>
          <w:szCs w:val="16"/>
          <w:color w:val="auto"/>
        </w:rPr>
      </w:pPr>
      <w:r>
        <w:rPr>
          <w:rFonts w:ascii="Arial" w:cs="Arial" w:eastAsia="Arial" w:hAnsi="Arial"/>
          <w:sz w:val="16"/>
          <w:szCs w:val="16"/>
          <w:color w:val="auto"/>
        </w:rPr>
        <w:t>availability of adequate reinsurance or access to reinsurance on acceptable terms;</w:t>
      </w:r>
    </w:p>
    <w:p>
      <w:pPr>
        <w:spacing w:after="0" w:line="20" w:lineRule="exact"/>
        <w:rPr>
          <w:sz w:val="20"/>
          <w:szCs w:val="20"/>
          <w:color w:val="auto"/>
        </w:rPr>
      </w:pPr>
      <w:r>
        <w:rPr>
          <w:sz w:val="20"/>
          <w:szCs w:val="20"/>
          <w:color w:val="auto"/>
        </w:rPr>
        <w:br w:type="column"/>
      </w:r>
    </w:p>
    <w:p>
      <w:pPr>
        <w:ind w:left="213" w:hanging="213"/>
        <w:spacing w:after="0"/>
        <w:tabs>
          <w:tab w:leader="none" w:pos="213"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changes to sources of or access to liquidity;</w:t>
      </w:r>
    </w:p>
    <w:p>
      <w:pPr>
        <w:spacing w:after="0" w:line="86" w:lineRule="exact"/>
        <w:rPr>
          <w:rFonts w:ascii="Arial" w:cs="Arial" w:eastAsia="Arial" w:hAnsi="Arial"/>
          <w:sz w:val="16"/>
          <w:szCs w:val="16"/>
          <w:color w:val="auto"/>
        </w:rPr>
      </w:pPr>
    </w:p>
    <w:p>
      <w:pPr>
        <w:ind w:left="213" w:right="280" w:hanging="213"/>
        <w:spacing w:after="0" w:line="316" w:lineRule="auto"/>
        <w:tabs>
          <w:tab w:leader="none" w:pos="211"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changes in accounting principles and financial reporting requirements or their applicability to us; and</w:t>
      </w:r>
    </w:p>
    <w:p>
      <w:pPr>
        <w:spacing w:after="0" w:line="1" w:lineRule="exact"/>
        <w:rPr>
          <w:rFonts w:ascii="Arial" w:cs="Arial" w:eastAsia="Arial" w:hAnsi="Arial"/>
          <w:sz w:val="16"/>
          <w:szCs w:val="16"/>
          <w:color w:val="auto"/>
        </w:rPr>
      </w:pPr>
    </w:p>
    <w:p>
      <w:pPr>
        <w:ind w:left="213" w:hanging="213"/>
        <w:spacing w:after="0"/>
        <w:tabs>
          <w:tab w:leader="none" w:pos="213"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such other factors discussed in:</w:t>
      </w:r>
    </w:p>
    <w:p>
      <w:pPr>
        <w:spacing w:after="0" w:line="86" w:lineRule="exact"/>
        <w:rPr>
          <w:rFonts w:ascii="Arial" w:cs="Arial" w:eastAsia="Arial" w:hAnsi="Arial"/>
          <w:sz w:val="16"/>
          <w:szCs w:val="16"/>
          <w:color w:val="auto"/>
        </w:rPr>
      </w:pPr>
    </w:p>
    <w:p>
      <w:pPr>
        <w:ind w:left="213"/>
        <w:spacing w:after="0"/>
        <w:rPr>
          <w:rFonts w:ascii="Arial" w:cs="Arial" w:eastAsia="Arial" w:hAnsi="Arial"/>
          <w:sz w:val="16"/>
          <w:szCs w:val="16"/>
          <w:color w:val="auto"/>
        </w:rPr>
      </w:pPr>
      <w:r>
        <w:rPr>
          <w:rFonts w:ascii="Arial" w:cs="Arial" w:eastAsia="Arial" w:hAnsi="Arial"/>
          <w:sz w:val="16"/>
          <w:szCs w:val="16"/>
          <w:color w:val="auto"/>
        </w:rPr>
        <w:t>–  Part I, Item 2. MD&amp;A of this Quarterly Report on Form 10-Q;</w:t>
      </w:r>
    </w:p>
    <w:p>
      <w:pPr>
        <w:spacing w:after="0" w:line="86" w:lineRule="exact"/>
        <w:rPr>
          <w:rFonts w:ascii="Arial" w:cs="Arial" w:eastAsia="Arial" w:hAnsi="Arial"/>
          <w:sz w:val="16"/>
          <w:szCs w:val="16"/>
          <w:color w:val="auto"/>
        </w:rPr>
      </w:pPr>
    </w:p>
    <w:p>
      <w:pPr>
        <w:ind w:left="433" w:right="440" w:hanging="220"/>
        <w:spacing w:after="0" w:line="316" w:lineRule="auto"/>
        <w:rPr>
          <w:rFonts w:ascii="Arial" w:cs="Arial" w:eastAsia="Arial" w:hAnsi="Arial"/>
          <w:sz w:val="16"/>
          <w:szCs w:val="16"/>
          <w:color w:val="auto"/>
        </w:rPr>
      </w:pPr>
      <w:r>
        <w:rPr>
          <w:rFonts w:ascii="Arial" w:cs="Arial" w:eastAsia="Arial" w:hAnsi="Arial"/>
          <w:sz w:val="16"/>
          <w:szCs w:val="16"/>
          <w:color w:val="auto"/>
        </w:rPr>
        <w:t>– Part I, Item 1A. Risk Factors and Part II, Item 7. MD&amp;A of the 2025 Annual Report; and</w:t>
      </w:r>
    </w:p>
    <w:p>
      <w:pPr>
        <w:spacing w:after="0" w:line="1" w:lineRule="exact"/>
        <w:rPr>
          <w:rFonts w:ascii="Arial" w:cs="Arial" w:eastAsia="Arial" w:hAnsi="Arial"/>
          <w:sz w:val="16"/>
          <w:szCs w:val="16"/>
          <w:color w:val="auto"/>
        </w:rPr>
      </w:pPr>
    </w:p>
    <w:p>
      <w:pPr>
        <w:ind w:left="213"/>
        <w:spacing w:after="0"/>
        <w:rPr>
          <w:rFonts w:ascii="Arial" w:cs="Arial" w:eastAsia="Arial" w:hAnsi="Arial"/>
          <w:sz w:val="16"/>
          <w:szCs w:val="16"/>
          <w:color w:val="auto"/>
        </w:rPr>
      </w:pPr>
      <w:r>
        <w:rPr>
          <w:rFonts w:ascii="Arial" w:cs="Arial" w:eastAsia="Arial" w:hAnsi="Arial"/>
          <w:sz w:val="16"/>
          <w:szCs w:val="16"/>
          <w:color w:val="auto"/>
        </w:rPr>
        <w:t>–  our other filings with the Securities and Exchange Commission (SEC).</w:t>
      </w:r>
    </w:p>
    <w:p>
      <w:pPr>
        <w:spacing w:after="0" w:line="1048" w:lineRule="exact"/>
        <w:rPr>
          <w:sz w:val="20"/>
          <w:szCs w:val="20"/>
          <w:color w:val="auto"/>
        </w:rPr>
      </w:pPr>
    </w:p>
    <w:p>
      <w:pPr>
        <w:sectPr>
          <w:pgSz w:w="11900" w:h="16838" w:orient="portrait"/>
          <w:cols w:equalWidth="0" w:num="2">
            <w:col w:w="5460" w:space="127"/>
            <w:col w:w="5653"/>
          </w:cols>
          <w:pgMar w:left="320" w:top="114" w:right="339" w:bottom="1440" w:gutter="0" w:footer="0" w:header="0"/>
          <w:type w:val="continuous"/>
        </w:sectPr>
      </w:pP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Forward-looking statements speak only as of the date of this report, or in the case of any document incorporated by reference, the date of that document. We are not under any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any forward-looking statements is disclosed from time to time in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771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760" w:hanging="734"/>
        <w:spacing w:after="0"/>
        <w:tabs>
          <w:tab w:leader="none" w:pos="760" w:val="left"/>
        </w:tabs>
        <w:numPr>
          <w:ilvl w:val="0"/>
          <w:numId w:val="61"/>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3680" w:type="dxa"/>
            <w:vAlign w:val="bottom"/>
            <w:gridSpan w:val="4"/>
          </w:tcPr>
          <w:p>
            <w:pPr>
              <w:ind w:left="2260"/>
              <w:spacing w:after="0"/>
              <w:rPr>
                <w:sz w:val="20"/>
                <w:szCs w:val="20"/>
                <w:color w:val="auto"/>
              </w:rPr>
            </w:pPr>
            <w:r>
              <w:rPr>
                <w:rFonts w:ascii="Arial" w:cs="Arial" w:eastAsia="Arial" w:hAnsi="Arial"/>
                <w:sz w:val="13"/>
                <w:szCs w:val="13"/>
                <w:color w:val="0000FF"/>
              </w:rPr>
              <w:t>TABLE OF CONTENTS</w:t>
            </w:r>
          </w:p>
        </w:tc>
        <w:tc>
          <w:tcPr>
            <w:tcW w:w="0" w:type="dxa"/>
            <w:vAlign w:val="bottom"/>
          </w:tcPr>
          <w:p>
            <w:pPr>
              <w:spacing w:after="0"/>
              <w:rPr>
                <w:sz w:val="1"/>
                <w:szCs w:val="1"/>
                <w:color w:val="auto"/>
              </w:rPr>
            </w:pPr>
          </w:p>
        </w:tc>
      </w:tr>
      <w:tr>
        <w:trPr>
          <w:trHeight w:val="1038"/>
        </w:trPr>
        <w:tc>
          <w:tcPr>
            <w:tcW w:w="9820" w:type="dxa"/>
            <w:vAlign w:val="bottom"/>
            <w:gridSpan w:val="2"/>
          </w:tcPr>
          <w:p>
            <w:pPr>
              <w:ind w:left="20"/>
              <w:spacing w:after="0"/>
              <w:rPr>
                <w:sz w:val="20"/>
                <w:szCs w:val="20"/>
                <w:color w:val="auto"/>
              </w:rPr>
            </w:pPr>
            <w:r>
              <w:rPr>
                <w:rFonts w:ascii="Arial" w:cs="Arial" w:eastAsia="Arial" w:hAnsi="Arial"/>
                <w:sz w:val="27"/>
                <w:szCs w:val="27"/>
                <w:b w:val="1"/>
                <w:bCs w:val="1"/>
                <w:color w:val="001770"/>
              </w:rPr>
              <w:t>INDEX TO ITEM 2</w:t>
            </w:r>
          </w:p>
        </w:tc>
        <w:tc>
          <w:tcPr>
            <w:tcW w:w="8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gridSpan w:val="2"/>
            <w:vMerge w:val="restart"/>
          </w:tcPr>
          <w:p>
            <w:pPr>
              <w:ind w:left="14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60" w:type="dxa"/>
            <w:vAlign w:val="bottom"/>
            <w:tcBorders>
              <w:top w:val="single" w:sz="8" w:color="001770"/>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Executive Summary</w:t>
            </w:r>
          </w:p>
        </w:tc>
        <w:tc>
          <w:tcPr>
            <w:tcW w:w="560" w:type="dxa"/>
            <w:vAlign w:val="bottom"/>
            <w:tcBorders>
              <w:top w:val="single" w:sz="8" w:color="001770"/>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Overview</w:t>
            </w: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6"/>
                <w:szCs w:val="16"/>
                <w:color w:val="auto"/>
              </w:rPr>
              <w:t>Operating Structure</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Critical Accounting Estimates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Consolidated Results of Operations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Business Segment Operations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General Insurance</w:t>
            </w: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6"/>
                <w:szCs w:val="16"/>
                <w:color w:val="auto"/>
              </w:rPr>
              <w:t>Other Operations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Use of Non-GAAP Measures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Investments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Overview</w:t>
            </w: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Investment Highlights</w:t>
            </w: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Investment Strategies</w:t>
            </w: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6"/>
                <w:szCs w:val="16"/>
                <w:color w:val="auto"/>
              </w:rPr>
              <w:t>Credit Ratings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Insurance Reserves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6"/>
                <w:szCs w:val="16"/>
                <w:color w:val="auto"/>
              </w:rPr>
              <w:t>Loss Reserves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Liquidity and Capital Resources</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Overview</w:t>
            </w:r>
          </w:p>
        </w:tc>
        <w:tc>
          <w:tcPr>
            <w:tcW w:w="56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Liquidity and Capital Resources Highlights</w:t>
            </w:r>
          </w:p>
        </w:tc>
        <w:tc>
          <w:tcPr>
            <w:tcW w:w="56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Analysis of Sources and Uses of Cash</w:t>
            </w:r>
          </w:p>
        </w:tc>
        <w:tc>
          <w:tcPr>
            <w:tcW w:w="56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Liquidity and Capital Resources of AIG Parent and Subsidiaries</w:t>
            </w:r>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Credit Facilities</w:t>
            </w: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Contractual Obligations</w:t>
            </w: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Off-Balance Sheet Arrangements and Commercial Commitments</w:t>
            </w: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Debt</w:t>
            </w: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Financial Strength Ratings</w:t>
            </w:r>
          </w:p>
        </w:tc>
        <w:tc>
          <w:tcPr>
            <w:tcW w:w="56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Credit Ratings</w:t>
            </w:r>
          </w:p>
        </w:tc>
        <w:tc>
          <w:tcPr>
            <w:tcW w:w="56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Regulation and Supervision</w:t>
            </w:r>
          </w:p>
        </w:tc>
        <w:tc>
          <w:tcPr>
            <w:tcW w:w="56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60" w:type="dxa"/>
            <w:vAlign w:val="bottom"/>
            <w:gridSpan w:val="3"/>
          </w:tcPr>
          <w:p>
            <w:pPr>
              <w:ind w:left="20"/>
              <w:spacing w:after="0"/>
              <w:rPr>
                <w:sz w:val="20"/>
                <w:szCs w:val="20"/>
                <w:color w:val="auto"/>
              </w:rPr>
            </w:pPr>
            <w:r>
              <w:rPr>
                <w:rFonts w:ascii="Arial" w:cs="Arial" w:eastAsia="Arial" w:hAnsi="Arial"/>
                <w:sz w:val="16"/>
                <w:szCs w:val="16"/>
                <w:color w:val="auto"/>
              </w:rPr>
              <w:t>Dividends</w:t>
            </w:r>
          </w:p>
        </w:tc>
        <w:tc>
          <w:tcPr>
            <w:tcW w:w="56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6"/>
                <w:szCs w:val="16"/>
                <w:color w:val="auto"/>
              </w:rPr>
              <w:t>Repurchases of AIG Common Stock</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Enterprise Risk Management</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60" w:type="dxa"/>
            <w:vAlign w:val="bottom"/>
            <w:tcBorders>
              <w:bottom w:val="single" w:sz="8" w:color="001770"/>
            </w:tcBorders>
            <w:gridSpan w:val="3"/>
          </w:tcPr>
          <w:p>
            <w:pPr>
              <w:ind w:left="20"/>
              <w:spacing w:after="0"/>
              <w:rPr>
                <w:sz w:val="20"/>
                <w:szCs w:val="20"/>
                <w:color w:val="auto"/>
              </w:rPr>
            </w:pPr>
            <w:r>
              <w:rPr>
                <w:rFonts w:ascii="Arial" w:cs="Arial" w:eastAsia="Arial" w:hAnsi="Arial"/>
                <w:sz w:val="18"/>
                <w:szCs w:val="18"/>
                <w:b w:val="1"/>
                <w:bCs w:val="1"/>
                <w:color w:val="0A2299"/>
              </w:rPr>
              <w:t>Glossary</w:t>
            </w:r>
          </w:p>
        </w:tc>
        <w:tc>
          <w:tcPr>
            <w:tcW w:w="560" w:type="dxa"/>
            <w:vAlign w:val="bottom"/>
            <w:tcBorders>
              <w:bottom w:val="single" w:sz="8" w:color="001770"/>
            </w:tcBorders>
          </w:tcPr>
          <w:p>
            <w:pPr>
              <w:jc w:val="right"/>
              <w:spacing w:after="0"/>
              <w:rPr>
                <w:sz w:val="20"/>
                <w:szCs w:val="20"/>
                <w:color w:val="auto"/>
              </w:rPr>
            </w:pPr>
            <w:r>
              <w:rPr>
                <w:rFonts w:ascii="Arial" w:cs="Arial" w:eastAsia="Arial" w:hAnsi="Arial"/>
                <w:sz w:val="16"/>
                <w:szCs w:val="16"/>
                <w:b w:val="1"/>
                <w:bCs w:val="1"/>
                <w:color w:val="0A2299"/>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60" w:type="dxa"/>
            <w:vAlign w:val="bottom"/>
            <w:tcBorders>
              <w:bottom w:val="single" w:sz="8" w:color="001871"/>
            </w:tcBorders>
            <w:gridSpan w:val="3"/>
          </w:tcPr>
          <w:p>
            <w:pPr>
              <w:ind w:left="20"/>
              <w:spacing w:after="0"/>
              <w:rPr>
                <w:sz w:val="20"/>
                <w:szCs w:val="20"/>
                <w:color w:val="auto"/>
              </w:rPr>
            </w:pPr>
            <w:r>
              <w:rPr>
                <w:rFonts w:ascii="Arial" w:cs="Arial" w:eastAsia="Arial" w:hAnsi="Arial"/>
                <w:sz w:val="18"/>
                <w:szCs w:val="18"/>
                <w:b w:val="1"/>
                <w:bCs w:val="1"/>
                <w:color w:val="0A2299"/>
              </w:rPr>
              <w:t>Acronyms</w:t>
            </w:r>
          </w:p>
        </w:tc>
        <w:tc>
          <w:tcPr>
            <w:tcW w:w="560" w:type="dxa"/>
            <w:vAlign w:val="bottom"/>
            <w:tcBorders>
              <w:bottom w:val="single" w:sz="8" w:color="001871"/>
            </w:tcBorders>
          </w:tcPr>
          <w:p>
            <w:pPr>
              <w:jc w:val="right"/>
              <w:spacing w:after="0"/>
              <w:rPr>
                <w:sz w:val="20"/>
                <w:szCs w:val="20"/>
                <w:color w:val="auto"/>
              </w:rPr>
            </w:pPr>
            <w:r>
              <w:rPr>
                <w:rFonts w:ascii="Arial" w:cs="Arial" w:eastAsia="Arial" w:hAnsi="Arial"/>
                <w:sz w:val="16"/>
                <w:szCs w:val="16"/>
                <w:b w:val="1"/>
                <w:bCs w:val="1"/>
                <w:color w:val="0A2299"/>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7560" w:type="dxa"/>
            <w:vAlign w:val="bottom"/>
          </w:tcPr>
          <w:p>
            <w:pPr>
              <w:spacing w:after="0"/>
              <w:rPr>
                <w:sz w:val="24"/>
                <w:szCs w:val="24"/>
                <w:color w:val="auto"/>
              </w:rPr>
            </w:pPr>
          </w:p>
        </w:tc>
        <w:tc>
          <w:tcPr>
            <w:tcW w:w="3100" w:type="dxa"/>
            <w:vAlign w:val="bottom"/>
            <w:tcBorders>
              <w:bottom w:val="single" w:sz="8" w:color="001770"/>
            </w:tcBorders>
            <w:gridSpan w:val="2"/>
          </w:tcPr>
          <w:p>
            <w:pPr>
              <w:spacing w:after="0"/>
              <w:rPr>
                <w:sz w:val="24"/>
                <w:szCs w:val="24"/>
                <w:color w:val="auto"/>
              </w:rPr>
            </w:pPr>
          </w:p>
        </w:tc>
        <w:tc>
          <w:tcPr>
            <w:tcW w:w="560" w:type="dxa"/>
            <w:vAlign w:val="bottom"/>
            <w:tcBorders>
              <w:bottom w:val="single" w:sz="8" w:color="001770"/>
            </w:tcBorders>
          </w:tcPr>
          <w:p>
            <w:pPr>
              <w:spacing w:after="0"/>
              <w:rPr>
                <w:sz w:val="24"/>
                <w:szCs w:val="24"/>
                <w:color w:val="auto"/>
              </w:rPr>
            </w:pPr>
          </w:p>
        </w:tc>
        <w:tc>
          <w:tcPr>
            <w:tcW w:w="20" w:type="dxa"/>
            <w:vAlign w:val="bottom"/>
            <w:tcBorders>
              <w:bottom w:val="single" w:sz="8" w:color="001770"/>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3100" w:type="dxa"/>
            <w:vAlign w:val="bottom"/>
            <w:gridSpan w:val="2"/>
          </w:tcPr>
          <w:p>
            <w:pPr>
              <w:ind w:left="1080"/>
              <w:spacing w:after="0"/>
              <w:rPr>
                <w:sz w:val="20"/>
                <w:szCs w:val="20"/>
                <w:color w:val="auto"/>
              </w:rPr>
            </w:pPr>
            <w:r>
              <w:rPr>
                <w:rFonts w:ascii="Arial" w:cs="Arial" w:eastAsia="Arial" w:hAnsi="Arial"/>
                <w:sz w:val="12"/>
                <w:szCs w:val="12"/>
                <w:color w:val="auto"/>
              </w:rPr>
              <w:t>AIG | Third Quarter 2026 Form 10-Q</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560" w:type="dxa"/>
            <w:vAlign w:val="bottom"/>
            <w:tcBorders>
              <w:bottom w:val="single" w:sz="8" w:color="9A9A9A"/>
            </w:tcBorders>
          </w:tcPr>
          <w:p>
            <w:pPr>
              <w:spacing w:after="0"/>
              <w:rPr>
                <w:sz w:val="19"/>
                <w:szCs w:val="19"/>
                <w:color w:val="auto"/>
              </w:rPr>
            </w:pPr>
          </w:p>
        </w:tc>
        <w:tc>
          <w:tcPr>
            <w:tcW w:w="22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1234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234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234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234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-1945640</wp:posOffset>
            </wp:positionV>
            <wp:extent cx="71234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234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-2296795</wp:posOffset>
            </wp:positionV>
            <wp:extent cx="71234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-2502535</wp:posOffset>
            </wp:positionV>
            <wp:extent cx="71234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234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1234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71234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1234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-4079875</wp:posOffset>
            </wp:positionV>
            <wp:extent cx="71234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-4225290</wp:posOffset>
            </wp:positionV>
            <wp:extent cx="71234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712343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-4988560</wp:posOffset>
            </wp:positionV>
            <wp:extent cx="71234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-5768340</wp:posOffset>
            </wp:positionV>
            <wp:extent cx="712343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Executive Summary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OVERVIEW</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This overview of the MD&amp;A highlights selected information and may not contain all of the information that is important to current or potential investors in our securities. You should read this Quarterly Report on Form 10-Q, together with the 2025 Annual Report, in their entirety for a more detailed description of events, trends, uncertainties, risks and critical accounting estimates affecting us.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OPERATING STRUCTURE</w:t>
      </w:r>
    </w:p>
    <w:p>
      <w:pPr>
        <w:spacing w:after="0" w:line="10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report the results of our businesses through three segments and Other Operations. The three segments are North America Commercial, International Commercial and Global Personal. Other Operations predominantly consists of Net investment income from our AIG Parent liquidity portfolio, Corebridge Financial, Inc. (Corebridge) dividend income, corporate General operating expenses, and Interest expense. Our general insurance business (General Insurance) consists of our three segments and the Net investment income and Amortization of intangible assets including renewal rights related to our insurance operations.</w:t>
      </w:r>
    </w:p>
    <w:p>
      <w:pPr>
        <w:spacing w:after="0" w:line="7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General Insurance includes the following major operating companies: National Union Fire Insurance Company of Pittsburgh, Pa. (National Union); American Home Assurance Company (American Home); Lexington Insurance Company (Lexington); AIG General Insurance Company, Ltd.; AIG Asia Pacific Insurance Pte. Ltd.; AIG Europe S.A.; American International Group UK Limited; Talbot Underwriting Ltd. (Talbot); Western World Insurance Company and Glatfelter Insurance Group (Glatfelter).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Commercial Lines Products</w:t>
      </w:r>
    </w:p>
    <w:p>
      <w:pPr>
        <w:spacing w:after="0" w:line="68"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b w:val="1"/>
          <w:bCs w:val="1"/>
          <w:color w:val="1352DE"/>
        </w:rPr>
        <w:t xml:space="preserve">Property &amp; Short Tail: </w:t>
      </w:r>
      <w:r>
        <w:rPr>
          <w:rFonts w:ascii="Arial" w:cs="Arial" w:eastAsia="Arial" w:hAnsi="Arial"/>
          <w:sz w:val="16"/>
          <w:szCs w:val="16"/>
          <w:color w:val="000000"/>
        </w:rPr>
        <w:t>Products include commercial and industrial property, including business interruption, as well as package insurance products and</w:t>
      </w:r>
      <w:r>
        <w:rPr>
          <w:rFonts w:ascii="Arial" w:cs="Arial" w:eastAsia="Arial" w:hAnsi="Arial"/>
          <w:sz w:val="16"/>
          <w:szCs w:val="16"/>
          <w:b w:val="1"/>
          <w:bCs w:val="1"/>
          <w:color w:val="1352DE"/>
        </w:rPr>
        <w:t xml:space="preserve"> </w:t>
      </w:r>
      <w:r>
        <w:rPr>
          <w:rFonts w:ascii="Arial" w:cs="Arial" w:eastAsia="Arial" w:hAnsi="Arial"/>
          <w:sz w:val="16"/>
          <w:szCs w:val="16"/>
          <w:color w:val="000000"/>
        </w:rPr>
        <w:t>services that cover exposures to man-made and natural disasters.</w:t>
      </w:r>
    </w:p>
    <w:p>
      <w:pPr>
        <w:spacing w:after="0" w:line="48"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b w:val="1"/>
          <w:bCs w:val="1"/>
          <w:color w:val="1352DE"/>
        </w:rPr>
        <w:t xml:space="preserve">Casualty: </w:t>
      </w:r>
      <w:r>
        <w:rPr>
          <w:rFonts w:ascii="Arial" w:cs="Arial" w:eastAsia="Arial" w:hAnsi="Arial"/>
          <w:sz w:val="16"/>
          <w:szCs w:val="16"/>
          <w:color w:val="000000"/>
        </w:rPr>
        <w:t>Products include general liability, environmental, commercial automobile liability, workers’ compensation, excess casualty and crisis management</w:t>
      </w:r>
      <w:r>
        <w:rPr>
          <w:rFonts w:ascii="Arial" w:cs="Arial" w:eastAsia="Arial" w:hAnsi="Arial"/>
          <w:sz w:val="16"/>
          <w:szCs w:val="16"/>
          <w:b w:val="1"/>
          <w:bCs w:val="1"/>
          <w:color w:val="1352DE"/>
        </w:rPr>
        <w:t xml:space="preserve"> </w:t>
      </w:r>
      <w:r>
        <w:rPr>
          <w:rFonts w:ascii="Arial" w:cs="Arial" w:eastAsia="Arial" w:hAnsi="Arial"/>
          <w:sz w:val="16"/>
          <w:szCs w:val="16"/>
          <w:color w:val="000000"/>
        </w:rPr>
        <w:t>insurance products. Casualty also includes risk-sharing and other customized structured programs for large corporate and multinational customers.</w:t>
      </w:r>
    </w:p>
    <w:p>
      <w:pPr>
        <w:spacing w:after="0" w:line="48"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b w:val="1"/>
          <w:bCs w:val="1"/>
          <w:color w:val="1352DE"/>
        </w:rPr>
        <w:t xml:space="preserve">Financial Lines: </w:t>
      </w:r>
      <w:r>
        <w:rPr>
          <w:rFonts w:ascii="Arial" w:cs="Arial" w:eastAsia="Arial" w:hAnsi="Arial"/>
          <w:sz w:val="16"/>
          <w:szCs w:val="16"/>
          <w:color w:val="000000"/>
        </w:rPr>
        <w:t>Products include professional liability insurance for a range of businesses and risks, including directors and officers, mergers and</w:t>
      </w:r>
      <w:r>
        <w:rPr>
          <w:rFonts w:ascii="Arial" w:cs="Arial" w:eastAsia="Arial" w:hAnsi="Arial"/>
          <w:sz w:val="16"/>
          <w:szCs w:val="16"/>
          <w:b w:val="1"/>
          <w:bCs w:val="1"/>
          <w:color w:val="1352DE"/>
        </w:rPr>
        <w:t xml:space="preserve"> </w:t>
      </w:r>
      <w:r>
        <w:rPr>
          <w:rFonts w:ascii="Arial" w:cs="Arial" w:eastAsia="Arial" w:hAnsi="Arial"/>
          <w:sz w:val="16"/>
          <w:szCs w:val="16"/>
          <w:color w:val="000000"/>
        </w:rPr>
        <w:t>acquisitions, fidelity, employment practices, fiduciary liability, cyber risk, kidnap and ransom, and errors and omissions insurance.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 xml:space="preserve">Global Specialty: </w:t>
      </w:r>
      <w:r>
        <w:rPr>
          <w:rFonts w:ascii="Arial" w:cs="Arial" w:eastAsia="Arial" w:hAnsi="Arial"/>
          <w:sz w:val="16"/>
          <w:szCs w:val="16"/>
          <w:color w:val="000000"/>
        </w:rPr>
        <w:t>Products include marine, energy-related property insurance products, aviation, political risk, trade credit and trade finance.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Personal Insurance Products</w:t>
      </w:r>
    </w:p>
    <w:p>
      <w:pPr>
        <w:spacing w:after="0" w:line="68" w:lineRule="exact"/>
        <w:rPr>
          <w:sz w:val="20"/>
          <w:szCs w:val="20"/>
          <w:color w:val="auto"/>
        </w:rPr>
      </w:pPr>
    </w:p>
    <w:p>
      <w:pPr>
        <w:jc w:val="both"/>
        <w:ind w:right="300"/>
        <w:spacing w:after="0" w:line="321" w:lineRule="auto"/>
        <w:rPr>
          <w:sz w:val="20"/>
          <w:szCs w:val="20"/>
          <w:color w:val="auto"/>
        </w:rPr>
      </w:pPr>
      <w:r>
        <w:rPr>
          <w:rFonts w:ascii="Arial" w:cs="Arial" w:eastAsia="Arial" w:hAnsi="Arial"/>
          <w:sz w:val="16"/>
          <w:szCs w:val="16"/>
          <w:b w:val="1"/>
          <w:bCs w:val="1"/>
          <w:color w:val="1352DE"/>
        </w:rPr>
        <w:t xml:space="preserve">Global Accident &amp; Health: </w:t>
      </w:r>
      <w:r>
        <w:rPr>
          <w:rFonts w:ascii="Arial" w:cs="Arial" w:eastAsia="Arial" w:hAnsi="Arial"/>
          <w:sz w:val="16"/>
          <w:szCs w:val="16"/>
          <w:color w:val="000000"/>
        </w:rPr>
        <w:t>Products include group personal accident and business travel products for employees, associations and other organizations,</w:t>
      </w:r>
      <w:r>
        <w:rPr>
          <w:rFonts w:ascii="Arial" w:cs="Arial" w:eastAsia="Arial" w:hAnsi="Arial"/>
          <w:sz w:val="16"/>
          <w:szCs w:val="16"/>
          <w:b w:val="1"/>
          <w:bCs w:val="1"/>
          <w:color w:val="1352DE"/>
        </w:rPr>
        <w:t xml:space="preserve"> </w:t>
      </w:r>
      <w:r>
        <w:rPr>
          <w:rFonts w:ascii="Arial" w:cs="Arial" w:eastAsia="Arial" w:hAnsi="Arial"/>
          <w:sz w:val="16"/>
          <w:szCs w:val="16"/>
          <w:color w:val="000000"/>
        </w:rPr>
        <w:t>and voluntary and sponsor-paid personal accident and supplemental health products for individuals.</w:t>
      </w:r>
    </w:p>
    <w:p>
      <w:pPr>
        <w:spacing w:after="0" w:line="48"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b w:val="1"/>
          <w:bCs w:val="1"/>
          <w:color w:val="1352DE"/>
        </w:rPr>
        <w:t xml:space="preserve">Personal Lines: </w:t>
      </w:r>
      <w:r>
        <w:rPr>
          <w:rFonts w:ascii="Arial" w:cs="Arial" w:eastAsia="Arial" w:hAnsi="Arial"/>
          <w:sz w:val="16"/>
          <w:szCs w:val="16"/>
          <w:color w:val="000000"/>
        </w:rPr>
        <w:t>Products include personal auto and homeowners in selected markets, comprehensive extended warranty, device protection insurance,</w:t>
      </w:r>
      <w:r>
        <w:rPr>
          <w:rFonts w:ascii="Arial" w:cs="Arial" w:eastAsia="Arial" w:hAnsi="Arial"/>
          <w:sz w:val="16"/>
          <w:szCs w:val="16"/>
          <w:b w:val="1"/>
          <w:bCs w:val="1"/>
          <w:color w:val="1352DE"/>
        </w:rPr>
        <w:t xml:space="preserve"> </w:t>
      </w:r>
      <w:r>
        <w:rPr>
          <w:rFonts w:ascii="Arial" w:cs="Arial" w:eastAsia="Arial" w:hAnsi="Arial"/>
          <w:sz w:val="16"/>
          <w:szCs w:val="16"/>
          <w:color w:val="000000"/>
        </w:rPr>
        <w:t>home warranty and related services, and insurance for high net worth individuals offered through Private Client Select (PCS) in the U.S. that covers auto, homeowners, umbrella, yacht, fine art and collections.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Competition</w:t>
      </w:r>
    </w:p>
    <w:p>
      <w:pPr>
        <w:spacing w:after="0" w:line="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General Insurance operates in a highly competitive industry against global, national and local insurers and reinsurers and underwriting syndicates in specific market areas and product types. Insurance companies compete through a combination of risk acceptance criteria, product pricing, service levels and terms and conditions. General Insurance seeks to differentiate itself in the markets where we participate by providing leading expertise and insight to clients, distribution partners and other stakeholders, delivering underwriting excellence and value-driven insurance solutions and providing high quality, tailored end-to-end support to stakeholders. In doing so, we leverage our world-class global franchise, multinational capabilities, balance sheet strength and financial flexibility.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our segments, see Note 3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24771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hanging="734"/>
        <w:spacing w:after="0"/>
        <w:tabs>
          <w:tab w:leader="none" w:pos="760" w:val="left"/>
        </w:tabs>
        <w:numPr>
          <w:ilvl w:val="0"/>
          <w:numId w:val="62"/>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Critical Accounting Estimates</w:t>
      </w:r>
    </w:p>
    <w:p>
      <w:pPr>
        <w:spacing w:after="0" w:line="229"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The preparation of financial statements in accordance with GAAP requires the application of accounting policies that often involve a significant degree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234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99" w:lineRule="exact"/>
        <w:rPr>
          <w:sz w:val="20"/>
          <w:szCs w:val="20"/>
          <w:color w:val="auto"/>
        </w:rPr>
      </w:pPr>
    </w:p>
    <w:p>
      <w:pPr>
        <w:ind w:left="20" w:right="300"/>
        <w:spacing w:after="0" w:line="281" w:lineRule="auto"/>
        <w:rPr>
          <w:sz w:val="20"/>
          <w:szCs w:val="20"/>
          <w:color w:val="auto"/>
        </w:rPr>
      </w:pPr>
      <w:r>
        <w:rPr>
          <w:rFonts w:ascii="Arial" w:cs="Arial" w:eastAsia="Arial" w:hAnsi="Arial"/>
          <w:sz w:val="18"/>
          <w:szCs w:val="18"/>
          <w:b w:val="1"/>
          <w:bCs w:val="1"/>
          <w:color w:val="001770"/>
        </w:rPr>
        <w:t>The accounting policies that we believe are most dependent on the application of estimates and assumptions, which are critical accounting estimates, are related to the determination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23430" cy="8572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23430" cy="857250"/>
                    </a:xfrm>
                    <a:prstGeom prst="rect">
                      <a:avLst/>
                    </a:prstGeom>
                    <a:noFill/>
                  </pic:spPr>
                </pic:pic>
              </a:graphicData>
            </a:graphic>
          </wp:anchor>
        </w:drawing>
      </w:r>
    </w:p>
    <w:p>
      <w:pPr>
        <w:spacing w:after="0" w:line="67" w:lineRule="exact"/>
        <w:rPr>
          <w:sz w:val="20"/>
          <w:szCs w:val="20"/>
          <w:color w:val="auto"/>
        </w:rPr>
      </w:pPr>
    </w:p>
    <w:p>
      <w:pPr>
        <w:ind w:left="500" w:hanging="254"/>
        <w:spacing w:after="0"/>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loss reserves;</w:t>
      </w:r>
    </w:p>
    <w:p>
      <w:pPr>
        <w:spacing w:after="0" w:line="86" w:lineRule="exact"/>
        <w:rPr>
          <w:rFonts w:ascii="Arial" w:cs="Arial" w:eastAsia="Arial" w:hAnsi="Arial"/>
          <w:sz w:val="16"/>
          <w:szCs w:val="16"/>
          <w:color w:val="auto"/>
        </w:rPr>
      </w:pPr>
    </w:p>
    <w:p>
      <w:pPr>
        <w:ind w:left="500" w:hanging="254"/>
        <w:spacing w:after="0"/>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reinsurance assets;</w:t>
      </w:r>
    </w:p>
    <w:p>
      <w:pPr>
        <w:spacing w:after="0" w:line="86" w:lineRule="exact"/>
        <w:rPr>
          <w:rFonts w:ascii="Arial" w:cs="Arial" w:eastAsia="Arial" w:hAnsi="Arial"/>
          <w:sz w:val="16"/>
          <w:szCs w:val="16"/>
          <w:color w:val="auto"/>
        </w:rPr>
      </w:pPr>
    </w:p>
    <w:p>
      <w:pPr>
        <w:ind w:left="500" w:hanging="254"/>
        <w:spacing w:after="0"/>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fair value measurements of certain financial assets and financial liabilities; and</w:t>
      </w:r>
    </w:p>
    <w:p>
      <w:pPr>
        <w:spacing w:after="0" w:line="86" w:lineRule="exact"/>
        <w:rPr>
          <w:rFonts w:ascii="Arial" w:cs="Arial" w:eastAsia="Arial" w:hAnsi="Arial"/>
          <w:sz w:val="16"/>
          <w:szCs w:val="16"/>
          <w:color w:val="auto"/>
        </w:rPr>
      </w:pPr>
    </w:p>
    <w:p>
      <w:pPr>
        <w:ind w:left="500" w:hanging="254"/>
        <w:spacing w:after="0"/>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income taxes, in particular the recoverability of our deferred tax asset and establishment of provisions for uncertain tax positions.</w:t>
      </w:r>
    </w:p>
    <w:p>
      <w:pPr>
        <w:spacing w:after="0" w:line="200" w:lineRule="exact"/>
        <w:rPr>
          <w:sz w:val="20"/>
          <w:szCs w:val="20"/>
          <w:color w:val="auto"/>
        </w:rPr>
      </w:pPr>
    </w:p>
    <w:p>
      <w:pPr>
        <w:spacing w:after="0" w:line="210"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These accounting estimates require the use of assumptions about matters, some of which are highly uncertain at the time of estimation. To the extent actual experience differs from the assumptions used, our consolidated financial condition, results of operations and cash flows could be materially affected.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 detailed discussion of our critical accounting estimates, see Part II, Item 7. MD&amp;A – Critical Accounting Estimates in the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234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color w:val="001871"/>
        </w:rPr>
        <w:t>Consolidated Results of Operations</w:t>
      </w:r>
    </w:p>
    <w:p>
      <w:pPr>
        <w:spacing w:after="0" w:line="229"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The following section provides a comparative discussion of our consolidated results of operations on a reported basis for the three and nine months ended September 30, 2026 and 2025. Factors that relate primarily to a specific business are discussed in more detail within the business segment operations section.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our consolidated results of operations and other key financial metrics: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Borders>
              <w:top w:val="single" w:sz="8" w:color="1352DE"/>
            </w:tcBorders>
          </w:tcPr>
          <w:p>
            <w:pPr>
              <w:spacing w:after="0"/>
              <w:rPr>
                <w:sz w:val="14"/>
                <w:szCs w:val="14"/>
                <w:color w:val="auto"/>
              </w:rPr>
            </w:pPr>
          </w:p>
        </w:tc>
        <w:tc>
          <w:tcPr>
            <w:tcW w:w="160" w:type="dxa"/>
            <w:vAlign w:val="bottom"/>
            <w:tcBorders>
              <w:top w:val="single" w:sz="8" w:color="3051F2"/>
            </w:tcBorders>
          </w:tcPr>
          <w:p>
            <w:pPr>
              <w:spacing w:after="0"/>
              <w:rPr>
                <w:sz w:val="14"/>
                <w:szCs w:val="14"/>
                <w:color w:val="auto"/>
              </w:rPr>
            </w:pPr>
          </w:p>
        </w:tc>
        <w:tc>
          <w:tcPr>
            <w:tcW w:w="1660" w:type="dxa"/>
            <w:vAlign w:val="bottom"/>
            <w:tcBorders>
              <w:top w:val="single" w:sz="8" w:color="3051F2"/>
            </w:tcBorders>
            <w:gridSpan w:val="3"/>
          </w:tcPr>
          <w:p>
            <w:pPr>
              <w:jc w:val="center"/>
              <w:ind w:right="88"/>
              <w:spacing w:after="0"/>
              <w:rPr>
                <w:sz w:val="20"/>
                <w:szCs w:val="20"/>
                <w:color w:val="auto"/>
              </w:rPr>
            </w:pPr>
            <w:r>
              <w:rPr>
                <w:rFonts w:ascii="Arial" w:cs="Arial" w:eastAsia="Arial" w:hAnsi="Arial"/>
                <w:sz w:val="14"/>
                <w:szCs w:val="14"/>
                <w:color w:val="1252DE"/>
              </w:rPr>
              <w:t>Three Months Ended</w:t>
            </w:r>
          </w:p>
        </w:tc>
        <w:tc>
          <w:tcPr>
            <w:tcW w:w="1100" w:type="dxa"/>
            <w:vAlign w:val="bottom"/>
            <w:tcBorders>
              <w:top w:val="single" w:sz="8" w:color="1352DE"/>
            </w:tcBorders>
            <w:vMerge w:val="restart"/>
          </w:tcPr>
          <w:p>
            <w:pPr>
              <w:jc w:val="right"/>
              <w:spacing w:after="0"/>
              <w:rPr>
                <w:sz w:val="20"/>
                <w:szCs w:val="20"/>
                <w:color w:val="auto"/>
              </w:rPr>
            </w:pPr>
            <w:r>
              <w:rPr>
                <w:rFonts w:ascii="Arial" w:cs="Arial" w:eastAsia="Arial" w:hAnsi="Arial"/>
                <w:sz w:val="14"/>
                <w:szCs w:val="14"/>
                <w:color w:val="1252DE"/>
              </w:rPr>
              <w:t>Percentage</w:t>
            </w:r>
          </w:p>
        </w:tc>
        <w:tc>
          <w:tcPr>
            <w:tcW w:w="420" w:type="dxa"/>
            <w:vAlign w:val="bottom"/>
            <w:tcBorders>
              <w:top w:val="single" w:sz="8" w:color="1352DE"/>
            </w:tcBorders>
          </w:tcPr>
          <w:p>
            <w:pPr>
              <w:spacing w:after="0"/>
              <w:rPr>
                <w:sz w:val="14"/>
                <w:szCs w:val="14"/>
                <w:color w:val="auto"/>
              </w:rPr>
            </w:pPr>
          </w:p>
        </w:tc>
        <w:tc>
          <w:tcPr>
            <w:tcW w:w="1820" w:type="dxa"/>
            <w:vAlign w:val="bottom"/>
            <w:tcBorders>
              <w:top w:val="single" w:sz="8" w:color="3051F2"/>
            </w:tcBorders>
            <w:gridSpan w:val="2"/>
          </w:tcPr>
          <w:p>
            <w:pPr>
              <w:jc w:val="right"/>
              <w:ind w:right="208"/>
              <w:spacing w:after="0"/>
              <w:rPr>
                <w:sz w:val="20"/>
                <w:szCs w:val="20"/>
                <w:color w:val="auto"/>
              </w:rPr>
            </w:pPr>
            <w:r>
              <w:rPr>
                <w:rFonts w:ascii="Arial" w:cs="Arial" w:eastAsia="Arial" w:hAnsi="Arial"/>
                <w:sz w:val="14"/>
                <w:szCs w:val="14"/>
                <w:color w:val="1252DE"/>
              </w:rPr>
              <w:t>Nine Months Ended</w:t>
            </w:r>
          </w:p>
        </w:tc>
        <w:tc>
          <w:tcPr>
            <w:tcW w:w="1080" w:type="dxa"/>
            <w:vAlign w:val="bottom"/>
            <w:tcBorders>
              <w:top w:val="single" w:sz="8" w:color="1352DE"/>
            </w:tcBorders>
            <w:vMerge w:val="restart"/>
          </w:tcPr>
          <w:p>
            <w:pPr>
              <w:jc w:val="right"/>
              <w:spacing w:after="0"/>
              <w:rPr>
                <w:sz w:val="20"/>
                <w:szCs w:val="20"/>
                <w:color w:val="auto"/>
              </w:rPr>
            </w:pPr>
            <w:r>
              <w:rPr>
                <w:rFonts w:ascii="Arial" w:cs="Arial" w:eastAsia="Arial" w:hAnsi="Arial"/>
                <w:sz w:val="14"/>
                <w:szCs w:val="14"/>
                <w:color w:val="1252DE"/>
              </w:rPr>
              <w:t>Percentage</w:t>
            </w:r>
          </w:p>
        </w:tc>
        <w:tc>
          <w:tcPr>
            <w:tcW w:w="240" w:type="dxa"/>
            <w:vAlign w:val="bottom"/>
            <w:tcBorders>
              <w:top w:val="single" w:sz="8" w:color="1352DE"/>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60" w:type="dxa"/>
            <w:vAlign w:val="bottom"/>
            <w:tcBorders>
              <w:bottom w:val="single" w:sz="8" w:color="3051F2"/>
            </w:tcBorders>
          </w:tcPr>
          <w:p>
            <w:pPr>
              <w:spacing w:after="0"/>
              <w:rPr>
                <w:sz w:val="16"/>
                <w:szCs w:val="16"/>
                <w:color w:val="auto"/>
              </w:rPr>
            </w:pPr>
          </w:p>
        </w:tc>
        <w:tc>
          <w:tcPr>
            <w:tcW w:w="1220" w:type="dxa"/>
            <w:vAlign w:val="bottom"/>
            <w:tcBorders>
              <w:bottom w:val="single" w:sz="8" w:color="3051F2"/>
            </w:tcBorders>
            <w:gridSpan w:val="2"/>
          </w:tcPr>
          <w:p>
            <w:pPr>
              <w:jc w:val="center"/>
              <w:ind w:left="208"/>
              <w:spacing w:after="0"/>
              <w:rPr>
                <w:sz w:val="20"/>
                <w:szCs w:val="20"/>
                <w:color w:val="auto"/>
              </w:rPr>
            </w:pPr>
            <w:r>
              <w:rPr>
                <w:rFonts w:ascii="Arial" w:cs="Arial" w:eastAsia="Arial" w:hAnsi="Arial"/>
                <w:sz w:val="14"/>
                <w:szCs w:val="14"/>
                <w:color w:val="1252DE"/>
              </w:rPr>
              <w:t>September 30,</w:t>
            </w:r>
          </w:p>
        </w:tc>
        <w:tc>
          <w:tcPr>
            <w:tcW w:w="440" w:type="dxa"/>
            <w:vAlign w:val="bottom"/>
            <w:tcBorders>
              <w:bottom w:val="single" w:sz="8" w:color="3051F2"/>
            </w:tcBorders>
          </w:tcPr>
          <w:p>
            <w:pPr>
              <w:spacing w:after="0"/>
              <w:rPr>
                <w:sz w:val="16"/>
                <w:szCs w:val="16"/>
                <w:color w:val="auto"/>
              </w:rPr>
            </w:pPr>
          </w:p>
        </w:tc>
        <w:tc>
          <w:tcPr>
            <w:tcW w:w="11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Borders>
              <w:bottom w:val="single" w:sz="8" w:color="3051F2"/>
            </w:tcBorders>
            <w:gridSpan w:val="2"/>
          </w:tcPr>
          <w:p>
            <w:pPr>
              <w:jc w:val="right"/>
              <w:ind w:right="368"/>
              <w:spacing w:after="0"/>
              <w:rPr>
                <w:sz w:val="20"/>
                <w:szCs w:val="20"/>
                <w:color w:val="auto"/>
              </w:rPr>
            </w:pPr>
            <w:r>
              <w:rPr>
                <w:rFonts w:ascii="Arial" w:cs="Arial" w:eastAsia="Arial" w:hAnsi="Arial"/>
                <w:sz w:val="14"/>
                <w:szCs w:val="14"/>
                <w:color w:val="1252DE"/>
              </w:rPr>
              <w:t>September 30,</w:t>
            </w: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60" w:type="dxa"/>
            <w:vAlign w:val="bottom"/>
            <w:tcBorders>
              <w:bottom w:val="single" w:sz="8" w:color="1352DE"/>
            </w:tcBorders>
          </w:tcPr>
          <w:p>
            <w:pPr>
              <w:spacing w:after="0"/>
              <w:rPr>
                <w:sz w:val="16"/>
                <w:szCs w:val="16"/>
                <w:color w:val="auto"/>
              </w:rPr>
            </w:pPr>
          </w:p>
        </w:tc>
        <w:tc>
          <w:tcPr>
            <w:tcW w:w="7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480" w:type="dxa"/>
            <w:vAlign w:val="bottom"/>
            <w:tcBorders>
              <w:bottom w:val="single" w:sz="8" w:color="1352DE"/>
            </w:tcBorders>
          </w:tcPr>
          <w:p>
            <w:pPr>
              <w:spacing w:after="0"/>
              <w:rPr>
                <w:sz w:val="16"/>
                <w:szCs w:val="16"/>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Change</w:t>
            </w:r>
          </w:p>
        </w:tc>
        <w:tc>
          <w:tcPr>
            <w:tcW w:w="42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2026</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10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Change</w:t>
            </w:r>
          </w:p>
        </w:tc>
        <w:tc>
          <w:tcPr>
            <w:tcW w:w="24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Arial" w:cs="Arial" w:eastAsia="Arial" w:hAnsi="Arial"/>
                <w:sz w:val="14"/>
                <w:szCs w:val="14"/>
                <w:b w:val="1"/>
                <w:bCs w:val="1"/>
                <w:color w:val="1252DE"/>
              </w:rPr>
              <w:t>Revenues: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140"/>
              <w:spacing w:after="0"/>
              <w:rPr>
                <w:sz w:val="20"/>
                <w:szCs w:val="20"/>
                <w:color w:val="auto"/>
              </w:rPr>
            </w:pPr>
            <w:r>
              <w:rPr>
                <w:rFonts w:ascii="Arial" w:cs="Arial" w:eastAsia="Arial" w:hAnsi="Arial"/>
                <w:sz w:val="14"/>
                <w:szCs w:val="14"/>
                <w:color w:val="auto"/>
              </w:rPr>
              <w:t>Premiums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6,453</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6,073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352DE"/>
              </w:rPr>
              <w:t>$   18,746</w:t>
            </w:r>
          </w:p>
        </w:tc>
        <w:tc>
          <w:tcPr>
            <w:tcW w:w="900" w:type="dxa"/>
            <w:vAlign w:val="bottom"/>
          </w:tcPr>
          <w:p>
            <w:pPr>
              <w:jc w:val="right"/>
              <w:spacing w:after="0"/>
              <w:rPr>
                <w:sz w:val="20"/>
                <w:szCs w:val="20"/>
                <w:color w:val="auto"/>
              </w:rPr>
            </w:pPr>
            <w:r>
              <w:rPr>
                <w:rFonts w:ascii="Arial" w:cs="Arial" w:eastAsia="Arial" w:hAnsi="Arial"/>
                <w:sz w:val="14"/>
                <w:szCs w:val="14"/>
                <w:color w:val="auto"/>
              </w:rPr>
              <w:t>$   17,720</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0"/>
        </w:trPr>
        <w:tc>
          <w:tcPr>
            <w:tcW w:w="4740" w:type="dxa"/>
            <w:vAlign w:val="bottom"/>
          </w:tcPr>
          <w:p>
            <w:pPr>
              <w:ind w:left="14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240"/>
              <w:spacing w:after="0"/>
              <w:rPr>
                <w:sz w:val="20"/>
                <w:szCs w:val="20"/>
                <w:color w:val="auto"/>
              </w:rPr>
            </w:pPr>
            <w:r>
              <w:rPr>
                <w:rFonts w:ascii="Arial" w:cs="Arial" w:eastAsia="Arial" w:hAnsi="Arial"/>
                <w:sz w:val="14"/>
                <w:szCs w:val="14"/>
                <w:color w:val="auto"/>
              </w:rPr>
              <w:t>Net investment income - excluding Fortitude Re funds withheld assets</w:t>
            </w:r>
          </w:p>
        </w:tc>
        <w:tc>
          <w:tcPr>
            <w:tcW w:w="160" w:type="dxa"/>
            <w:vAlign w:val="bottom"/>
          </w:tcPr>
          <w:p>
            <w:pPr>
              <w:spacing w:after="0"/>
              <w:rPr>
                <w:sz w:val="19"/>
                <w:szCs w:val="19"/>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1,084</w:t>
            </w:r>
          </w:p>
        </w:tc>
        <w:tc>
          <w:tcPr>
            <w:tcW w:w="480" w:type="dxa"/>
            <w:vAlign w:val="bottom"/>
          </w:tcPr>
          <w:p>
            <w:pPr>
              <w:spacing w:after="0"/>
              <w:rPr>
                <w:sz w:val="19"/>
                <w:szCs w:val="19"/>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743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420" w:type="dxa"/>
            <w:vAlign w:val="bottom"/>
          </w:tcPr>
          <w:p>
            <w:pPr>
              <w:spacing w:after="0"/>
              <w:rPr>
                <w:sz w:val="19"/>
                <w:szCs w:val="19"/>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252DE"/>
              </w:rPr>
              <w:t>2,864</w:t>
            </w:r>
          </w:p>
        </w:tc>
        <w:tc>
          <w:tcPr>
            <w:tcW w:w="900" w:type="dxa"/>
            <w:vAlign w:val="bottom"/>
          </w:tcPr>
          <w:p>
            <w:pPr>
              <w:jc w:val="right"/>
              <w:spacing w:after="0"/>
              <w:rPr>
                <w:sz w:val="20"/>
                <w:szCs w:val="20"/>
                <w:color w:val="auto"/>
              </w:rPr>
            </w:pPr>
            <w:r>
              <w:rPr>
                <w:rFonts w:ascii="Arial" w:cs="Arial" w:eastAsia="Arial" w:hAnsi="Arial"/>
                <w:sz w:val="14"/>
                <w:szCs w:val="14"/>
                <w:color w:val="auto"/>
              </w:rPr>
              <w:t>3,235</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4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Net investment income - Fortitude Re funds withheld assets</w:t>
            </w:r>
          </w:p>
        </w:tc>
        <w:tc>
          <w:tcPr>
            <w:tcW w:w="160" w:type="dxa"/>
            <w:vAlign w:val="bottom"/>
            <w:tcBorders>
              <w:bottom w:val="single" w:sz="8" w:color="1352DE"/>
            </w:tcBorders>
          </w:tcPr>
          <w:p>
            <w:pPr>
              <w:spacing w:after="0"/>
              <w:rPr>
                <w:sz w:val="17"/>
                <w:szCs w:val="17"/>
                <w:color w:val="auto"/>
              </w:rPr>
            </w:pPr>
          </w:p>
        </w:tc>
        <w:tc>
          <w:tcPr>
            <w:tcW w:w="7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16</w:t>
            </w:r>
          </w:p>
        </w:tc>
        <w:tc>
          <w:tcPr>
            <w:tcW w:w="48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29</w:t>
            </w: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(45)</w:t>
            </w:r>
          </w:p>
        </w:tc>
        <w:tc>
          <w:tcPr>
            <w:tcW w:w="42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75</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108</w:t>
            </w:r>
          </w:p>
        </w:tc>
        <w:tc>
          <w:tcPr>
            <w:tcW w:w="10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360"/>
              <w:spacing w:after="0"/>
              <w:rPr>
                <w:sz w:val="20"/>
                <w:szCs w:val="20"/>
                <w:color w:val="auto"/>
              </w:rPr>
            </w:pPr>
            <w:r>
              <w:rPr>
                <w:rFonts w:ascii="Arial" w:cs="Arial" w:eastAsia="Arial" w:hAnsi="Arial"/>
                <w:sz w:val="14"/>
                <w:szCs w:val="14"/>
                <w:color w:val="auto"/>
              </w:rPr>
              <w:t>Total net investment income</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1,100</w:t>
            </w:r>
          </w:p>
        </w:tc>
        <w:tc>
          <w:tcPr>
            <w:tcW w:w="48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772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4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252DE"/>
              </w:rPr>
              <w:t>2,939</w:t>
            </w:r>
          </w:p>
        </w:tc>
        <w:tc>
          <w:tcPr>
            <w:tcW w:w="900" w:type="dxa"/>
            <w:vAlign w:val="bottom"/>
          </w:tcPr>
          <w:p>
            <w:pPr>
              <w:jc w:val="right"/>
              <w:spacing w:after="0"/>
              <w:rPr>
                <w:sz w:val="20"/>
                <w:szCs w:val="20"/>
                <w:color w:val="auto"/>
              </w:rPr>
            </w:pPr>
            <w:r>
              <w:rPr>
                <w:rFonts w:ascii="Arial" w:cs="Arial" w:eastAsia="Arial" w:hAnsi="Arial"/>
                <w:sz w:val="14"/>
                <w:szCs w:val="14"/>
                <w:color w:val="auto"/>
              </w:rPr>
              <w:t>3,343</w:t>
            </w: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140"/>
              <w:spacing w:after="0"/>
              <w:rPr>
                <w:sz w:val="20"/>
                <w:szCs w:val="20"/>
                <w:color w:val="auto"/>
              </w:rPr>
            </w:pPr>
            <w:r>
              <w:rPr>
                <w:rFonts w:ascii="Arial" w:cs="Arial" w:eastAsia="Arial" w:hAnsi="Arial"/>
                <w:sz w:val="14"/>
                <w:szCs w:val="14"/>
                <w:color w:val="auto"/>
              </w:rPr>
              <w:t>Net realized gains (losses):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740" w:type="dxa"/>
            <w:vAlign w:val="bottom"/>
          </w:tcPr>
          <w:p>
            <w:pPr>
              <w:ind w:left="240"/>
              <w:spacing w:after="0" w:line="157" w:lineRule="exact"/>
              <w:rPr>
                <w:sz w:val="20"/>
                <w:szCs w:val="20"/>
                <w:color w:val="auto"/>
              </w:rPr>
            </w:pPr>
            <w:r>
              <w:rPr>
                <w:rFonts w:ascii="Arial" w:cs="Arial" w:eastAsia="Arial" w:hAnsi="Arial"/>
                <w:sz w:val="14"/>
                <w:szCs w:val="14"/>
                <w:color w:val="auto"/>
              </w:rPr>
              <w:t>Net realized losses - excluding Fortitude Re funds withheld assets</w:t>
            </w:r>
          </w:p>
        </w:tc>
        <w:tc>
          <w:tcPr>
            <w:tcW w:w="160" w:type="dxa"/>
            <w:vAlign w:val="bottom"/>
          </w:tcPr>
          <w:p>
            <w:pPr>
              <w:spacing w:after="0"/>
              <w:rPr>
                <w:sz w:val="13"/>
                <w:szCs w:val="13"/>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1252DE"/>
              </w:rPr>
              <w:t>(167)</w:t>
            </w:r>
          </w:p>
        </w:tc>
        <w:tc>
          <w:tcPr>
            <w:tcW w:w="4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(431)</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61</w:t>
            </w:r>
          </w:p>
        </w:tc>
        <w:tc>
          <w:tcPr>
            <w:tcW w:w="42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252DE"/>
              </w:rPr>
              <w:t>(507)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(683)</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40" w:type="dxa"/>
            <w:vAlign w:val="bottom"/>
          </w:tcPr>
          <w:p>
            <w:pPr>
              <w:ind w:left="360"/>
              <w:spacing w:after="0"/>
              <w:rPr>
                <w:sz w:val="20"/>
                <w:szCs w:val="20"/>
                <w:color w:val="auto"/>
              </w:rPr>
            </w:pPr>
            <w:r>
              <w:rPr>
                <w:rFonts w:ascii="Arial" w:cs="Arial" w:eastAsia="Arial" w:hAnsi="Arial"/>
                <w:sz w:val="14"/>
                <w:szCs w:val="14"/>
                <w:color w:val="auto"/>
              </w:rPr>
              <w:t>and embedded derivative</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Arial" w:cs="Arial" w:eastAsia="Arial" w:hAnsi="Arial"/>
                <w:sz w:val="14"/>
                <w:szCs w:val="14"/>
                <w:color w:val="auto"/>
              </w:rPr>
              <w:t>Net realized losses on Fortitude Re funds withheld assets</w:t>
            </w:r>
          </w:p>
        </w:tc>
        <w:tc>
          <w:tcPr>
            <w:tcW w:w="1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1252DE"/>
              </w:rPr>
              <w:t>(28)</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w:t>
            </w:r>
          </w:p>
        </w:tc>
        <w:tc>
          <w:tcPr>
            <w:tcW w:w="1100" w:type="dxa"/>
            <w:vAlign w:val="bottom"/>
          </w:tcPr>
          <w:p>
            <w:pPr>
              <w:jc w:val="right"/>
              <w:spacing w:after="0"/>
              <w:rPr>
                <w:sz w:val="20"/>
                <w:szCs w:val="20"/>
                <w:color w:val="auto"/>
              </w:rPr>
            </w:pPr>
            <w:r>
              <w:rPr>
                <w:rFonts w:ascii="Arial" w:cs="Arial" w:eastAsia="Arial" w:hAnsi="Arial"/>
                <w:sz w:val="14"/>
                <w:szCs w:val="14"/>
                <w:color w:val="auto"/>
              </w:rPr>
              <w:t>(460)</w:t>
            </w:r>
          </w:p>
        </w:tc>
        <w:tc>
          <w:tcPr>
            <w:tcW w:w="4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(47)</w:t>
            </w:r>
          </w:p>
        </w:tc>
        <w:tc>
          <w:tcPr>
            <w:tcW w:w="900" w:type="dxa"/>
            <w:vAlign w:val="bottom"/>
          </w:tcPr>
          <w:p>
            <w:pPr>
              <w:jc w:val="right"/>
              <w:spacing w:after="0"/>
              <w:rPr>
                <w:sz w:val="20"/>
                <w:szCs w:val="20"/>
                <w:color w:val="auto"/>
              </w:rPr>
            </w:pPr>
            <w:r>
              <w:rPr>
                <w:rFonts w:ascii="Arial" w:cs="Arial" w:eastAsia="Arial" w:hAnsi="Arial"/>
                <w:sz w:val="14"/>
                <w:szCs w:val="14"/>
                <w:color w:val="auto"/>
              </w:rPr>
              <w:t>(59)</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740" w:type="dxa"/>
            <w:vAlign w:val="bottom"/>
          </w:tcPr>
          <w:p>
            <w:pPr>
              <w:ind w:left="240"/>
              <w:spacing w:after="0" w:line="151" w:lineRule="exact"/>
              <w:rPr>
                <w:sz w:val="20"/>
                <w:szCs w:val="20"/>
                <w:color w:val="auto"/>
              </w:rPr>
            </w:pPr>
            <w:r>
              <w:rPr>
                <w:rFonts w:ascii="Arial" w:cs="Arial" w:eastAsia="Arial" w:hAnsi="Arial"/>
                <w:sz w:val="14"/>
                <w:szCs w:val="14"/>
                <w:color w:val="auto"/>
              </w:rPr>
              <w:t>Net realized gains (losses) on Fortitude Re funds withheld embedded</w:t>
            </w:r>
          </w:p>
        </w:tc>
        <w:tc>
          <w:tcPr>
            <w:tcW w:w="160" w:type="dxa"/>
            <w:vAlign w:val="bottom"/>
          </w:tcPr>
          <w:p>
            <w:pPr>
              <w:spacing w:after="0"/>
              <w:rPr>
                <w:sz w:val="13"/>
                <w:szCs w:val="13"/>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1252DE"/>
              </w:rPr>
              <w:t>85</w:t>
            </w:r>
          </w:p>
        </w:tc>
        <w:tc>
          <w:tcPr>
            <w:tcW w:w="4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420" w:type="dxa"/>
            <w:vAlign w:val="bottom"/>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1252DE"/>
              </w:rPr>
              <w:t>44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1352DE"/>
            </w:tcBorders>
          </w:tcPr>
          <w:p>
            <w:pPr>
              <w:ind w:left="360"/>
              <w:spacing w:after="0"/>
              <w:rPr>
                <w:sz w:val="20"/>
                <w:szCs w:val="20"/>
                <w:color w:val="auto"/>
              </w:rPr>
            </w:pPr>
            <w:r>
              <w:rPr>
                <w:rFonts w:ascii="Arial" w:cs="Arial" w:eastAsia="Arial" w:hAnsi="Arial"/>
                <w:sz w:val="14"/>
                <w:szCs w:val="14"/>
                <w:color w:val="auto"/>
              </w:rPr>
              <w:t>derivative</w:t>
            </w:r>
          </w:p>
        </w:tc>
        <w:tc>
          <w:tcPr>
            <w:tcW w:w="160" w:type="dxa"/>
            <w:vAlign w:val="bottom"/>
            <w:tcBorders>
              <w:bottom w:val="single" w:sz="8" w:color="1352DE"/>
            </w:tcBorders>
          </w:tcPr>
          <w:p>
            <w:pPr>
              <w:spacing w:after="0"/>
              <w:rPr>
                <w:sz w:val="16"/>
                <w:szCs w:val="16"/>
                <w:color w:val="auto"/>
              </w:rPr>
            </w:pPr>
          </w:p>
        </w:tc>
        <w:tc>
          <w:tcPr>
            <w:tcW w:w="740" w:type="dxa"/>
            <w:vAlign w:val="bottom"/>
            <w:tcBorders>
              <w:bottom w:val="single" w:sz="8" w:color="1352DE"/>
            </w:tcBorders>
            <w:vMerge w:val="continue"/>
          </w:tcPr>
          <w:p>
            <w:pPr>
              <w:spacing w:after="0"/>
              <w:rPr>
                <w:sz w:val="16"/>
                <w:szCs w:val="16"/>
                <w:color w:val="auto"/>
              </w:rPr>
            </w:pPr>
          </w:p>
        </w:tc>
        <w:tc>
          <w:tcPr>
            <w:tcW w:w="480" w:type="dxa"/>
            <w:vAlign w:val="bottom"/>
            <w:tcBorders>
              <w:bottom w:val="single" w:sz="8" w:color="1352DE"/>
            </w:tcBorders>
          </w:tcPr>
          <w:p>
            <w:pPr>
              <w:spacing w:after="0"/>
              <w:rPr>
                <w:sz w:val="16"/>
                <w:szCs w:val="16"/>
                <w:color w:val="auto"/>
              </w:rPr>
            </w:pPr>
          </w:p>
        </w:tc>
        <w:tc>
          <w:tcPr>
            <w:tcW w:w="440" w:type="dxa"/>
            <w:vAlign w:val="bottom"/>
            <w:tcBorders>
              <w:bottom w:val="single" w:sz="8" w:color="1352DE"/>
            </w:tcBorders>
            <w:vMerge w:val="continue"/>
          </w:tcPr>
          <w:p>
            <w:pPr>
              <w:spacing w:after="0"/>
              <w:rPr>
                <w:sz w:val="16"/>
                <w:szCs w:val="16"/>
                <w:color w:val="auto"/>
              </w:rPr>
            </w:pPr>
          </w:p>
        </w:tc>
        <w:tc>
          <w:tcPr>
            <w:tcW w:w="1100" w:type="dxa"/>
            <w:vAlign w:val="bottom"/>
            <w:tcBorders>
              <w:bottom w:val="single" w:sz="8" w:color="1352DE"/>
            </w:tcBorders>
            <w:vMerge w:val="continue"/>
          </w:tcPr>
          <w:p>
            <w:pPr>
              <w:spacing w:after="0"/>
              <w:rPr>
                <w:sz w:val="16"/>
                <w:szCs w:val="16"/>
                <w:color w:val="auto"/>
              </w:rPr>
            </w:pPr>
          </w:p>
        </w:tc>
        <w:tc>
          <w:tcPr>
            <w:tcW w:w="42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vMerge w:val="continue"/>
          </w:tcPr>
          <w:p>
            <w:pPr>
              <w:spacing w:after="0"/>
              <w:rPr>
                <w:sz w:val="16"/>
                <w:szCs w:val="16"/>
                <w:color w:val="auto"/>
              </w:rPr>
            </w:pPr>
          </w:p>
        </w:tc>
        <w:tc>
          <w:tcPr>
            <w:tcW w:w="900" w:type="dxa"/>
            <w:vAlign w:val="bottom"/>
            <w:tcBorders>
              <w:bottom w:val="single" w:sz="8" w:color="1352DE"/>
            </w:tcBorders>
            <w:vMerge w:val="continue"/>
          </w:tcPr>
          <w:p>
            <w:pPr>
              <w:spacing w:after="0"/>
              <w:rPr>
                <w:sz w:val="16"/>
                <w:szCs w:val="16"/>
                <w:color w:val="auto"/>
              </w:rPr>
            </w:pPr>
          </w:p>
        </w:tc>
        <w:tc>
          <w:tcPr>
            <w:tcW w:w="1080" w:type="dxa"/>
            <w:vAlign w:val="bottom"/>
            <w:tcBorders>
              <w:bottom w:val="single" w:sz="8" w:color="1352DE"/>
            </w:tcBorders>
            <w:vMerge w:val="continue"/>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360"/>
              <w:spacing w:after="0"/>
              <w:rPr>
                <w:sz w:val="20"/>
                <w:szCs w:val="20"/>
                <w:color w:val="auto"/>
              </w:rPr>
            </w:pPr>
            <w:r>
              <w:rPr>
                <w:rFonts w:ascii="Arial" w:cs="Arial" w:eastAsia="Arial" w:hAnsi="Arial"/>
                <w:sz w:val="14"/>
                <w:szCs w:val="14"/>
                <w:color w:val="auto"/>
              </w:rPr>
              <w:t>Total net realized losses</w:t>
            </w:r>
          </w:p>
        </w:tc>
        <w:tc>
          <w:tcPr>
            <w:tcW w:w="1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1252DE"/>
              </w:rPr>
              <w:t>(110)</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4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(510)</w:t>
            </w:r>
          </w:p>
        </w:tc>
        <w:tc>
          <w:tcPr>
            <w:tcW w:w="900" w:type="dxa"/>
            <w:vAlign w:val="bottom"/>
          </w:tcPr>
          <w:p>
            <w:pPr>
              <w:jc w:val="right"/>
              <w:spacing w:after="0"/>
              <w:rPr>
                <w:sz w:val="20"/>
                <w:szCs w:val="20"/>
                <w:color w:val="auto"/>
              </w:rPr>
            </w:pPr>
            <w:r>
              <w:rPr>
                <w:rFonts w:ascii="Arial" w:cs="Arial" w:eastAsia="Arial" w:hAnsi="Arial"/>
                <w:sz w:val="14"/>
                <w:szCs w:val="14"/>
                <w:color w:val="auto"/>
              </w:rPr>
              <w:t>(851)</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Other income (loss)</w:t>
            </w:r>
          </w:p>
        </w:tc>
        <w:tc>
          <w:tcPr>
            <w:tcW w:w="16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480" w:type="dxa"/>
            <w:vAlign w:val="bottom"/>
            <w:tcBorders>
              <w:bottom w:val="single" w:sz="8" w:color="1352DE"/>
            </w:tcBorders>
          </w:tcPr>
          <w:p>
            <w:pPr>
              <w:spacing w:after="0"/>
              <w:rPr>
                <w:sz w:val="18"/>
                <w:szCs w:val="18"/>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w:t>
            </w: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NM</w:t>
            </w:r>
          </w:p>
        </w:tc>
        <w:tc>
          <w:tcPr>
            <w:tcW w:w="42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3</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13</w:t>
            </w:r>
          </w:p>
        </w:tc>
        <w:tc>
          <w:tcPr>
            <w:tcW w:w="10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(77)</w:t>
            </w:r>
          </w:p>
        </w:tc>
        <w:tc>
          <w:tcPr>
            <w:tcW w:w="24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140"/>
              <w:spacing w:after="0"/>
              <w:rPr>
                <w:sz w:val="20"/>
                <w:szCs w:val="20"/>
                <w:color w:val="auto"/>
              </w:rPr>
            </w:pPr>
            <w:r>
              <w:rPr>
                <w:rFonts w:ascii="Arial" w:cs="Arial" w:eastAsia="Arial" w:hAnsi="Arial"/>
                <w:sz w:val="14"/>
                <w:szCs w:val="14"/>
                <w:b w:val="1"/>
                <w:bCs w:val="1"/>
                <w:color w:val="1252DE"/>
              </w:rPr>
              <w:t>Total revenues</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7,443</w:t>
            </w:r>
          </w:p>
        </w:tc>
        <w:tc>
          <w:tcPr>
            <w:tcW w:w="48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6,351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4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252DE"/>
              </w:rPr>
              <w:t>21,178</w:t>
            </w:r>
          </w:p>
        </w:tc>
        <w:tc>
          <w:tcPr>
            <w:tcW w:w="900" w:type="dxa"/>
            <w:vAlign w:val="bottom"/>
          </w:tcPr>
          <w:p>
            <w:pPr>
              <w:jc w:val="right"/>
              <w:spacing w:after="0"/>
              <w:rPr>
                <w:sz w:val="20"/>
                <w:szCs w:val="20"/>
                <w:color w:val="auto"/>
              </w:rPr>
            </w:pPr>
            <w:r>
              <w:rPr>
                <w:rFonts w:ascii="Arial" w:cs="Arial" w:eastAsia="Arial" w:hAnsi="Arial"/>
                <w:sz w:val="14"/>
                <w:szCs w:val="14"/>
                <w:color w:val="auto"/>
              </w:rPr>
              <w:t>20,225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b w:val="1"/>
                <w:bCs w:val="1"/>
                <w:color w:val="1252DE"/>
              </w:rPr>
              <w:t>Benefits, losses and expenses: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4"/>
                <w:szCs w:val="14"/>
                <w:color w:val="auto"/>
              </w:rPr>
              <w:t>Losses and loss adjustment expenses incurred</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4,023</w:t>
            </w:r>
          </w:p>
        </w:tc>
        <w:tc>
          <w:tcPr>
            <w:tcW w:w="48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3,391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4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252DE"/>
              </w:rPr>
              <w:t>11,082</w:t>
            </w:r>
          </w:p>
        </w:tc>
        <w:tc>
          <w:tcPr>
            <w:tcW w:w="900" w:type="dxa"/>
            <w:vAlign w:val="bottom"/>
          </w:tcPr>
          <w:p>
            <w:pPr>
              <w:jc w:val="right"/>
              <w:spacing w:after="0"/>
              <w:rPr>
                <w:sz w:val="20"/>
                <w:szCs w:val="20"/>
                <w:color w:val="auto"/>
              </w:rPr>
            </w:pPr>
            <w:r>
              <w:rPr>
                <w:rFonts w:ascii="Arial" w:cs="Arial" w:eastAsia="Arial" w:hAnsi="Arial"/>
                <w:sz w:val="14"/>
                <w:szCs w:val="14"/>
                <w:color w:val="auto"/>
              </w:rPr>
              <w:t>10,678</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4"/>
                <w:szCs w:val="14"/>
                <w:color w:val="auto"/>
              </w:rPr>
              <w:t>Amortization of deferred policy acquisition costs</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934</w:t>
            </w:r>
          </w:p>
        </w:tc>
        <w:tc>
          <w:tcPr>
            <w:tcW w:w="48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4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252DE"/>
              </w:rPr>
              <w:t>2,658</w:t>
            </w:r>
          </w:p>
        </w:tc>
        <w:tc>
          <w:tcPr>
            <w:tcW w:w="900" w:type="dxa"/>
            <w:vAlign w:val="bottom"/>
          </w:tcPr>
          <w:p>
            <w:pPr>
              <w:jc w:val="right"/>
              <w:spacing w:after="0"/>
              <w:rPr>
                <w:sz w:val="20"/>
                <w:szCs w:val="20"/>
                <w:color w:val="auto"/>
              </w:rPr>
            </w:pPr>
            <w:r>
              <w:rPr>
                <w:rFonts w:ascii="Arial" w:cs="Arial" w:eastAsia="Arial" w:hAnsi="Arial"/>
                <w:sz w:val="14"/>
                <w:szCs w:val="14"/>
                <w:color w:val="auto"/>
              </w:rPr>
              <w:t>2,522</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4"/>
                <w:szCs w:val="14"/>
                <w:color w:val="auto"/>
              </w:rPr>
              <w:t>General operating and other expenses</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1,266</w:t>
            </w:r>
          </w:p>
        </w:tc>
        <w:tc>
          <w:tcPr>
            <w:tcW w:w="48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1,297</w:t>
            </w: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252DE"/>
              </w:rPr>
              <w:t>3,634</w:t>
            </w:r>
          </w:p>
        </w:tc>
        <w:tc>
          <w:tcPr>
            <w:tcW w:w="900" w:type="dxa"/>
            <w:vAlign w:val="bottom"/>
          </w:tcPr>
          <w:p>
            <w:pPr>
              <w:jc w:val="right"/>
              <w:spacing w:after="0"/>
              <w:rPr>
                <w:sz w:val="20"/>
                <w:szCs w:val="20"/>
                <w:color w:val="auto"/>
              </w:rPr>
            </w:pPr>
            <w:r>
              <w:rPr>
                <w:rFonts w:ascii="Arial" w:cs="Arial" w:eastAsia="Arial" w:hAnsi="Arial"/>
                <w:sz w:val="14"/>
                <w:szCs w:val="14"/>
                <w:color w:val="auto"/>
              </w:rPr>
              <w:t>3,574</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101</w:t>
            </w:r>
          </w:p>
        </w:tc>
        <w:tc>
          <w:tcPr>
            <w:tcW w:w="48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252DE"/>
              </w:rPr>
              <w:t>301</w:t>
            </w:r>
          </w:p>
        </w:tc>
        <w:tc>
          <w:tcPr>
            <w:tcW w:w="900" w:type="dxa"/>
            <w:vAlign w:val="bottom"/>
          </w:tcPr>
          <w:p>
            <w:pPr>
              <w:jc w:val="right"/>
              <w:spacing w:after="0"/>
              <w:rPr>
                <w:sz w:val="20"/>
                <w:szCs w:val="20"/>
                <w:color w:val="auto"/>
              </w:rPr>
            </w:pPr>
            <w:r>
              <w:rPr>
                <w:rFonts w:ascii="Arial" w:cs="Arial" w:eastAsia="Arial" w:hAnsi="Arial"/>
                <w:sz w:val="14"/>
                <w:szCs w:val="14"/>
                <w:color w:val="auto"/>
              </w:rPr>
              <w:t>291</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4"/>
                <w:szCs w:val="14"/>
                <w:color w:val="auto"/>
              </w:rPr>
              <w:t>(Gain) loss on extinguishment of debt</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w:t>
            </w:r>
          </w:p>
        </w:tc>
        <w:tc>
          <w:tcPr>
            <w:tcW w:w="48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NM</w:t>
            </w:r>
          </w:p>
        </w:tc>
        <w:tc>
          <w:tcPr>
            <w:tcW w:w="4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1252DE"/>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80" w:type="dxa"/>
            <w:vAlign w:val="bottom"/>
          </w:tcPr>
          <w:p>
            <w:pPr>
              <w:jc w:val="right"/>
              <w:spacing w:after="0"/>
              <w:rPr>
                <w:sz w:val="20"/>
                <w:szCs w:val="20"/>
                <w:color w:val="auto"/>
              </w:rPr>
            </w:pPr>
            <w:r>
              <w:rPr>
                <w:rFonts w:ascii="Arial" w:cs="Arial" w:eastAsia="Arial" w:hAnsi="Arial"/>
                <w:sz w:val="14"/>
                <w:szCs w:val="14"/>
                <w:color w:val="auto"/>
              </w:rPr>
              <w:t>NM</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Net (gain) loss on divestitures and other</w:t>
            </w:r>
          </w:p>
        </w:tc>
        <w:tc>
          <w:tcPr>
            <w:tcW w:w="16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480" w:type="dxa"/>
            <w:vAlign w:val="bottom"/>
            <w:tcBorders>
              <w:bottom w:val="single" w:sz="8" w:color="1352DE"/>
            </w:tcBorders>
          </w:tcPr>
          <w:p>
            <w:pPr>
              <w:spacing w:after="0"/>
              <w:rPr>
                <w:sz w:val="18"/>
                <w:szCs w:val="18"/>
                <w:color w:val="auto"/>
              </w:rPr>
            </w:pPr>
          </w:p>
        </w:tc>
        <w:tc>
          <w:tcPr>
            <w:tcW w:w="4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NM</w:t>
            </w:r>
          </w:p>
        </w:tc>
        <w:tc>
          <w:tcPr>
            <w:tcW w:w="42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133</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(53)</w:t>
            </w:r>
          </w:p>
        </w:tc>
        <w:tc>
          <w:tcPr>
            <w:tcW w:w="10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NM</w:t>
            </w:r>
          </w:p>
        </w:tc>
        <w:tc>
          <w:tcPr>
            <w:tcW w:w="24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252DE"/>
              </w:rPr>
              <w:t>Total benefits, losses and expenses</w:t>
            </w:r>
          </w:p>
        </w:tc>
        <w:tc>
          <w:tcPr>
            <w:tcW w:w="16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6,324</w:t>
            </w:r>
          </w:p>
        </w:tc>
        <w:tc>
          <w:tcPr>
            <w:tcW w:w="480" w:type="dxa"/>
            <w:vAlign w:val="bottom"/>
            <w:tcBorders>
              <w:bottom w:val="single" w:sz="8" w:color="1352DE"/>
            </w:tcBorders>
          </w:tcPr>
          <w:p>
            <w:pPr>
              <w:spacing w:after="0"/>
              <w:rPr>
                <w:sz w:val="18"/>
                <w:szCs w:val="18"/>
                <w:color w:val="auto"/>
              </w:rPr>
            </w:pPr>
          </w:p>
        </w:tc>
        <w:tc>
          <w:tcPr>
            <w:tcW w:w="4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w w:val="96"/>
              </w:rPr>
              <w:t>5,637</w:t>
            </w: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12</w:t>
            </w:r>
          </w:p>
        </w:tc>
        <w:tc>
          <w:tcPr>
            <w:tcW w:w="42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17,808</w:t>
            </w: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17,007</w:t>
            </w:r>
          </w:p>
        </w:tc>
        <w:tc>
          <w:tcPr>
            <w:tcW w:w="10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368300</wp:posOffset>
            </wp:positionV>
            <wp:extent cx="23317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gridSpan w:val="5"/>
          </w:tcPr>
          <w:p>
            <w:pPr>
              <w:jc w:val="right"/>
              <w:spacing w:after="0"/>
              <w:rPr>
                <w:sz w:val="20"/>
                <w:szCs w:val="20"/>
                <w:color w:val="auto"/>
              </w:rPr>
            </w:pPr>
            <w:r>
              <w:rPr>
                <w:rFonts w:ascii="Arial" w:cs="Arial" w:eastAsia="Arial" w:hAnsi="Arial"/>
                <w:sz w:val="13"/>
                <w:szCs w:val="13"/>
                <w:color w:val="0000FF"/>
              </w:rPr>
              <w:t>TABLE OF CONTENTS</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7"/>
          </w:tcPr>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Consolidated Results of Operations</w:t>
            </w:r>
          </w:p>
        </w:tc>
        <w:tc>
          <w:tcPr>
            <w:tcW w:w="0" w:type="dxa"/>
            <w:vAlign w:val="bottom"/>
          </w:tcPr>
          <w:p>
            <w:pPr>
              <w:spacing w:after="0"/>
              <w:rPr>
                <w:sz w:val="1"/>
                <w:szCs w:val="1"/>
                <w:color w:val="auto"/>
              </w:rPr>
            </w:pPr>
          </w:p>
        </w:tc>
      </w:tr>
      <w:tr>
        <w:trPr>
          <w:trHeight w:val="274"/>
        </w:trPr>
        <w:tc>
          <w:tcPr>
            <w:tcW w:w="4740" w:type="dxa"/>
            <w:vAlign w:val="bottom"/>
            <w:tcBorders>
              <w:bottom w:val="single" w:sz="8" w:color="1352DE"/>
            </w:tcBorders>
          </w:tcPr>
          <w:p>
            <w:pPr>
              <w:spacing w:after="0"/>
              <w:rPr>
                <w:sz w:val="23"/>
                <w:szCs w:val="23"/>
                <w:color w:val="auto"/>
              </w:rPr>
            </w:pPr>
          </w:p>
        </w:tc>
        <w:tc>
          <w:tcPr>
            <w:tcW w:w="160" w:type="dxa"/>
            <w:vAlign w:val="bottom"/>
            <w:tcBorders>
              <w:bottom w:val="single" w:sz="8" w:color="3051F2"/>
            </w:tcBorders>
          </w:tcPr>
          <w:p>
            <w:pPr>
              <w:spacing w:after="0"/>
              <w:rPr>
                <w:sz w:val="23"/>
                <w:szCs w:val="23"/>
                <w:color w:val="auto"/>
              </w:rPr>
            </w:pPr>
          </w:p>
        </w:tc>
        <w:tc>
          <w:tcPr>
            <w:tcW w:w="1660" w:type="dxa"/>
            <w:vAlign w:val="bottom"/>
            <w:tcBorders>
              <w:bottom w:val="single" w:sz="8" w:color="3051F2"/>
            </w:tcBorders>
            <w:gridSpan w:val="3"/>
          </w:tcPr>
          <w:p>
            <w:pPr>
              <w:spacing w:after="0"/>
              <w:rPr>
                <w:sz w:val="23"/>
                <w:szCs w:val="23"/>
                <w:color w:val="auto"/>
              </w:rPr>
            </w:pPr>
          </w:p>
        </w:tc>
        <w:tc>
          <w:tcPr>
            <w:tcW w:w="1100" w:type="dxa"/>
            <w:vAlign w:val="bottom"/>
            <w:tcBorders>
              <w:bottom w:val="single" w:sz="8" w:color="1352DE"/>
            </w:tcBorders>
          </w:tcPr>
          <w:p>
            <w:pPr>
              <w:spacing w:after="0"/>
              <w:rPr>
                <w:sz w:val="23"/>
                <w:szCs w:val="23"/>
                <w:color w:val="auto"/>
              </w:rPr>
            </w:pPr>
          </w:p>
        </w:tc>
        <w:tc>
          <w:tcPr>
            <w:tcW w:w="420" w:type="dxa"/>
            <w:vAlign w:val="bottom"/>
            <w:tcBorders>
              <w:bottom w:val="single" w:sz="8" w:color="1352DE"/>
            </w:tcBorders>
          </w:tcPr>
          <w:p>
            <w:pPr>
              <w:spacing w:after="0"/>
              <w:rPr>
                <w:sz w:val="23"/>
                <w:szCs w:val="23"/>
                <w:color w:val="auto"/>
              </w:rPr>
            </w:pPr>
          </w:p>
        </w:tc>
        <w:tc>
          <w:tcPr>
            <w:tcW w:w="180" w:type="dxa"/>
            <w:vAlign w:val="bottom"/>
            <w:tcBorders>
              <w:bottom w:val="single" w:sz="8" w:color="3051F2"/>
            </w:tcBorders>
          </w:tcPr>
          <w:p>
            <w:pPr>
              <w:spacing w:after="0"/>
              <w:rPr>
                <w:sz w:val="23"/>
                <w:szCs w:val="23"/>
                <w:color w:val="auto"/>
              </w:rPr>
            </w:pPr>
          </w:p>
        </w:tc>
        <w:tc>
          <w:tcPr>
            <w:tcW w:w="1640" w:type="dxa"/>
            <w:vAlign w:val="bottom"/>
            <w:tcBorders>
              <w:bottom w:val="single" w:sz="8" w:color="3051F2"/>
            </w:tcBorders>
            <w:gridSpan w:val="4"/>
          </w:tcPr>
          <w:p>
            <w:pPr>
              <w:spacing w:after="0"/>
              <w:rPr>
                <w:sz w:val="23"/>
                <w:szCs w:val="23"/>
                <w:color w:val="auto"/>
              </w:rPr>
            </w:pPr>
          </w:p>
        </w:tc>
        <w:tc>
          <w:tcPr>
            <w:tcW w:w="1080" w:type="dxa"/>
            <w:vAlign w:val="bottom"/>
            <w:tcBorders>
              <w:bottom w:val="single" w:sz="8" w:color="1352DE"/>
            </w:tcBorders>
          </w:tcPr>
          <w:p>
            <w:pPr>
              <w:spacing w:after="0"/>
              <w:rPr>
                <w:sz w:val="23"/>
                <w:szCs w:val="23"/>
                <w:color w:val="auto"/>
              </w:rPr>
            </w:pPr>
          </w:p>
        </w:tc>
        <w:tc>
          <w:tcPr>
            <w:tcW w:w="240" w:type="dxa"/>
            <w:vAlign w:val="bottom"/>
            <w:tcBorders>
              <w:bottom w:val="single" w:sz="8" w:color="1352DE"/>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3"/>
          </w:tcPr>
          <w:p>
            <w:pPr>
              <w:jc w:val="center"/>
              <w:ind w:right="88"/>
              <w:spacing w:after="0" w:line="142" w:lineRule="exact"/>
              <w:rPr>
                <w:sz w:val="20"/>
                <w:szCs w:val="20"/>
                <w:color w:val="auto"/>
              </w:rPr>
            </w:pPr>
            <w:r>
              <w:rPr>
                <w:rFonts w:ascii="Arial" w:cs="Arial" w:eastAsia="Arial" w:hAnsi="Arial"/>
                <w:sz w:val="14"/>
                <w:szCs w:val="14"/>
                <w:color w:val="1252DE"/>
              </w:rPr>
              <w:t>Three Months Ended</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1252DE"/>
              </w:rPr>
              <w:t>Percentage</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jc w:val="center"/>
              <w:ind w:right="180"/>
              <w:spacing w:after="0" w:line="142" w:lineRule="exact"/>
              <w:rPr>
                <w:sz w:val="20"/>
                <w:szCs w:val="20"/>
                <w:color w:val="auto"/>
              </w:rPr>
            </w:pPr>
            <w:r>
              <w:rPr>
                <w:rFonts w:ascii="Arial" w:cs="Arial" w:eastAsia="Arial" w:hAnsi="Arial"/>
                <w:sz w:val="14"/>
                <w:szCs w:val="14"/>
                <w:color w:val="1252DE"/>
              </w:rPr>
              <w:t>Nine Months Ended</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1252DE"/>
              </w:rPr>
              <w:t>Percentage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60" w:type="dxa"/>
            <w:vAlign w:val="bottom"/>
            <w:tcBorders>
              <w:bottom w:val="single" w:sz="8" w:color="3051F2"/>
            </w:tcBorders>
          </w:tcPr>
          <w:p>
            <w:pPr>
              <w:spacing w:after="0"/>
              <w:rPr>
                <w:sz w:val="16"/>
                <w:szCs w:val="16"/>
                <w:color w:val="auto"/>
              </w:rPr>
            </w:pPr>
          </w:p>
        </w:tc>
        <w:tc>
          <w:tcPr>
            <w:tcW w:w="1260" w:type="dxa"/>
            <w:vAlign w:val="bottom"/>
            <w:tcBorders>
              <w:bottom w:val="single" w:sz="8" w:color="3051F2"/>
            </w:tcBorders>
            <w:gridSpan w:val="2"/>
          </w:tcPr>
          <w:p>
            <w:pPr>
              <w:jc w:val="center"/>
              <w:ind w:left="168"/>
              <w:spacing w:after="0"/>
              <w:rPr>
                <w:sz w:val="20"/>
                <w:szCs w:val="20"/>
                <w:color w:val="auto"/>
              </w:rPr>
            </w:pPr>
            <w:r>
              <w:rPr>
                <w:rFonts w:ascii="Arial" w:cs="Arial" w:eastAsia="Arial" w:hAnsi="Arial"/>
                <w:sz w:val="14"/>
                <w:szCs w:val="14"/>
                <w:color w:val="1252DE"/>
              </w:rPr>
              <w:t>September 30,</w:t>
            </w:r>
          </w:p>
        </w:tc>
        <w:tc>
          <w:tcPr>
            <w:tcW w:w="400" w:type="dxa"/>
            <w:vAlign w:val="bottom"/>
            <w:tcBorders>
              <w:bottom w:val="single" w:sz="8" w:color="3051F2"/>
            </w:tcBorders>
          </w:tcPr>
          <w:p>
            <w:pPr>
              <w:spacing w:after="0"/>
              <w:rPr>
                <w:sz w:val="16"/>
                <w:szCs w:val="16"/>
                <w:color w:val="auto"/>
              </w:rPr>
            </w:pPr>
          </w:p>
        </w:tc>
        <w:tc>
          <w:tcPr>
            <w:tcW w:w="11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3051F2"/>
            </w:tcBorders>
          </w:tcPr>
          <w:p>
            <w:pPr>
              <w:spacing w:after="0"/>
              <w:rPr>
                <w:sz w:val="16"/>
                <w:szCs w:val="16"/>
                <w:color w:val="auto"/>
              </w:rPr>
            </w:pPr>
          </w:p>
        </w:tc>
        <w:tc>
          <w:tcPr>
            <w:tcW w:w="1220" w:type="dxa"/>
            <w:vAlign w:val="bottom"/>
            <w:tcBorders>
              <w:bottom w:val="single" w:sz="8" w:color="3051F2"/>
            </w:tcBorders>
            <w:gridSpan w:val="2"/>
          </w:tcPr>
          <w:p>
            <w:pPr>
              <w:jc w:val="center"/>
              <w:ind w:left="169"/>
              <w:spacing w:after="0"/>
              <w:rPr>
                <w:sz w:val="20"/>
                <w:szCs w:val="20"/>
                <w:color w:val="auto"/>
              </w:rPr>
            </w:pPr>
            <w:r>
              <w:rPr>
                <w:rFonts w:ascii="Arial" w:cs="Arial" w:eastAsia="Arial" w:hAnsi="Arial"/>
                <w:sz w:val="14"/>
                <w:szCs w:val="14"/>
                <w:color w:val="1252DE"/>
              </w:rPr>
              <w:t>September 30,</w:t>
            </w:r>
          </w:p>
        </w:tc>
        <w:tc>
          <w:tcPr>
            <w:tcW w:w="340" w:type="dxa"/>
            <w:vAlign w:val="bottom"/>
            <w:tcBorders>
              <w:bottom w:val="single" w:sz="8" w:color="3051F2"/>
            </w:tcBorders>
          </w:tcPr>
          <w:p>
            <w:pPr>
              <w:spacing w:after="0"/>
              <w:rPr>
                <w:sz w:val="16"/>
                <w:szCs w:val="16"/>
                <w:color w:val="auto"/>
              </w:rPr>
            </w:pPr>
          </w:p>
        </w:tc>
        <w:tc>
          <w:tcPr>
            <w:tcW w:w="80" w:type="dxa"/>
            <w:vAlign w:val="bottom"/>
            <w:tcBorders>
              <w:bottom w:val="single" w:sz="8" w:color="3051F2"/>
            </w:tcBorders>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60" w:type="dxa"/>
            <w:vAlign w:val="bottom"/>
            <w:tcBorders>
              <w:bottom w:val="single" w:sz="8" w:color="1352DE"/>
            </w:tcBorders>
          </w:tcPr>
          <w:p>
            <w:pPr>
              <w:spacing w:after="0"/>
              <w:rPr>
                <w:sz w:val="16"/>
                <w:szCs w:val="16"/>
                <w:color w:val="auto"/>
              </w:rPr>
            </w:pPr>
          </w:p>
        </w:tc>
        <w:tc>
          <w:tcPr>
            <w:tcW w:w="7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52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Change</w:t>
            </w:r>
          </w:p>
        </w:tc>
        <w:tc>
          <w:tcPr>
            <w:tcW w:w="42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740" w:type="dxa"/>
            <w:vAlign w:val="bottom"/>
            <w:tcBorders>
              <w:bottom w:val="single" w:sz="8" w:color="1352DE"/>
            </w:tcBorders>
          </w:tcPr>
          <w:p>
            <w:pPr>
              <w:jc w:val="right"/>
              <w:ind w:right="29"/>
              <w:spacing w:after="0"/>
              <w:rPr>
                <w:sz w:val="20"/>
                <w:szCs w:val="20"/>
                <w:color w:val="auto"/>
              </w:rPr>
            </w:pPr>
            <w:r>
              <w:rPr>
                <w:rFonts w:ascii="Arial" w:cs="Arial" w:eastAsia="Arial" w:hAnsi="Arial"/>
                <w:sz w:val="14"/>
                <w:szCs w:val="14"/>
                <w:b w:val="1"/>
                <w:bCs w:val="1"/>
                <w:color w:val="1252DE"/>
              </w:rPr>
              <w:t>2026</w:t>
            </w:r>
          </w:p>
        </w:tc>
        <w:tc>
          <w:tcPr>
            <w:tcW w:w="480" w:type="dxa"/>
            <w:vAlign w:val="bottom"/>
            <w:tcBorders>
              <w:bottom w:val="single" w:sz="8" w:color="1352DE"/>
            </w:tcBorders>
          </w:tcPr>
          <w:p>
            <w:pPr>
              <w:spacing w:after="0"/>
              <w:rPr>
                <w:sz w:val="16"/>
                <w:szCs w:val="16"/>
                <w:color w:val="auto"/>
              </w:rPr>
            </w:pPr>
          </w:p>
        </w:tc>
        <w:tc>
          <w:tcPr>
            <w:tcW w:w="420" w:type="dxa"/>
            <w:vAlign w:val="bottom"/>
            <w:tcBorders>
              <w:bottom w:val="single" w:sz="8" w:color="1352DE"/>
            </w:tcBorders>
            <w:gridSpan w:val="2"/>
          </w:tcPr>
          <w:p>
            <w:pPr>
              <w:jc w:val="right"/>
              <w:ind w:right="20"/>
              <w:spacing w:after="0"/>
              <w:rPr>
                <w:sz w:val="20"/>
                <w:szCs w:val="20"/>
                <w:color w:val="auto"/>
              </w:rPr>
            </w:pPr>
            <w:r>
              <w:rPr>
                <w:rFonts w:ascii="Arial" w:cs="Arial" w:eastAsia="Arial" w:hAnsi="Arial"/>
                <w:sz w:val="14"/>
                <w:szCs w:val="14"/>
                <w:color w:val="1252DE"/>
              </w:rPr>
              <w:t>2025</w:t>
            </w:r>
          </w:p>
        </w:tc>
        <w:tc>
          <w:tcPr>
            <w:tcW w:w="10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Change</w:t>
            </w:r>
          </w:p>
        </w:tc>
        <w:tc>
          <w:tcPr>
            <w:tcW w:w="240" w:type="dxa"/>
            <w:vAlign w:val="bottom"/>
            <w:tcBorders>
              <w:bottom w:val="single" w:sz="8" w:color="1352D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Arial" w:cs="Arial" w:eastAsia="Arial" w:hAnsi="Arial"/>
                <w:sz w:val="14"/>
                <w:szCs w:val="14"/>
                <w:b w:val="1"/>
                <w:bCs w:val="1"/>
                <w:color w:val="1252DE"/>
              </w:rPr>
              <w:t>Income before income tax expense</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1,119</w:t>
            </w:r>
          </w:p>
        </w:tc>
        <w:tc>
          <w:tcPr>
            <w:tcW w:w="520" w:type="dxa"/>
            <w:vAlign w:val="bottom"/>
          </w:tcPr>
          <w:p>
            <w:pPr>
              <w:spacing w:after="0"/>
              <w:rPr>
                <w:sz w:val="18"/>
                <w:szCs w:val="18"/>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714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1252DE"/>
              </w:rPr>
              <w:t>3,370</w:t>
            </w:r>
          </w:p>
        </w:tc>
        <w:tc>
          <w:tcPr>
            <w:tcW w:w="4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3,218</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Income tax expense</w:t>
            </w:r>
          </w:p>
        </w:tc>
        <w:tc>
          <w:tcPr>
            <w:tcW w:w="16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270</w:t>
            </w:r>
          </w:p>
        </w:tc>
        <w:tc>
          <w:tcPr>
            <w:tcW w:w="520" w:type="dxa"/>
            <w:vAlign w:val="bottom"/>
            <w:tcBorders>
              <w:bottom w:val="single" w:sz="8" w:color="1352DE"/>
            </w:tcBorders>
          </w:tcPr>
          <w:p>
            <w:pPr>
              <w:spacing w:after="0"/>
              <w:rPr>
                <w:sz w:val="18"/>
                <w:szCs w:val="18"/>
                <w:color w:val="auto"/>
              </w:rPr>
            </w:pPr>
          </w:p>
        </w:tc>
        <w:tc>
          <w:tcPr>
            <w:tcW w:w="4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190</w:t>
            </w: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42</w:t>
            </w:r>
          </w:p>
        </w:tc>
        <w:tc>
          <w:tcPr>
            <w:tcW w:w="420" w:type="dxa"/>
            <w:vAlign w:val="bottom"/>
            <w:tcBorders>
              <w:bottom w:val="single" w:sz="8" w:color="1352DE"/>
            </w:tcBorders>
          </w:tcPr>
          <w:p>
            <w:pPr>
              <w:spacing w:after="0"/>
              <w:rPr>
                <w:sz w:val="18"/>
                <w:szCs w:val="18"/>
                <w:color w:val="auto"/>
              </w:rPr>
            </w:pPr>
          </w:p>
        </w:tc>
        <w:tc>
          <w:tcPr>
            <w:tcW w:w="18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jc w:val="right"/>
              <w:ind w:right="69"/>
              <w:spacing w:after="0"/>
              <w:rPr>
                <w:sz w:val="20"/>
                <w:szCs w:val="20"/>
                <w:color w:val="auto"/>
              </w:rPr>
            </w:pPr>
            <w:r>
              <w:rPr>
                <w:rFonts w:ascii="Arial" w:cs="Arial" w:eastAsia="Arial" w:hAnsi="Arial"/>
                <w:sz w:val="14"/>
                <w:szCs w:val="14"/>
                <w:b w:val="1"/>
                <w:bCs w:val="1"/>
                <w:color w:val="1252DE"/>
              </w:rPr>
              <w:t>810</w:t>
            </w:r>
          </w:p>
        </w:tc>
        <w:tc>
          <w:tcPr>
            <w:tcW w:w="480" w:type="dxa"/>
            <w:vAlign w:val="bottom"/>
            <w:tcBorders>
              <w:bottom w:val="single" w:sz="8" w:color="1352DE"/>
            </w:tcBorders>
          </w:tcPr>
          <w:p>
            <w:pPr>
              <w:spacing w:after="0"/>
              <w:rPr>
                <w:sz w:val="18"/>
                <w:szCs w:val="18"/>
                <w:color w:val="auto"/>
              </w:rPr>
            </w:pPr>
          </w:p>
        </w:tc>
        <w:tc>
          <w:tcPr>
            <w:tcW w:w="420" w:type="dxa"/>
            <w:vAlign w:val="bottom"/>
            <w:tcBorders>
              <w:bottom w:val="single" w:sz="8" w:color="1352DE"/>
            </w:tcBorders>
            <w:gridSpan w:val="2"/>
          </w:tcPr>
          <w:p>
            <w:pPr>
              <w:jc w:val="right"/>
              <w:ind w:right="60"/>
              <w:spacing w:after="0"/>
              <w:rPr>
                <w:sz w:val="20"/>
                <w:szCs w:val="20"/>
                <w:color w:val="auto"/>
              </w:rPr>
            </w:pPr>
            <w:r>
              <w:rPr>
                <w:rFonts w:ascii="Arial" w:cs="Arial" w:eastAsia="Arial" w:hAnsi="Arial"/>
                <w:sz w:val="14"/>
                <w:szCs w:val="14"/>
                <w:color w:val="auto"/>
              </w:rPr>
              <w:t>852</w:t>
            </w:r>
          </w:p>
        </w:tc>
        <w:tc>
          <w:tcPr>
            <w:tcW w:w="10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1352D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Arial" w:cs="Arial" w:eastAsia="Arial" w:hAnsi="Arial"/>
                <w:sz w:val="14"/>
                <w:szCs w:val="14"/>
                <w:b w:val="1"/>
                <w:bCs w:val="1"/>
                <w:color w:val="1252DE"/>
              </w:rPr>
              <w:t>Net income</w:t>
            </w:r>
          </w:p>
        </w:tc>
        <w:tc>
          <w:tcPr>
            <w:tcW w:w="16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1252DE"/>
              </w:rPr>
              <w:t>849</w:t>
            </w:r>
          </w:p>
        </w:tc>
        <w:tc>
          <w:tcPr>
            <w:tcW w:w="520" w:type="dxa"/>
            <w:vAlign w:val="bottom"/>
          </w:tcPr>
          <w:p>
            <w:pPr>
              <w:spacing w:after="0"/>
              <w:rPr>
                <w:sz w:val="18"/>
                <w:szCs w:val="18"/>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524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1252DE"/>
              </w:rPr>
              <w:t>2,560</w:t>
            </w:r>
          </w:p>
        </w:tc>
        <w:tc>
          <w:tcPr>
            <w:tcW w:w="4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2,366</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Less: Net income attributable to noncontrolling interests</w:t>
            </w:r>
          </w:p>
        </w:tc>
        <w:tc>
          <w:tcPr>
            <w:tcW w:w="16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5</w:t>
            </w:r>
          </w:p>
        </w:tc>
        <w:tc>
          <w:tcPr>
            <w:tcW w:w="520" w:type="dxa"/>
            <w:vAlign w:val="bottom"/>
            <w:tcBorders>
              <w:bottom w:val="single" w:sz="8" w:color="1352DE"/>
            </w:tcBorders>
          </w:tcPr>
          <w:p>
            <w:pPr>
              <w:spacing w:after="0"/>
              <w:rPr>
                <w:sz w:val="18"/>
                <w:szCs w:val="18"/>
                <w:color w:val="auto"/>
              </w:rPr>
            </w:pPr>
          </w:p>
        </w:tc>
        <w:tc>
          <w:tcPr>
            <w:tcW w:w="4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w:t>
            </w: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1352DE"/>
            </w:tcBorders>
          </w:tcPr>
          <w:p>
            <w:pPr>
              <w:spacing w:after="0"/>
              <w:rPr>
                <w:sz w:val="18"/>
                <w:szCs w:val="18"/>
                <w:color w:val="auto"/>
              </w:rPr>
            </w:pPr>
          </w:p>
        </w:tc>
        <w:tc>
          <w:tcPr>
            <w:tcW w:w="180" w:type="dxa"/>
            <w:vAlign w:val="bottom"/>
            <w:tcBorders>
              <w:bottom w:val="single" w:sz="8" w:color="1352DE"/>
            </w:tcBorders>
          </w:tcPr>
          <w:p>
            <w:pPr>
              <w:spacing w:after="0"/>
              <w:rPr>
                <w:sz w:val="18"/>
                <w:szCs w:val="18"/>
                <w:color w:val="auto"/>
              </w:rPr>
            </w:pPr>
          </w:p>
        </w:tc>
        <w:tc>
          <w:tcPr>
            <w:tcW w:w="740" w:type="dxa"/>
            <w:vAlign w:val="bottom"/>
            <w:tcBorders>
              <w:bottom w:val="single" w:sz="8" w:color="1352DE"/>
            </w:tcBorders>
          </w:tcPr>
          <w:p>
            <w:pPr>
              <w:jc w:val="right"/>
              <w:ind w:right="69"/>
              <w:spacing w:after="0"/>
              <w:rPr>
                <w:sz w:val="20"/>
                <w:szCs w:val="20"/>
                <w:color w:val="auto"/>
              </w:rPr>
            </w:pPr>
            <w:r>
              <w:rPr>
                <w:rFonts w:ascii="Arial" w:cs="Arial" w:eastAsia="Arial" w:hAnsi="Arial"/>
                <w:sz w:val="14"/>
                <w:szCs w:val="14"/>
                <w:b w:val="1"/>
                <w:bCs w:val="1"/>
                <w:color w:val="1252DE"/>
              </w:rPr>
              <w:t>5</w:t>
            </w:r>
          </w:p>
        </w:tc>
        <w:tc>
          <w:tcPr>
            <w:tcW w:w="480" w:type="dxa"/>
            <w:vAlign w:val="bottom"/>
            <w:tcBorders>
              <w:bottom w:val="single" w:sz="8" w:color="1352DE"/>
            </w:tcBorders>
          </w:tcPr>
          <w:p>
            <w:pPr>
              <w:spacing w:after="0"/>
              <w:rPr>
                <w:sz w:val="18"/>
                <w:szCs w:val="18"/>
                <w:color w:val="auto"/>
              </w:rPr>
            </w:pPr>
          </w:p>
        </w:tc>
        <w:tc>
          <w:tcPr>
            <w:tcW w:w="420" w:type="dxa"/>
            <w:vAlign w:val="bottom"/>
            <w:tcBorders>
              <w:bottom w:val="single" w:sz="8" w:color="1352DE"/>
            </w:tcBorders>
            <w:gridSpan w:val="2"/>
          </w:tcPr>
          <w:p>
            <w:pPr>
              <w:jc w:val="right"/>
              <w:ind w:right="60"/>
              <w:spacing w:after="0"/>
              <w:rPr>
                <w:sz w:val="20"/>
                <w:szCs w:val="20"/>
                <w:color w:val="auto"/>
              </w:rPr>
            </w:pPr>
            <w:r>
              <w:rPr>
                <w:rFonts w:ascii="Arial" w:cs="Arial" w:eastAsia="Arial" w:hAnsi="Arial"/>
                <w:sz w:val="14"/>
                <w:szCs w:val="14"/>
                <w:color w:val="auto"/>
              </w:rPr>
              <w:t>5</w:t>
            </w:r>
          </w:p>
        </w:tc>
        <w:tc>
          <w:tcPr>
            <w:tcW w:w="10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1352D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Net income attributable to AIG common shareholders</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7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844</w:t>
            </w:r>
          </w:p>
        </w:tc>
        <w:tc>
          <w:tcPr>
            <w:tcW w:w="52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519</w:t>
            </w:r>
          </w:p>
        </w:tc>
        <w:tc>
          <w:tcPr>
            <w:tcW w:w="11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63</w:t>
            </w:r>
          </w:p>
        </w:tc>
        <w:tc>
          <w:tcPr>
            <w:tcW w:w="42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w:t>
            </w:r>
          </w:p>
        </w:tc>
        <w:tc>
          <w:tcPr>
            <w:tcW w:w="740" w:type="dxa"/>
            <w:vAlign w:val="bottom"/>
            <w:tcBorders>
              <w:bottom w:val="single" w:sz="8" w:color="1352DE"/>
            </w:tcBorders>
          </w:tcPr>
          <w:p>
            <w:pPr>
              <w:jc w:val="right"/>
              <w:ind w:right="69"/>
              <w:spacing w:after="0"/>
              <w:rPr>
                <w:sz w:val="20"/>
                <w:szCs w:val="20"/>
                <w:color w:val="auto"/>
              </w:rPr>
            </w:pPr>
            <w:r>
              <w:rPr>
                <w:rFonts w:ascii="Arial" w:cs="Arial" w:eastAsia="Arial" w:hAnsi="Arial"/>
                <w:sz w:val="14"/>
                <w:szCs w:val="14"/>
                <w:b w:val="1"/>
                <w:bCs w:val="1"/>
                <w:color w:val="1352DE"/>
              </w:rPr>
              <w:t>2,555</w:t>
            </w:r>
          </w:p>
        </w:tc>
        <w:tc>
          <w:tcPr>
            <w:tcW w:w="48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1352DE"/>
            </w:tcBorders>
            <w:gridSpan w:val="2"/>
          </w:tcPr>
          <w:p>
            <w:pPr>
              <w:jc w:val="right"/>
              <w:ind w:right="60"/>
              <w:spacing w:after="0"/>
              <w:rPr>
                <w:sz w:val="20"/>
                <w:szCs w:val="20"/>
                <w:color w:val="auto"/>
              </w:rPr>
            </w:pPr>
            <w:r>
              <w:rPr>
                <w:rFonts w:ascii="Arial" w:cs="Arial" w:eastAsia="Arial" w:hAnsi="Arial"/>
                <w:sz w:val="14"/>
                <w:szCs w:val="14"/>
                <w:color w:val="auto"/>
                <w:w w:val="96"/>
              </w:rPr>
              <w:t>2,361</w:t>
            </w:r>
          </w:p>
        </w:tc>
        <w:tc>
          <w:tcPr>
            <w:tcW w:w="10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NET INCOME (LOSS) ATTRIBUTABLE TO AIG COMMON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Three Months Ended September 30, 2026 and 2025 Comparison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AIG common shareholders increased $325 million due to the following:</w:t>
      </w:r>
    </w:p>
    <w:p>
      <w:pPr>
        <w:spacing w:after="0" w:line="86" w:lineRule="exact"/>
        <w:rPr>
          <w:sz w:val="20"/>
          <w:szCs w:val="20"/>
          <w:color w:val="auto"/>
        </w:rPr>
      </w:pPr>
    </w:p>
    <w:p>
      <w:pPr>
        <w:ind w:left="220" w:hanging="212"/>
        <w:spacing w:after="0" w:line="301" w:lineRule="auto"/>
        <w:tabs>
          <w:tab w:leader="none" w:pos="21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higher Net investment income of $328 million primarily due to changes in the fair value of AIG's investments of $288 million and higher income from available for sale fixed maturity securities of $73 million, partially offset by lower income on Alternative investments and Mortgage loans of $60 million. </w:t>
      </w:r>
      <w:r>
        <w:rPr>
          <w:rFonts w:ascii="Arial" w:cs="Arial" w:eastAsia="Arial" w:hAnsi="Arial"/>
          <w:sz w:val="16"/>
          <w:szCs w:val="16"/>
          <w:i w:val="1"/>
          <w:iCs w:val="1"/>
          <w:color w:val="auto"/>
        </w:rPr>
        <w:t>For</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information, see Note 5 to the Condensed Consolidated Financial Statements;</w:t>
      </w:r>
    </w:p>
    <w:p>
      <w:pPr>
        <w:spacing w:after="0" w:line="9" w:lineRule="exact"/>
        <w:rPr>
          <w:rFonts w:ascii="Arial" w:cs="Arial" w:eastAsia="Arial" w:hAnsi="Arial"/>
          <w:sz w:val="16"/>
          <w:szCs w:val="16"/>
          <w:color w:val="auto"/>
        </w:rPr>
      </w:pPr>
    </w:p>
    <w:p>
      <w:pPr>
        <w:ind w:left="220" w:right="660" w:hanging="212"/>
        <w:spacing w:after="0" w:line="316" w:lineRule="auto"/>
        <w:tabs>
          <w:tab w:leader="none" w:pos="218" w:val="left"/>
        </w:tabs>
        <w:numPr>
          <w:ilvl w:val="0"/>
          <w:numId w:val="64"/>
        </w:numPr>
        <w:rPr>
          <w:rFonts w:ascii="Arial" w:cs="Arial" w:eastAsia="Arial" w:hAnsi="Arial"/>
          <w:sz w:val="16"/>
          <w:szCs w:val="16"/>
          <w:color w:val="auto"/>
        </w:rPr>
      </w:pPr>
      <w:r>
        <w:rPr>
          <w:rFonts w:ascii="Arial" w:cs="Arial" w:eastAsia="Arial" w:hAnsi="Arial"/>
          <w:sz w:val="16"/>
          <w:szCs w:val="16"/>
          <w:color w:val="auto"/>
        </w:rPr>
        <w:t>lower Net realized losses excluding Fortitude Re funds withheld assets of $264 million primarily due to lower other realized losses as a result of impairment losses on investments in real estate funds of $297 million, partially offset by higher losses on fixed maturity securities of $106 million;</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lower Net realized losses on Fortitude Re funds withheld embedded derivatives of $139 million; and</w:t>
      </w:r>
    </w:p>
    <w:p>
      <w:pPr>
        <w:spacing w:after="0" w:line="86" w:lineRule="exact"/>
        <w:rPr>
          <w:rFonts w:ascii="Arial" w:cs="Arial" w:eastAsia="Arial" w:hAnsi="Arial"/>
          <w:sz w:val="16"/>
          <w:szCs w:val="16"/>
          <w:color w:val="auto"/>
        </w:rPr>
      </w:pPr>
    </w:p>
    <w:p>
      <w:pPr>
        <w:ind w:left="220" w:right="660" w:hanging="212"/>
        <w:spacing w:after="0" w:line="321" w:lineRule="auto"/>
        <w:tabs>
          <w:tab w:leader="none" w:pos="21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lower underwriting income of $229 million primarily driven by higher catastrophe losses of $183 million and lower net favorable prior year reserve development of $89 million. </w:t>
      </w:r>
      <w:r>
        <w:rPr>
          <w:rFonts w:ascii="Arial" w:cs="Arial" w:eastAsia="Arial" w:hAnsi="Arial"/>
          <w:sz w:val="16"/>
          <w:szCs w:val="16"/>
          <w:i w:val="1"/>
          <w:iCs w:val="1"/>
          <w:color w:val="auto"/>
        </w:rPr>
        <w:t>For additional information, see Business Segment Operations – General Insurance.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Nine Months Ended September 30, 2026 and 2025 Comparison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AIG common shareholders increased $194 million primarily driven by:</w:t>
      </w:r>
    </w:p>
    <w:p>
      <w:pPr>
        <w:spacing w:after="0" w:line="86" w:lineRule="exact"/>
        <w:rPr>
          <w:sz w:val="20"/>
          <w:szCs w:val="20"/>
          <w:color w:val="auto"/>
        </w:rPr>
      </w:pPr>
    </w:p>
    <w:p>
      <w:pPr>
        <w:jc w:val="both"/>
        <w:ind w:left="220" w:right="260" w:hanging="212"/>
        <w:spacing w:after="0" w:line="301" w:lineRule="auto"/>
        <w:tabs>
          <w:tab w:leader="none" w:pos="2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higher underwriting income of $362 million primarily driven by higher premiums earned from strategic transactions, reinsurance program changes and organic growth across Commercial Lines and Personal Insurance, lower catastrophe losses of $122 million and higher net favorable prior year reserve development of $12 million. </w:t>
      </w:r>
      <w:r>
        <w:rPr>
          <w:rFonts w:ascii="Arial" w:cs="Arial" w:eastAsia="Arial" w:hAnsi="Arial"/>
          <w:sz w:val="16"/>
          <w:szCs w:val="16"/>
          <w:i w:val="1"/>
          <w:iCs w:val="1"/>
          <w:color w:val="auto"/>
        </w:rPr>
        <w:t>For additional information, see Business Segment Operations – General Insurance.</w:t>
      </w:r>
    </w:p>
    <w:p>
      <w:pPr>
        <w:spacing w:after="0" w:line="9" w:lineRule="exact"/>
        <w:rPr>
          <w:rFonts w:ascii="Arial" w:cs="Arial" w:eastAsia="Arial" w:hAnsi="Arial"/>
          <w:sz w:val="16"/>
          <w:szCs w:val="16"/>
          <w:color w:val="auto"/>
        </w:rPr>
      </w:pPr>
    </w:p>
    <w:p>
      <w:pPr>
        <w:ind w:left="220" w:right="740" w:hanging="212"/>
        <w:spacing w:after="0" w:line="301" w:lineRule="auto"/>
        <w:tabs>
          <w:tab w:leader="none" w:pos="2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lower Net investment income of $404 million primarily due to changes in the fair value of AIG's investments of $456 million and lower income on Alternative investments and Mortgage loans of $161 million, partially offset by higher income from available for sale fixed maturity securities of $205 million. </w:t>
      </w:r>
      <w:r>
        <w:rPr>
          <w:rFonts w:ascii="Arial" w:cs="Arial" w:eastAsia="Arial" w:hAnsi="Arial"/>
          <w:sz w:val="16"/>
          <w:szCs w:val="16"/>
          <w:i w:val="1"/>
          <w:iCs w:val="1"/>
          <w:color w:val="auto"/>
        </w:rPr>
        <w:t>For additional information, see Note 5 to the Condensed Consolidated Financial Statements.</w:t>
      </w:r>
    </w:p>
    <w:p>
      <w:pPr>
        <w:spacing w:after="0" w:line="9" w:lineRule="exact"/>
        <w:rPr>
          <w:rFonts w:ascii="Arial" w:cs="Arial" w:eastAsia="Arial" w:hAnsi="Arial"/>
          <w:sz w:val="16"/>
          <w:szCs w:val="16"/>
          <w:color w:val="auto"/>
        </w:rPr>
      </w:pPr>
    </w:p>
    <w:p>
      <w:pPr>
        <w:ind w:left="220" w:hanging="212"/>
        <w:spacing w:after="0"/>
        <w:tabs>
          <w:tab w:leader="none" w:pos="2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lower Net realized losses on Fortitude Re funds withheld embedded derivatives of $153 million; and</w:t>
      </w:r>
    </w:p>
    <w:p>
      <w:pPr>
        <w:spacing w:after="0" w:line="86" w:lineRule="exact"/>
        <w:rPr>
          <w:rFonts w:ascii="Arial" w:cs="Arial" w:eastAsia="Arial" w:hAnsi="Arial"/>
          <w:sz w:val="16"/>
          <w:szCs w:val="16"/>
          <w:color w:val="auto"/>
        </w:rPr>
      </w:pPr>
    </w:p>
    <w:p>
      <w:pPr>
        <w:ind w:left="220" w:right="780" w:hanging="212"/>
        <w:spacing w:after="0" w:line="321" w:lineRule="auto"/>
        <w:tabs>
          <w:tab w:leader="none" w:pos="2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lower Net realized losses excluding Fortitude Re funds withheld assets of $176 million primarily due to lower other realized losses as a result of impairment losses on investments in real estate funds of $167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234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7"/>
          <w:szCs w:val="27"/>
          <w:color w:val="001871"/>
        </w:rPr>
        <w:t>Business Segment Operations</w:t>
      </w:r>
    </w:p>
    <w:p>
      <w:pPr>
        <w:spacing w:after="0" w:line="216"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We report the results of our businesses through three segments and Other Operations. The three segments are North America Commercial, International Commercial and Global Personal. Other Operations predominantly consists of Net Investment Income from our AIG Parent liquidity portfolio, Corebridge dividend income, corporate General operating expenses, and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4771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760" w:hanging="734"/>
        <w:spacing w:after="0"/>
        <w:tabs>
          <w:tab w:leader="none" w:pos="760" w:val="left"/>
        </w:tabs>
        <w:numPr>
          <w:ilvl w:val="0"/>
          <w:numId w:val="66"/>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Business Segment Operations</w:t>
      </w:r>
      <w:r>
        <w:rPr>
          <w:rFonts w:ascii="Arial" w:cs="Arial" w:eastAsia="Arial" w:hAnsi="Arial"/>
          <w:sz w:val="13"/>
          <w:szCs w:val="13"/>
          <w:color w:val="333740"/>
        </w:rPr>
        <w:t xml:space="preserve"> | </w:t>
      </w:r>
      <w:r>
        <w:rPr>
          <w:rFonts w:ascii="Arial" w:cs="Arial" w:eastAsia="Arial" w:hAnsi="Arial"/>
          <w:sz w:val="13"/>
          <w:szCs w:val="13"/>
          <w:b w:val="1"/>
          <w:bCs w:val="1"/>
          <w:color w:val="001871"/>
        </w:rPr>
        <w:t>General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23430" cy="43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23430" cy="4318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27"/>
          <w:szCs w:val="27"/>
          <w:color w:val="001770"/>
        </w:rPr>
        <w:t>General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234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17"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General Insurance consists of our three segments and the Net investment income and Amortization of intangible assets including renewal rights related to our insurance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234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8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1871"/>
        </w:rPr>
        <w:t>GENERAL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234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Borders>
              <w:top w:val="single" w:sz="8" w:color="3051F2"/>
            </w:tcBorders>
          </w:tcPr>
          <w:p>
            <w:pPr>
              <w:spacing w:after="0"/>
              <w:rPr>
                <w:sz w:val="14"/>
                <w:szCs w:val="14"/>
                <w:color w:val="auto"/>
              </w:rPr>
            </w:pPr>
          </w:p>
        </w:tc>
        <w:tc>
          <w:tcPr>
            <w:tcW w:w="240" w:type="dxa"/>
            <w:vAlign w:val="bottom"/>
            <w:tcBorders>
              <w:top w:val="single" w:sz="8" w:color="3051F2"/>
            </w:tcBorders>
          </w:tcPr>
          <w:p>
            <w:pPr>
              <w:spacing w:after="0"/>
              <w:rPr>
                <w:sz w:val="14"/>
                <w:szCs w:val="14"/>
                <w:color w:val="auto"/>
              </w:rPr>
            </w:pPr>
          </w:p>
        </w:tc>
        <w:tc>
          <w:tcPr>
            <w:tcW w:w="1820" w:type="dxa"/>
            <w:vAlign w:val="bottom"/>
            <w:tcBorders>
              <w:top w:val="single" w:sz="8" w:color="3051F2"/>
            </w:tcBorders>
            <w:gridSpan w:val="3"/>
          </w:tcPr>
          <w:p>
            <w:pPr>
              <w:jc w:val="right"/>
              <w:ind w:right="244"/>
              <w:spacing w:after="0" w:line="162" w:lineRule="exact"/>
              <w:rPr>
                <w:sz w:val="20"/>
                <w:szCs w:val="20"/>
                <w:color w:val="auto"/>
              </w:rPr>
            </w:pPr>
            <w:r>
              <w:rPr>
                <w:rFonts w:ascii="Arial" w:cs="Arial" w:eastAsia="Arial" w:hAnsi="Arial"/>
                <w:sz w:val="15"/>
                <w:szCs w:val="15"/>
                <w:color w:val="1352DE"/>
              </w:rPr>
              <w:t>Three Months Ended</w:t>
            </w:r>
          </w:p>
        </w:tc>
        <w:tc>
          <w:tcPr>
            <w:tcW w:w="860" w:type="dxa"/>
            <w:vAlign w:val="bottom"/>
            <w:tcBorders>
              <w:top w:val="single" w:sz="8" w:color="3051F2"/>
            </w:tcBorders>
          </w:tcPr>
          <w:p>
            <w:pPr>
              <w:spacing w:after="0"/>
              <w:rPr>
                <w:sz w:val="14"/>
                <w:szCs w:val="14"/>
                <w:color w:val="auto"/>
              </w:rPr>
            </w:pPr>
          </w:p>
        </w:tc>
        <w:tc>
          <w:tcPr>
            <w:tcW w:w="340" w:type="dxa"/>
            <w:vAlign w:val="bottom"/>
            <w:tcBorders>
              <w:top w:val="single" w:sz="8" w:color="3051F2"/>
            </w:tcBorders>
          </w:tcPr>
          <w:p>
            <w:pPr>
              <w:spacing w:after="0"/>
              <w:rPr>
                <w:sz w:val="14"/>
                <w:szCs w:val="14"/>
                <w:color w:val="auto"/>
              </w:rPr>
            </w:pPr>
          </w:p>
        </w:tc>
        <w:tc>
          <w:tcPr>
            <w:tcW w:w="280" w:type="dxa"/>
            <w:vAlign w:val="bottom"/>
            <w:tcBorders>
              <w:top w:val="single" w:sz="8" w:color="3051F2"/>
            </w:tcBorders>
          </w:tcPr>
          <w:p>
            <w:pPr>
              <w:spacing w:after="0"/>
              <w:rPr>
                <w:sz w:val="14"/>
                <w:szCs w:val="14"/>
                <w:color w:val="auto"/>
              </w:rPr>
            </w:pPr>
          </w:p>
        </w:tc>
        <w:tc>
          <w:tcPr>
            <w:tcW w:w="1800" w:type="dxa"/>
            <w:vAlign w:val="bottom"/>
            <w:tcBorders>
              <w:top w:val="single" w:sz="8" w:color="3051F2"/>
            </w:tcBorders>
            <w:gridSpan w:val="3"/>
          </w:tcPr>
          <w:p>
            <w:pPr>
              <w:jc w:val="right"/>
              <w:ind w:right="284"/>
              <w:spacing w:after="0" w:line="162" w:lineRule="exact"/>
              <w:rPr>
                <w:sz w:val="20"/>
                <w:szCs w:val="20"/>
                <w:color w:val="auto"/>
              </w:rPr>
            </w:pPr>
            <w:r>
              <w:rPr>
                <w:rFonts w:ascii="Arial" w:cs="Arial" w:eastAsia="Arial" w:hAnsi="Arial"/>
                <w:sz w:val="15"/>
                <w:szCs w:val="15"/>
                <w:color w:val="1252DE"/>
              </w:rPr>
              <w:t>Nine Months Ended</w:t>
            </w:r>
          </w:p>
        </w:tc>
        <w:tc>
          <w:tcPr>
            <w:tcW w:w="820" w:type="dxa"/>
            <w:vAlign w:val="bottom"/>
            <w:tcBorders>
              <w:top w:val="single" w:sz="8" w:color="3051F2"/>
            </w:tcBorders>
          </w:tcPr>
          <w:p>
            <w:pPr>
              <w:spacing w:after="0"/>
              <w:rPr>
                <w:sz w:val="14"/>
                <w:szCs w:val="14"/>
                <w:color w:val="auto"/>
              </w:rPr>
            </w:pPr>
          </w:p>
        </w:tc>
        <w:tc>
          <w:tcPr>
            <w:tcW w:w="240" w:type="dxa"/>
            <w:vAlign w:val="bottom"/>
            <w:tcBorders>
              <w:top w:val="single" w:sz="8" w:color="3051F2"/>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240" w:type="dxa"/>
            <w:vAlign w:val="bottom"/>
            <w:tcBorders>
              <w:bottom w:val="single" w:sz="8" w:color="1352DE"/>
            </w:tcBorders>
          </w:tcPr>
          <w:p>
            <w:pPr>
              <w:spacing w:after="0"/>
              <w:rPr>
                <w:sz w:val="18"/>
                <w:szCs w:val="18"/>
                <w:color w:val="auto"/>
              </w:rPr>
            </w:pPr>
          </w:p>
        </w:tc>
        <w:tc>
          <w:tcPr>
            <w:tcW w:w="1320" w:type="dxa"/>
            <w:vAlign w:val="bottom"/>
            <w:tcBorders>
              <w:bottom w:val="single" w:sz="8" w:color="1352DE"/>
            </w:tcBorders>
            <w:gridSpan w:val="2"/>
          </w:tcPr>
          <w:p>
            <w:pPr>
              <w:jc w:val="right"/>
              <w:spacing w:after="0"/>
              <w:rPr>
                <w:sz w:val="20"/>
                <w:szCs w:val="20"/>
                <w:color w:val="auto"/>
              </w:rPr>
            </w:pPr>
            <w:r>
              <w:rPr>
                <w:rFonts w:ascii="Arial" w:cs="Arial" w:eastAsia="Arial" w:hAnsi="Arial"/>
                <w:sz w:val="15"/>
                <w:szCs w:val="15"/>
                <w:color w:val="1352DE"/>
              </w:rPr>
              <w:t>September 30,</w:t>
            </w:r>
          </w:p>
        </w:tc>
        <w:tc>
          <w:tcPr>
            <w:tcW w:w="500" w:type="dxa"/>
            <w:vAlign w:val="bottom"/>
            <w:tcBorders>
              <w:bottom w:val="single" w:sz="8" w:color="1352DE"/>
            </w:tcBorders>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1352DE"/>
            </w:tcBorders>
          </w:tcPr>
          <w:p>
            <w:pPr>
              <w:spacing w:after="0"/>
              <w:rPr>
                <w:sz w:val="18"/>
                <w:szCs w:val="18"/>
                <w:color w:val="auto"/>
              </w:rPr>
            </w:pPr>
          </w:p>
        </w:tc>
        <w:tc>
          <w:tcPr>
            <w:tcW w:w="1260" w:type="dxa"/>
            <w:vAlign w:val="bottom"/>
            <w:tcBorders>
              <w:bottom w:val="single" w:sz="8" w:color="1352DE"/>
            </w:tcBorders>
            <w:gridSpan w:val="2"/>
          </w:tcPr>
          <w:p>
            <w:pPr>
              <w:jc w:val="right"/>
              <w:spacing w:after="0"/>
              <w:rPr>
                <w:sz w:val="20"/>
                <w:szCs w:val="20"/>
                <w:color w:val="auto"/>
              </w:rPr>
            </w:pPr>
            <w:r>
              <w:rPr>
                <w:rFonts w:ascii="Arial" w:cs="Arial" w:eastAsia="Arial" w:hAnsi="Arial"/>
                <w:sz w:val="15"/>
                <w:szCs w:val="15"/>
                <w:color w:val="1252DE"/>
              </w:rPr>
              <w:t>September 30,</w:t>
            </w:r>
          </w:p>
        </w:tc>
        <w:tc>
          <w:tcPr>
            <w:tcW w:w="540" w:type="dxa"/>
            <w:vAlign w:val="bottom"/>
            <w:tcBorders>
              <w:bottom w:val="single" w:sz="8" w:color="1352DE"/>
            </w:tcBorders>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352DE"/>
              </w:rPr>
              <w:t>(in millions)</w:t>
            </w:r>
          </w:p>
        </w:tc>
        <w:tc>
          <w:tcPr>
            <w:tcW w:w="24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2026</w:t>
            </w:r>
          </w:p>
        </w:tc>
        <w:tc>
          <w:tcPr>
            <w:tcW w:w="500" w:type="dxa"/>
            <w:vAlign w:val="bottom"/>
            <w:tcBorders>
              <w:bottom w:val="single" w:sz="8" w:color="1352DE"/>
            </w:tcBorders>
          </w:tcPr>
          <w:p>
            <w:pPr>
              <w:spacing w:after="0"/>
              <w:rPr>
                <w:sz w:val="18"/>
                <w:szCs w:val="18"/>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352DE"/>
              </w:rPr>
              <w:t>2025</w:t>
            </w: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352DE"/>
              </w:rPr>
              <w:t>Change</w:t>
            </w:r>
          </w:p>
        </w:tc>
        <w:tc>
          <w:tcPr>
            <w:tcW w:w="340" w:type="dxa"/>
            <w:vAlign w:val="bottom"/>
            <w:tcBorders>
              <w:bottom w:val="single" w:sz="8" w:color="1352DE"/>
            </w:tcBorders>
          </w:tcPr>
          <w:p>
            <w:pPr>
              <w:spacing w:after="0"/>
              <w:rPr>
                <w:sz w:val="18"/>
                <w:szCs w:val="18"/>
                <w:color w:val="auto"/>
              </w:rPr>
            </w:pPr>
          </w:p>
        </w:tc>
        <w:tc>
          <w:tcPr>
            <w:tcW w:w="28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2026</w:t>
            </w:r>
          </w:p>
        </w:tc>
        <w:tc>
          <w:tcPr>
            <w:tcW w:w="46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352DE"/>
              </w:rPr>
              <w:t>2025</w:t>
            </w: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352DE"/>
              </w:rPr>
              <w:t>Change</w:t>
            </w:r>
          </w:p>
        </w:tc>
        <w:tc>
          <w:tcPr>
            <w:tcW w:w="24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820" w:type="dxa"/>
            <w:vAlign w:val="bottom"/>
          </w:tcPr>
          <w:p>
            <w:pPr>
              <w:ind w:left="20"/>
              <w:spacing w:after="0"/>
              <w:rPr>
                <w:sz w:val="20"/>
                <w:szCs w:val="20"/>
                <w:color w:val="auto"/>
              </w:rPr>
            </w:pPr>
            <w:r>
              <w:rPr>
                <w:rFonts w:ascii="Arial" w:cs="Arial" w:eastAsia="Arial" w:hAnsi="Arial"/>
                <w:sz w:val="15"/>
                <w:szCs w:val="15"/>
                <w:b w:val="1"/>
                <w:bCs w:val="1"/>
                <w:color w:val="1352DE"/>
              </w:rPr>
              <w:t>Underwriting results:</w:t>
            </w:r>
          </w:p>
        </w:tc>
        <w:tc>
          <w:tcPr>
            <w:tcW w:w="240" w:type="dxa"/>
            <w:vAlign w:val="bottom"/>
            <w:vMerge w:val="restart"/>
          </w:tcPr>
          <w:p>
            <w:pPr>
              <w:jc w:val="right"/>
              <w:spacing w:after="0"/>
              <w:rPr>
                <w:sz w:val="20"/>
                <w:szCs w:val="20"/>
                <w:color w:val="auto"/>
              </w:rPr>
            </w:pPr>
            <w:r>
              <w:rPr>
                <w:rFonts w:ascii="Arial" w:cs="Arial" w:eastAsia="Arial" w:hAnsi="Arial"/>
                <w:sz w:val="15"/>
                <w:szCs w:val="15"/>
                <w:b w:val="1"/>
                <w:bCs w:val="1"/>
                <w:color w:val="1252DE"/>
              </w:rPr>
              <w:t>$</w:t>
            </w: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252DE"/>
              </w:rPr>
              <w:t>6,651</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w:t>
            </w:r>
          </w:p>
        </w:tc>
        <w:tc>
          <w:tcPr>
            <w:tcW w:w="8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19,766</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20" w:type="dxa"/>
            <w:vAlign w:val="bottom"/>
          </w:tcPr>
          <w:p>
            <w:pPr>
              <w:ind w:left="140"/>
              <w:spacing w:after="0"/>
              <w:rPr>
                <w:sz w:val="20"/>
                <w:szCs w:val="20"/>
                <w:color w:val="auto"/>
              </w:rPr>
            </w:pPr>
            <w:r>
              <w:rPr>
                <w:rFonts w:ascii="Arial" w:cs="Arial" w:eastAsia="Arial" w:hAnsi="Arial"/>
                <w:sz w:val="15"/>
                <w:szCs w:val="15"/>
                <w:color w:val="auto"/>
              </w:rPr>
              <w:t>Net premiums written</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5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6,230</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7</w:t>
            </w:r>
          </w:p>
        </w:tc>
        <w:tc>
          <w:tcPr>
            <w:tcW w:w="3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17,636</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240" w:type="dxa"/>
            <w:vAlign w:val="bottom"/>
          </w:tcPr>
          <w:p>
            <w:pPr>
              <w:jc w:val="right"/>
              <w:ind w:right="24"/>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22"/>
        </w:trPr>
        <w:tc>
          <w:tcPr>
            <w:tcW w:w="4820" w:type="dxa"/>
            <w:vAlign w:val="bottom"/>
          </w:tcPr>
          <w:p>
            <w:pPr>
              <w:ind w:left="140"/>
              <w:spacing w:after="0"/>
              <w:rPr>
                <w:sz w:val="20"/>
                <w:szCs w:val="20"/>
                <w:color w:val="auto"/>
              </w:rPr>
            </w:pPr>
            <w:r>
              <w:rPr>
                <w:rFonts w:ascii="Arial" w:cs="Arial" w:eastAsia="Arial" w:hAnsi="Arial"/>
                <w:sz w:val="15"/>
                <w:szCs w:val="15"/>
                <w:color w:val="auto"/>
              </w:rPr>
              <w:t>Net premiums written, on constant dollar basis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2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(Increase) decrease in unearned premiums</w:t>
            </w:r>
          </w:p>
        </w:tc>
        <w:tc>
          <w:tcPr>
            <w:tcW w:w="240" w:type="dxa"/>
            <w:vAlign w:val="bottom"/>
            <w:tcBorders>
              <w:bottom w:val="single" w:sz="8" w:color="1352DE"/>
            </w:tcBorders>
          </w:tcPr>
          <w:p>
            <w:pPr>
              <w:spacing w:after="0"/>
              <w:rPr>
                <w:sz w:val="19"/>
                <w:szCs w:val="19"/>
                <w:color w:val="auto"/>
              </w:rPr>
            </w:pP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(216)</w:t>
            </w:r>
          </w:p>
        </w:tc>
        <w:tc>
          <w:tcPr>
            <w:tcW w:w="500" w:type="dxa"/>
            <w:vAlign w:val="bottom"/>
            <w:tcBorders>
              <w:bottom w:val="single" w:sz="8" w:color="1352DE"/>
            </w:tcBorders>
          </w:tcPr>
          <w:p>
            <w:pPr>
              <w:spacing w:after="0"/>
              <w:rPr>
                <w:sz w:val="19"/>
                <w:szCs w:val="19"/>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(190)</w:t>
            </w:r>
          </w:p>
        </w:tc>
        <w:tc>
          <w:tcPr>
            <w:tcW w:w="8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(14)</w:t>
            </w:r>
          </w:p>
        </w:tc>
        <w:tc>
          <w:tcPr>
            <w:tcW w:w="340" w:type="dxa"/>
            <w:vAlign w:val="bottom"/>
            <w:tcBorders>
              <w:bottom w:val="single" w:sz="8" w:color="1352DE"/>
            </w:tcBorders>
          </w:tcPr>
          <w:p>
            <w:pPr>
              <w:spacing w:after="0"/>
              <w:rPr>
                <w:sz w:val="19"/>
                <w:szCs w:val="19"/>
                <w:color w:val="auto"/>
              </w:rPr>
            </w:pPr>
          </w:p>
        </w:tc>
        <w:tc>
          <w:tcPr>
            <w:tcW w:w="280" w:type="dxa"/>
            <w:vAlign w:val="bottom"/>
            <w:tcBorders>
              <w:bottom w:val="single" w:sz="8" w:color="1352DE"/>
            </w:tcBorders>
          </w:tcPr>
          <w:p>
            <w:pPr>
              <w:spacing w:after="0"/>
              <w:rPr>
                <w:sz w:val="19"/>
                <w:szCs w:val="19"/>
                <w:color w:val="auto"/>
              </w:rPr>
            </w:pP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(1,083)</w:t>
            </w:r>
          </w:p>
        </w:tc>
        <w:tc>
          <w:tcPr>
            <w:tcW w:w="460" w:type="dxa"/>
            <w:vAlign w:val="bottom"/>
            <w:tcBorders>
              <w:bottom w:val="single" w:sz="8" w:color="1352DE"/>
            </w:tcBorders>
          </w:tcPr>
          <w:p>
            <w:pPr>
              <w:spacing w:after="0"/>
              <w:rPr>
                <w:sz w:val="19"/>
                <w:szCs w:val="19"/>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51</w:t>
            </w: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NM</w:t>
            </w:r>
          </w:p>
        </w:tc>
        <w:tc>
          <w:tcPr>
            <w:tcW w:w="240" w:type="dxa"/>
            <w:vAlign w:val="bottom"/>
            <w:tcBorders>
              <w:bottom w:val="single" w:sz="8" w:color="1352DE"/>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140"/>
              <w:spacing w:after="0"/>
              <w:rPr>
                <w:sz w:val="20"/>
                <w:szCs w:val="20"/>
                <w:color w:val="auto"/>
              </w:rPr>
            </w:pPr>
            <w:r>
              <w:rPr>
                <w:rFonts w:ascii="Arial" w:cs="Arial" w:eastAsia="Arial" w:hAnsi="Arial"/>
                <w:sz w:val="15"/>
                <w:szCs w:val="15"/>
                <w:b w:val="1"/>
                <w:bCs w:val="1"/>
                <w:color w:val="1352DE"/>
              </w:rPr>
              <w:t>Net premiums earned</w:t>
            </w:r>
          </w:p>
        </w:tc>
        <w:tc>
          <w:tcPr>
            <w:tcW w:w="240" w:type="dxa"/>
            <w:vAlign w:val="bottom"/>
          </w:tcPr>
          <w:p>
            <w:pPr>
              <w:spacing w:after="0"/>
              <w:rPr>
                <w:sz w:val="16"/>
                <w:szCs w:val="16"/>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1252DE"/>
              </w:rPr>
              <w:t>6,435</w:t>
            </w:r>
          </w:p>
        </w:tc>
        <w:tc>
          <w:tcPr>
            <w:tcW w:w="5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6,040</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1352DE"/>
              </w:rPr>
              <w:t>18,683</w:t>
            </w:r>
          </w:p>
        </w:tc>
        <w:tc>
          <w:tcPr>
            <w:tcW w:w="4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17,687</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20" w:type="dxa"/>
            <w:vAlign w:val="bottom"/>
          </w:tcPr>
          <w:p>
            <w:pPr>
              <w:ind w:left="140"/>
              <w:spacing w:after="0" w:line="204" w:lineRule="exact"/>
              <w:rPr>
                <w:sz w:val="20"/>
                <w:szCs w:val="20"/>
                <w:color w:val="auto"/>
              </w:rPr>
            </w:pPr>
            <w:r>
              <w:rPr>
                <w:rFonts w:ascii="Arial" w:cs="Arial" w:eastAsia="Arial" w:hAnsi="Arial"/>
                <w:sz w:val="15"/>
                <w:szCs w:val="15"/>
                <w:color w:val="auto"/>
              </w:rPr>
              <w:t>Losses and loss adjustment expenses incurred</w:t>
            </w:r>
            <w:r>
              <w:rPr>
                <w:rFonts w:ascii="Arial" w:cs="Arial" w:eastAsia="Arial" w:hAnsi="Arial"/>
                <w:sz w:val="19"/>
                <w:szCs w:val="19"/>
                <w:color w:val="auto"/>
                <w:vertAlign w:val="superscript"/>
              </w:rPr>
              <w:t>(a)</w:t>
            </w:r>
          </w:p>
        </w:tc>
        <w:tc>
          <w:tcPr>
            <w:tcW w:w="240" w:type="dxa"/>
            <w:vAlign w:val="bottom"/>
          </w:tcPr>
          <w:p>
            <w:pPr>
              <w:spacing w:after="0"/>
              <w:rPr>
                <w:sz w:val="17"/>
                <w:szCs w:val="17"/>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1252DE"/>
              </w:rPr>
              <w:t>3,903</w:t>
            </w: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3,379</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1352DE"/>
              </w:rPr>
              <w:t>11,017</w:t>
            </w: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10,573</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20" w:type="dxa"/>
            <w:vAlign w:val="bottom"/>
          </w:tcPr>
          <w:p>
            <w:pPr>
              <w:ind w:left="140"/>
              <w:spacing w:after="0"/>
              <w:rPr>
                <w:sz w:val="20"/>
                <w:szCs w:val="20"/>
                <w:color w:val="auto"/>
              </w:rPr>
            </w:pPr>
            <w:r>
              <w:rPr>
                <w:rFonts w:ascii="Arial" w:cs="Arial" w:eastAsia="Arial" w:hAnsi="Arial"/>
                <w:sz w:val="15"/>
                <w:szCs w:val="15"/>
                <w:color w:val="auto"/>
              </w:rPr>
              <w:t>Acquisition expenses: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Arial" w:cs="Arial" w:eastAsia="Arial" w:hAnsi="Arial"/>
                <w:sz w:val="15"/>
                <w:szCs w:val="15"/>
                <w:color w:val="auto"/>
              </w:rPr>
              <w:t>Amortization of deferred policy acquisition costs</w:t>
            </w:r>
          </w:p>
        </w:tc>
        <w:tc>
          <w:tcPr>
            <w:tcW w:w="240" w:type="dxa"/>
            <w:vAlign w:val="bottom"/>
          </w:tcPr>
          <w:p>
            <w:pPr>
              <w:spacing w:after="0"/>
              <w:rPr>
                <w:sz w:val="17"/>
                <w:szCs w:val="17"/>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1252DE"/>
              </w:rPr>
              <w:t>928</w:t>
            </w: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851</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1352DE"/>
              </w:rPr>
              <w:t>2,640</w:t>
            </w: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2,522</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20" w:type="dxa"/>
            <w:vAlign w:val="bottom"/>
            <w:tcBorders>
              <w:bottom w:val="single" w:sz="8" w:color="1352DE"/>
            </w:tcBorders>
          </w:tcPr>
          <w:p>
            <w:pPr>
              <w:ind w:left="240"/>
              <w:spacing w:after="0"/>
              <w:rPr>
                <w:sz w:val="20"/>
                <w:szCs w:val="20"/>
                <w:color w:val="auto"/>
              </w:rPr>
            </w:pPr>
            <w:r>
              <w:rPr>
                <w:rFonts w:ascii="Arial" w:cs="Arial" w:eastAsia="Arial" w:hAnsi="Arial"/>
                <w:sz w:val="15"/>
                <w:szCs w:val="15"/>
                <w:color w:val="auto"/>
              </w:rPr>
              <w:t>Other acquisition expenses</w:t>
            </w:r>
          </w:p>
        </w:tc>
        <w:tc>
          <w:tcPr>
            <w:tcW w:w="24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242</w:t>
            </w:r>
          </w:p>
        </w:tc>
        <w:tc>
          <w:tcPr>
            <w:tcW w:w="500" w:type="dxa"/>
            <w:vAlign w:val="bottom"/>
            <w:tcBorders>
              <w:bottom w:val="single" w:sz="8" w:color="1352DE"/>
            </w:tcBorders>
          </w:tcPr>
          <w:p>
            <w:pPr>
              <w:spacing w:after="0"/>
              <w:rPr>
                <w:sz w:val="18"/>
                <w:szCs w:val="18"/>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237</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color w:val="auto"/>
              </w:rPr>
              <w:t>2</w:t>
            </w:r>
          </w:p>
        </w:tc>
        <w:tc>
          <w:tcPr>
            <w:tcW w:w="340" w:type="dxa"/>
            <w:vAlign w:val="bottom"/>
            <w:tcBorders>
              <w:bottom w:val="single" w:sz="8" w:color="1352DE"/>
            </w:tcBorders>
          </w:tcPr>
          <w:p>
            <w:pPr>
              <w:spacing w:after="0"/>
              <w:rPr>
                <w:sz w:val="18"/>
                <w:szCs w:val="18"/>
                <w:color w:val="auto"/>
              </w:rPr>
            </w:pPr>
          </w:p>
        </w:tc>
        <w:tc>
          <w:tcPr>
            <w:tcW w:w="28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695</w:t>
            </w:r>
          </w:p>
        </w:tc>
        <w:tc>
          <w:tcPr>
            <w:tcW w:w="46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670</w:t>
            </w:r>
          </w:p>
        </w:tc>
        <w:tc>
          <w:tcPr>
            <w:tcW w:w="8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4</w:t>
            </w:r>
          </w:p>
        </w:tc>
        <w:tc>
          <w:tcPr>
            <w:tcW w:w="24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140"/>
              <w:spacing w:after="0"/>
              <w:rPr>
                <w:sz w:val="20"/>
                <w:szCs w:val="20"/>
                <w:color w:val="auto"/>
              </w:rPr>
            </w:pPr>
            <w:r>
              <w:rPr>
                <w:rFonts w:ascii="Arial" w:cs="Arial" w:eastAsia="Arial" w:hAnsi="Arial"/>
                <w:sz w:val="15"/>
                <w:szCs w:val="15"/>
                <w:b w:val="1"/>
                <w:bCs w:val="1"/>
                <w:color w:val="1352DE"/>
              </w:rPr>
              <w:t>Total acquisition expenses</w:t>
            </w:r>
          </w:p>
        </w:tc>
        <w:tc>
          <w:tcPr>
            <w:tcW w:w="240" w:type="dxa"/>
            <w:vAlign w:val="bottom"/>
          </w:tcPr>
          <w:p>
            <w:pPr>
              <w:spacing w:after="0"/>
              <w:rPr>
                <w:sz w:val="16"/>
                <w:szCs w:val="16"/>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1252DE"/>
              </w:rPr>
              <w:t>1,170</w:t>
            </w:r>
          </w:p>
        </w:tc>
        <w:tc>
          <w:tcPr>
            <w:tcW w:w="5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1,088</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1352DE"/>
              </w:rPr>
              <w:t>3,335</w:t>
            </w:r>
          </w:p>
        </w:tc>
        <w:tc>
          <w:tcPr>
            <w:tcW w:w="4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3,192</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2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General operating expenses</w:t>
            </w:r>
          </w:p>
        </w:tc>
        <w:tc>
          <w:tcPr>
            <w:tcW w:w="24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798</w:t>
            </w:r>
          </w:p>
        </w:tc>
        <w:tc>
          <w:tcPr>
            <w:tcW w:w="500" w:type="dxa"/>
            <w:vAlign w:val="bottom"/>
            <w:tcBorders>
              <w:bottom w:val="single" w:sz="8" w:color="1352DE"/>
            </w:tcBorders>
          </w:tcPr>
          <w:p>
            <w:pPr>
              <w:spacing w:after="0"/>
              <w:rPr>
                <w:sz w:val="18"/>
                <w:szCs w:val="18"/>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780</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color w:val="auto"/>
              </w:rPr>
              <w:t>2</w:t>
            </w:r>
          </w:p>
        </w:tc>
        <w:tc>
          <w:tcPr>
            <w:tcW w:w="340" w:type="dxa"/>
            <w:vAlign w:val="bottom"/>
            <w:tcBorders>
              <w:bottom w:val="single" w:sz="8" w:color="1352DE"/>
            </w:tcBorders>
          </w:tcPr>
          <w:p>
            <w:pPr>
              <w:spacing w:after="0"/>
              <w:rPr>
                <w:sz w:val="18"/>
                <w:szCs w:val="18"/>
                <w:color w:val="auto"/>
              </w:rPr>
            </w:pPr>
          </w:p>
        </w:tc>
        <w:tc>
          <w:tcPr>
            <w:tcW w:w="28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2,307</w:t>
            </w:r>
          </w:p>
        </w:tc>
        <w:tc>
          <w:tcPr>
            <w:tcW w:w="46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2,260</w:t>
            </w:r>
          </w:p>
        </w:tc>
        <w:tc>
          <w:tcPr>
            <w:tcW w:w="8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2</w:t>
            </w:r>
          </w:p>
        </w:tc>
        <w:tc>
          <w:tcPr>
            <w:tcW w:w="24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20"/>
              <w:spacing w:after="0"/>
              <w:rPr>
                <w:sz w:val="20"/>
                <w:szCs w:val="20"/>
                <w:color w:val="auto"/>
              </w:rPr>
            </w:pPr>
            <w:r>
              <w:rPr>
                <w:rFonts w:ascii="Arial" w:cs="Arial" w:eastAsia="Arial" w:hAnsi="Arial"/>
                <w:sz w:val="15"/>
                <w:szCs w:val="15"/>
                <w:b w:val="1"/>
                <w:bCs w:val="1"/>
                <w:color w:val="1352DE"/>
              </w:rPr>
              <w:t>Underwriting income</w:t>
            </w:r>
          </w:p>
        </w:tc>
        <w:tc>
          <w:tcPr>
            <w:tcW w:w="240" w:type="dxa"/>
            <w:vAlign w:val="bottom"/>
          </w:tcPr>
          <w:p>
            <w:pPr>
              <w:spacing w:after="0"/>
              <w:rPr>
                <w:sz w:val="16"/>
                <w:szCs w:val="16"/>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1252DE"/>
              </w:rPr>
              <w:t>564</w:t>
            </w:r>
          </w:p>
        </w:tc>
        <w:tc>
          <w:tcPr>
            <w:tcW w:w="5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793</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(29)</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1352DE"/>
              </w:rPr>
              <w:t>2,024</w:t>
            </w:r>
          </w:p>
        </w:tc>
        <w:tc>
          <w:tcPr>
            <w:tcW w:w="4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1,662</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5"/>
                <w:szCs w:val="15"/>
                <w:color w:val="auto"/>
              </w:rPr>
              <w:t>Net investment income</w:t>
            </w:r>
          </w:p>
        </w:tc>
        <w:tc>
          <w:tcPr>
            <w:tcW w:w="240" w:type="dxa"/>
            <w:vAlign w:val="bottom"/>
          </w:tcPr>
          <w:p>
            <w:pPr>
              <w:spacing w:after="0"/>
              <w:rPr>
                <w:sz w:val="17"/>
                <w:szCs w:val="17"/>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1252DE"/>
              </w:rPr>
              <w:t>1,032</w:t>
            </w: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945</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1352DE"/>
              </w:rPr>
              <w:t>2,767</w:t>
            </w: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2,552</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20" w:type="dxa"/>
            <w:vAlign w:val="bottom"/>
            <w:tcBorders>
              <w:bottom w:val="single" w:sz="8" w:color="1352DE"/>
            </w:tcBorders>
          </w:tcPr>
          <w:p>
            <w:pPr>
              <w:ind w:left="40"/>
              <w:spacing w:after="0" w:line="208" w:lineRule="exact"/>
              <w:rPr>
                <w:sz w:val="20"/>
                <w:szCs w:val="20"/>
                <w:color w:val="auto"/>
              </w:rPr>
            </w:pPr>
            <w:r>
              <w:rPr>
                <w:rFonts w:ascii="Arial" w:cs="Arial" w:eastAsia="Arial" w:hAnsi="Arial"/>
                <w:sz w:val="15"/>
                <w:szCs w:val="15"/>
                <w:color w:val="auto"/>
              </w:rPr>
              <w:t>Amortization of intangible assets including renewal rights</w:t>
            </w:r>
            <w:r>
              <w:rPr>
                <w:rFonts w:ascii="Arial" w:cs="Arial" w:eastAsia="Arial" w:hAnsi="Arial"/>
                <w:sz w:val="19"/>
                <w:szCs w:val="19"/>
                <w:color w:val="auto"/>
                <w:vertAlign w:val="superscript"/>
              </w:rPr>
              <w:t>(b)</w:t>
            </w:r>
          </w:p>
        </w:tc>
        <w:tc>
          <w:tcPr>
            <w:tcW w:w="24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(10)</w:t>
            </w:r>
          </w:p>
        </w:tc>
        <w:tc>
          <w:tcPr>
            <w:tcW w:w="500" w:type="dxa"/>
            <w:vAlign w:val="bottom"/>
            <w:tcBorders>
              <w:bottom w:val="single" w:sz="8" w:color="1352DE"/>
            </w:tcBorders>
          </w:tcPr>
          <w:p>
            <w:pPr>
              <w:spacing w:after="0"/>
              <w:rPr>
                <w:sz w:val="18"/>
                <w:szCs w:val="18"/>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w:t>
            </w:r>
          </w:p>
        </w:tc>
        <w:tc>
          <w:tcPr>
            <w:tcW w:w="8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(150)</w:t>
            </w:r>
          </w:p>
        </w:tc>
        <w:tc>
          <w:tcPr>
            <w:tcW w:w="340" w:type="dxa"/>
            <w:vAlign w:val="bottom"/>
            <w:tcBorders>
              <w:bottom w:val="single" w:sz="8" w:color="1352DE"/>
            </w:tcBorders>
          </w:tcPr>
          <w:p>
            <w:pPr>
              <w:spacing w:after="0"/>
              <w:rPr>
                <w:sz w:val="18"/>
                <w:szCs w:val="18"/>
                <w:color w:val="auto"/>
              </w:rPr>
            </w:pPr>
          </w:p>
        </w:tc>
        <w:tc>
          <w:tcPr>
            <w:tcW w:w="28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352DE"/>
              </w:rPr>
              <w:t>(31)</w:t>
            </w:r>
          </w:p>
        </w:tc>
        <w:tc>
          <w:tcPr>
            <w:tcW w:w="46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(13)</w:t>
            </w: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(138)</w:t>
            </w:r>
          </w:p>
        </w:tc>
        <w:tc>
          <w:tcPr>
            <w:tcW w:w="24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352DE"/>
              </w:rPr>
              <w:t>Adjusted pre-tax income</w:t>
            </w:r>
          </w:p>
        </w:tc>
        <w:tc>
          <w:tcPr>
            <w:tcW w:w="24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w:t>
            </w: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1,586</w:t>
            </w:r>
          </w:p>
        </w:tc>
        <w:tc>
          <w:tcPr>
            <w:tcW w:w="500" w:type="dxa"/>
            <w:vAlign w:val="bottom"/>
            <w:tcBorders>
              <w:bottom w:val="single" w:sz="8" w:color="1352DE"/>
            </w:tcBorders>
          </w:tcPr>
          <w:p>
            <w:pPr>
              <w:jc w:val="right"/>
              <w:ind w:right="284"/>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1,734</w:t>
            </w:r>
          </w:p>
        </w:tc>
        <w:tc>
          <w:tcPr>
            <w:tcW w:w="8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(9)</w:t>
            </w:r>
          </w:p>
        </w:tc>
        <w:tc>
          <w:tcPr>
            <w:tcW w:w="34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w:t>
            </w:r>
          </w:p>
        </w:tc>
        <w:tc>
          <w:tcPr>
            <w:tcW w:w="8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4,760</w:t>
            </w:r>
          </w:p>
        </w:tc>
        <w:tc>
          <w:tcPr>
            <w:tcW w:w="460" w:type="dxa"/>
            <w:vAlign w:val="bottom"/>
            <w:tcBorders>
              <w:bottom w:val="single" w:sz="8" w:color="1352DE"/>
            </w:tcBorders>
          </w:tcPr>
          <w:p>
            <w:pPr>
              <w:jc w:val="right"/>
              <w:ind w:right="24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4,201</w:t>
            </w:r>
          </w:p>
        </w:tc>
        <w:tc>
          <w:tcPr>
            <w:tcW w:w="8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13</w:t>
            </w:r>
          </w:p>
        </w:tc>
        <w:tc>
          <w:tcPr>
            <w:tcW w:w="2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1352DE"/>
            </w:tcBorders>
          </w:tcPr>
          <w:p>
            <w:pPr>
              <w:ind w:left="20"/>
              <w:spacing w:after="0" w:line="196" w:lineRule="exact"/>
              <w:rPr>
                <w:sz w:val="20"/>
                <w:szCs w:val="20"/>
                <w:color w:val="auto"/>
              </w:rPr>
            </w:pPr>
            <w:r>
              <w:rPr>
                <w:rFonts w:ascii="Arial" w:cs="Arial" w:eastAsia="Arial" w:hAnsi="Arial"/>
                <w:sz w:val="15"/>
                <w:szCs w:val="15"/>
                <w:color w:val="auto"/>
              </w:rPr>
              <w:t>Loss ratio</w:t>
            </w:r>
            <w:r>
              <w:rPr>
                <w:rFonts w:ascii="Arial" w:cs="Arial" w:eastAsia="Arial" w:hAnsi="Arial"/>
                <w:sz w:val="19"/>
                <w:szCs w:val="19"/>
                <w:color w:val="auto"/>
                <w:vertAlign w:val="superscript"/>
              </w:rPr>
              <w:t>(a)</w:t>
            </w:r>
          </w:p>
        </w:tc>
        <w:tc>
          <w:tcPr>
            <w:tcW w:w="24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60.7</w:t>
            </w:r>
          </w:p>
        </w:tc>
        <w:tc>
          <w:tcPr>
            <w:tcW w:w="5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55.9</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color w:val="auto"/>
              </w:rPr>
              <w:t>4.8</w:t>
            </w:r>
          </w:p>
        </w:tc>
        <w:tc>
          <w:tcPr>
            <w:tcW w:w="34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59.0</w:t>
            </w:r>
          </w:p>
        </w:tc>
        <w:tc>
          <w:tcPr>
            <w:tcW w:w="46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59.8</w:t>
            </w: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(0.8)</w:t>
            </w:r>
          </w:p>
        </w:tc>
        <w:tc>
          <w:tcPr>
            <w:tcW w:w="24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140"/>
              <w:spacing w:after="0"/>
              <w:rPr>
                <w:sz w:val="20"/>
                <w:szCs w:val="20"/>
                <w:color w:val="auto"/>
              </w:rPr>
            </w:pPr>
            <w:r>
              <w:rPr>
                <w:rFonts w:ascii="Arial" w:cs="Arial" w:eastAsia="Arial" w:hAnsi="Arial"/>
                <w:sz w:val="15"/>
                <w:szCs w:val="15"/>
                <w:color w:val="auto"/>
              </w:rPr>
              <w:t>Acquisition ratio</w:t>
            </w:r>
          </w:p>
        </w:tc>
        <w:tc>
          <w:tcPr>
            <w:tcW w:w="240" w:type="dxa"/>
            <w:vAlign w:val="bottom"/>
          </w:tcPr>
          <w:p>
            <w:pPr>
              <w:spacing w:after="0"/>
              <w:rPr>
                <w:sz w:val="16"/>
                <w:szCs w:val="16"/>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1252DE"/>
              </w:rPr>
              <w:t>18.2</w:t>
            </w:r>
          </w:p>
        </w:tc>
        <w:tc>
          <w:tcPr>
            <w:tcW w:w="5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18.0</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0.2</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1352DE"/>
              </w:rPr>
              <w:t>17.9</w:t>
            </w:r>
          </w:p>
        </w:tc>
        <w:tc>
          <w:tcPr>
            <w:tcW w:w="4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18.0</w:t>
            </w:r>
          </w:p>
        </w:tc>
        <w:tc>
          <w:tcPr>
            <w:tcW w:w="820" w:type="dxa"/>
            <w:vAlign w:val="bottom"/>
          </w:tcPr>
          <w:p>
            <w:pPr>
              <w:jc w:val="right"/>
              <w:spacing w:after="0"/>
              <w:rPr>
                <w:sz w:val="20"/>
                <w:szCs w:val="20"/>
                <w:color w:val="auto"/>
              </w:rPr>
            </w:pPr>
            <w:r>
              <w:rPr>
                <w:rFonts w:ascii="Arial" w:cs="Arial" w:eastAsia="Arial" w:hAnsi="Arial"/>
                <w:sz w:val="15"/>
                <w:szCs w:val="15"/>
                <w:color w:val="auto"/>
              </w:rPr>
              <w:t>(0.1)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20" w:type="dxa"/>
            <w:vAlign w:val="bottom"/>
            <w:tcBorders>
              <w:bottom w:val="single" w:sz="8" w:color="3051F2"/>
            </w:tcBorders>
          </w:tcPr>
          <w:p>
            <w:pPr>
              <w:ind w:left="140"/>
              <w:spacing w:after="0"/>
              <w:rPr>
                <w:sz w:val="20"/>
                <w:szCs w:val="20"/>
                <w:color w:val="auto"/>
              </w:rPr>
            </w:pPr>
            <w:r>
              <w:rPr>
                <w:rFonts w:ascii="Arial" w:cs="Arial" w:eastAsia="Arial" w:hAnsi="Arial"/>
                <w:sz w:val="15"/>
                <w:szCs w:val="15"/>
                <w:color w:val="auto"/>
              </w:rPr>
              <w:t>General operating expense ratio</w:t>
            </w:r>
          </w:p>
        </w:tc>
        <w:tc>
          <w:tcPr>
            <w:tcW w:w="240" w:type="dxa"/>
            <w:vAlign w:val="bottom"/>
            <w:tcBorders>
              <w:bottom w:val="single" w:sz="8" w:color="3051F2"/>
            </w:tcBorders>
          </w:tcPr>
          <w:p>
            <w:pPr>
              <w:spacing w:after="0"/>
              <w:rPr>
                <w:sz w:val="18"/>
                <w:szCs w:val="18"/>
                <w:color w:val="auto"/>
              </w:rPr>
            </w:pPr>
          </w:p>
        </w:tc>
        <w:tc>
          <w:tcPr>
            <w:tcW w:w="820" w:type="dxa"/>
            <w:vAlign w:val="bottom"/>
            <w:tcBorders>
              <w:bottom w:val="single" w:sz="8" w:color="3051F2"/>
            </w:tcBorders>
          </w:tcPr>
          <w:p>
            <w:pPr>
              <w:jc w:val="right"/>
              <w:ind w:right="24"/>
              <w:spacing w:after="0"/>
              <w:rPr>
                <w:sz w:val="20"/>
                <w:szCs w:val="20"/>
                <w:color w:val="auto"/>
              </w:rPr>
            </w:pPr>
            <w:r>
              <w:rPr>
                <w:rFonts w:ascii="Arial" w:cs="Arial" w:eastAsia="Arial" w:hAnsi="Arial"/>
                <w:sz w:val="15"/>
                <w:szCs w:val="15"/>
                <w:b w:val="1"/>
                <w:bCs w:val="1"/>
                <w:color w:val="1252DE"/>
              </w:rPr>
              <w:t>12.4</w:t>
            </w:r>
          </w:p>
        </w:tc>
        <w:tc>
          <w:tcPr>
            <w:tcW w:w="500" w:type="dxa"/>
            <w:vAlign w:val="bottom"/>
            <w:tcBorders>
              <w:bottom w:val="single" w:sz="8" w:color="3051F2"/>
            </w:tcBorders>
          </w:tcPr>
          <w:p>
            <w:pPr>
              <w:spacing w:after="0"/>
              <w:rPr>
                <w:sz w:val="18"/>
                <w:szCs w:val="18"/>
                <w:color w:val="auto"/>
              </w:rPr>
            </w:pPr>
          </w:p>
        </w:tc>
        <w:tc>
          <w:tcPr>
            <w:tcW w:w="50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12.9</w:t>
            </w:r>
          </w:p>
        </w:tc>
        <w:tc>
          <w:tcPr>
            <w:tcW w:w="860" w:type="dxa"/>
            <w:vAlign w:val="bottom"/>
            <w:tcBorders>
              <w:bottom w:val="single" w:sz="8" w:color="3051F2"/>
            </w:tcBorders>
          </w:tcPr>
          <w:p>
            <w:pPr>
              <w:jc w:val="right"/>
              <w:ind w:right="4"/>
              <w:spacing w:after="0"/>
              <w:rPr>
                <w:sz w:val="20"/>
                <w:szCs w:val="20"/>
                <w:color w:val="auto"/>
              </w:rPr>
            </w:pPr>
            <w:r>
              <w:rPr>
                <w:rFonts w:ascii="Arial" w:cs="Arial" w:eastAsia="Arial" w:hAnsi="Arial"/>
                <w:sz w:val="15"/>
                <w:szCs w:val="15"/>
                <w:color w:val="auto"/>
              </w:rPr>
              <w:t>(0.5)</w:t>
            </w:r>
          </w:p>
        </w:tc>
        <w:tc>
          <w:tcPr>
            <w:tcW w:w="340" w:type="dxa"/>
            <w:vAlign w:val="bottom"/>
            <w:tcBorders>
              <w:bottom w:val="single" w:sz="8" w:color="3051F2"/>
            </w:tcBorders>
          </w:tcPr>
          <w:p>
            <w:pPr>
              <w:spacing w:after="0"/>
              <w:rPr>
                <w:sz w:val="18"/>
                <w:szCs w:val="18"/>
                <w:color w:val="auto"/>
              </w:rPr>
            </w:pPr>
          </w:p>
        </w:tc>
        <w:tc>
          <w:tcPr>
            <w:tcW w:w="280" w:type="dxa"/>
            <w:vAlign w:val="bottom"/>
            <w:tcBorders>
              <w:bottom w:val="single" w:sz="8" w:color="3051F2"/>
            </w:tcBorders>
          </w:tcPr>
          <w:p>
            <w:pPr>
              <w:spacing w:after="0"/>
              <w:rPr>
                <w:sz w:val="18"/>
                <w:szCs w:val="18"/>
                <w:color w:val="auto"/>
              </w:rPr>
            </w:pPr>
          </w:p>
        </w:tc>
        <w:tc>
          <w:tcPr>
            <w:tcW w:w="800" w:type="dxa"/>
            <w:vAlign w:val="bottom"/>
            <w:tcBorders>
              <w:bottom w:val="single" w:sz="8" w:color="3051F2"/>
            </w:tcBorders>
          </w:tcPr>
          <w:p>
            <w:pPr>
              <w:jc w:val="right"/>
              <w:ind w:right="24"/>
              <w:spacing w:after="0"/>
              <w:rPr>
                <w:sz w:val="20"/>
                <w:szCs w:val="20"/>
                <w:color w:val="auto"/>
              </w:rPr>
            </w:pPr>
            <w:r>
              <w:rPr>
                <w:rFonts w:ascii="Arial" w:cs="Arial" w:eastAsia="Arial" w:hAnsi="Arial"/>
                <w:sz w:val="15"/>
                <w:szCs w:val="15"/>
                <w:b w:val="1"/>
                <w:bCs w:val="1"/>
                <w:color w:val="1352DE"/>
              </w:rPr>
              <w:t>12.3</w:t>
            </w:r>
          </w:p>
        </w:tc>
        <w:tc>
          <w:tcPr>
            <w:tcW w:w="460" w:type="dxa"/>
            <w:vAlign w:val="bottom"/>
            <w:tcBorders>
              <w:bottom w:val="single" w:sz="8" w:color="3051F2"/>
            </w:tcBorders>
          </w:tcPr>
          <w:p>
            <w:pPr>
              <w:spacing w:after="0"/>
              <w:rPr>
                <w:sz w:val="18"/>
                <w:szCs w:val="18"/>
                <w:color w:val="auto"/>
              </w:rPr>
            </w:pPr>
          </w:p>
        </w:tc>
        <w:tc>
          <w:tcPr>
            <w:tcW w:w="54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12.8</w:t>
            </w:r>
          </w:p>
        </w:tc>
        <w:tc>
          <w:tcPr>
            <w:tcW w:w="82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(0.5)</w:t>
            </w:r>
          </w:p>
        </w:tc>
        <w:tc>
          <w:tcPr>
            <w:tcW w:w="240" w:type="dxa"/>
            <w:vAlign w:val="bottom"/>
            <w:tcBorders>
              <w:bottom w:val="single" w:sz="8" w:color="3051F2"/>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352DE"/>
              </w:rPr>
              <w:t>Expense ratio</w:t>
            </w:r>
          </w:p>
        </w:tc>
        <w:tc>
          <w:tcPr>
            <w:tcW w:w="24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30.6</w:t>
            </w:r>
          </w:p>
        </w:tc>
        <w:tc>
          <w:tcPr>
            <w:tcW w:w="5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30.9</w:t>
            </w:r>
          </w:p>
        </w:tc>
        <w:tc>
          <w:tcPr>
            <w:tcW w:w="8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(0.3)</w:t>
            </w:r>
          </w:p>
        </w:tc>
        <w:tc>
          <w:tcPr>
            <w:tcW w:w="34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30.2</w:t>
            </w:r>
          </w:p>
        </w:tc>
        <w:tc>
          <w:tcPr>
            <w:tcW w:w="46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30.8</w:t>
            </w: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(0.6)</w:t>
            </w:r>
          </w:p>
        </w:tc>
        <w:tc>
          <w:tcPr>
            <w:tcW w:w="24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1352DE"/>
            </w:tcBorders>
          </w:tcPr>
          <w:p>
            <w:pPr>
              <w:ind w:left="20"/>
              <w:spacing w:after="0" w:line="196" w:lineRule="exact"/>
              <w:rPr>
                <w:sz w:val="20"/>
                <w:szCs w:val="20"/>
                <w:color w:val="auto"/>
              </w:rPr>
            </w:pPr>
            <w:r>
              <w:rPr>
                <w:rFonts w:ascii="Arial" w:cs="Arial" w:eastAsia="Arial" w:hAnsi="Arial"/>
                <w:sz w:val="15"/>
                <w:szCs w:val="15"/>
                <w:color w:val="auto"/>
              </w:rPr>
              <w:t>Combined ratio</w:t>
            </w:r>
            <w:r>
              <w:rPr>
                <w:rFonts w:ascii="Arial" w:cs="Arial" w:eastAsia="Arial" w:hAnsi="Arial"/>
                <w:sz w:val="19"/>
                <w:szCs w:val="19"/>
                <w:color w:val="auto"/>
                <w:vertAlign w:val="superscript"/>
              </w:rPr>
              <w:t>(a)</w:t>
            </w:r>
          </w:p>
        </w:tc>
        <w:tc>
          <w:tcPr>
            <w:tcW w:w="24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91.3</w:t>
            </w:r>
          </w:p>
        </w:tc>
        <w:tc>
          <w:tcPr>
            <w:tcW w:w="5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86.8</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color w:val="auto"/>
              </w:rPr>
              <w:t>4.5</w:t>
            </w:r>
          </w:p>
        </w:tc>
        <w:tc>
          <w:tcPr>
            <w:tcW w:w="34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89.2</w:t>
            </w:r>
          </w:p>
        </w:tc>
        <w:tc>
          <w:tcPr>
            <w:tcW w:w="46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90.6</w:t>
            </w: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(1.4)</w:t>
            </w:r>
          </w:p>
        </w:tc>
        <w:tc>
          <w:tcPr>
            <w:tcW w:w="24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line="142" w:lineRule="exact"/>
              <w:rPr>
                <w:sz w:val="20"/>
                <w:szCs w:val="20"/>
                <w:color w:val="auto"/>
              </w:rPr>
            </w:pPr>
            <w:r>
              <w:rPr>
                <w:rFonts w:ascii="Arial" w:cs="Arial" w:eastAsia="Arial" w:hAnsi="Arial"/>
                <w:sz w:val="15"/>
                <w:szCs w:val="15"/>
                <w:b w:val="1"/>
                <w:bCs w:val="1"/>
                <w:color w:val="1352DE"/>
              </w:rPr>
              <w:t>Adjustments for accident year loss ratio, as adjusted and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40"/>
              <w:spacing w:after="0"/>
              <w:rPr>
                <w:sz w:val="20"/>
                <w:szCs w:val="20"/>
                <w:color w:val="auto"/>
              </w:rPr>
            </w:pPr>
            <w:r>
              <w:rPr>
                <w:rFonts w:ascii="Arial" w:cs="Arial" w:eastAsia="Arial" w:hAnsi="Arial"/>
                <w:sz w:val="15"/>
                <w:szCs w:val="15"/>
                <w:b w:val="1"/>
                <w:bCs w:val="1"/>
                <w:color w:val="1352DE"/>
              </w:rPr>
              <w:t>accident year combined ratio, as adjusted: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40"/>
              <w:spacing w:after="0"/>
              <w:rPr>
                <w:sz w:val="20"/>
                <w:szCs w:val="20"/>
                <w:color w:val="auto"/>
              </w:rPr>
            </w:pPr>
            <w:r>
              <w:rPr>
                <w:rFonts w:ascii="Arial" w:cs="Arial" w:eastAsia="Arial" w:hAnsi="Arial"/>
                <w:sz w:val="15"/>
                <w:szCs w:val="15"/>
                <w:color w:val="auto"/>
              </w:rPr>
              <w:t>Catastrophe losses and reinstatement premiums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1252DE"/>
              </w:rPr>
              <w:t>(4.4)</w:t>
            </w: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(1.6)</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1352DE"/>
              </w:rPr>
              <w:t>(3.6)</w:t>
            </w: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(4.5)</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0.9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2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Prior year development, net of prior year premiums</w:t>
            </w:r>
          </w:p>
        </w:tc>
        <w:tc>
          <w:tcPr>
            <w:tcW w:w="24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1.5</w:t>
            </w:r>
          </w:p>
        </w:tc>
        <w:tc>
          <w:tcPr>
            <w:tcW w:w="500" w:type="dxa"/>
            <w:vAlign w:val="bottom"/>
            <w:tcBorders>
              <w:bottom w:val="single" w:sz="8" w:color="1352DE"/>
            </w:tcBorders>
          </w:tcPr>
          <w:p>
            <w:pPr>
              <w:spacing w:after="0"/>
              <w:rPr>
                <w:sz w:val="18"/>
                <w:szCs w:val="18"/>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3.1</w:t>
            </w:r>
          </w:p>
        </w:tc>
        <w:tc>
          <w:tcPr>
            <w:tcW w:w="8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(1.6)</w:t>
            </w:r>
          </w:p>
        </w:tc>
        <w:tc>
          <w:tcPr>
            <w:tcW w:w="340" w:type="dxa"/>
            <w:vAlign w:val="bottom"/>
            <w:tcBorders>
              <w:bottom w:val="single" w:sz="8" w:color="1352DE"/>
            </w:tcBorders>
          </w:tcPr>
          <w:p>
            <w:pPr>
              <w:spacing w:after="0"/>
              <w:rPr>
                <w:sz w:val="18"/>
                <w:szCs w:val="18"/>
                <w:color w:val="auto"/>
              </w:rPr>
            </w:pPr>
          </w:p>
        </w:tc>
        <w:tc>
          <w:tcPr>
            <w:tcW w:w="28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2.1</w:t>
            </w:r>
          </w:p>
        </w:tc>
        <w:tc>
          <w:tcPr>
            <w:tcW w:w="46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2.1</w:t>
            </w:r>
          </w:p>
        </w:tc>
        <w:tc>
          <w:tcPr>
            <w:tcW w:w="8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352DE"/>
              </w:rPr>
              <w:t>Accident year loss ratio, as adjusted</w:t>
            </w:r>
          </w:p>
        </w:tc>
        <w:tc>
          <w:tcPr>
            <w:tcW w:w="24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57.8</w:t>
            </w:r>
          </w:p>
        </w:tc>
        <w:tc>
          <w:tcPr>
            <w:tcW w:w="5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57.4</w:t>
            </w:r>
          </w:p>
        </w:tc>
        <w:tc>
          <w:tcPr>
            <w:tcW w:w="8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color w:val="auto"/>
              </w:rPr>
              <w:t>0.4</w:t>
            </w:r>
          </w:p>
        </w:tc>
        <w:tc>
          <w:tcPr>
            <w:tcW w:w="340" w:type="dxa"/>
            <w:vAlign w:val="bottom"/>
            <w:tcBorders>
              <w:bottom w:val="single" w:sz="8" w:color="1352DE"/>
            </w:tcBorders>
          </w:tcPr>
          <w:p>
            <w:pPr>
              <w:spacing w:after="0"/>
              <w:rPr>
                <w:sz w:val="17"/>
                <w:szCs w:val="17"/>
                <w:color w:val="auto"/>
              </w:rPr>
            </w:pPr>
          </w:p>
        </w:tc>
        <w:tc>
          <w:tcPr>
            <w:tcW w:w="28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57.5</w:t>
            </w:r>
          </w:p>
        </w:tc>
        <w:tc>
          <w:tcPr>
            <w:tcW w:w="460" w:type="dxa"/>
            <w:vAlign w:val="bottom"/>
            <w:tcBorders>
              <w:bottom w:val="single" w:sz="8" w:color="1352DE"/>
            </w:tcBorders>
          </w:tcPr>
          <w:p>
            <w:pPr>
              <w:spacing w:after="0"/>
              <w:rPr>
                <w:sz w:val="17"/>
                <w:szCs w:val="17"/>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57.4</w:t>
            </w:r>
          </w:p>
        </w:tc>
        <w:tc>
          <w:tcPr>
            <w:tcW w:w="8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0.1</w:t>
            </w:r>
          </w:p>
        </w:tc>
        <w:tc>
          <w:tcPr>
            <w:tcW w:w="24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3051F2"/>
            </w:tcBorders>
          </w:tcPr>
          <w:p>
            <w:pPr>
              <w:ind w:left="20"/>
              <w:spacing w:after="0"/>
              <w:rPr>
                <w:sz w:val="20"/>
                <w:szCs w:val="20"/>
                <w:color w:val="auto"/>
              </w:rPr>
            </w:pPr>
            <w:r>
              <w:rPr>
                <w:rFonts w:ascii="Arial" w:cs="Arial" w:eastAsia="Arial" w:hAnsi="Arial"/>
                <w:sz w:val="15"/>
                <w:szCs w:val="15"/>
                <w:b w:val="1"/>
                <w:bCs w:val="1"/>
                <w:color w:val="1352DE"/>
              </w:rPr>
              <w:t>Accident year combined ratio, as adjusted</w:t>
            </w:r>
          </w:p>
        </w:tc>
        <w:tc>
          <w:tcPr>
            <w:tcW w:w="240" w:type="dxa"/>
            <w:vAlign w:val="bottom"/>
            <w:tcBorders>
              <w:bottom w:val="single" w:sz="8" w:color="3051F2"/>
            </w:tcBorders>
          </w:tcPr>
          <w:p>
            <w:pPr>
              <w:spacing w:after="0"/>
              <w:rPr>
                <w:sz w:val="17"/>
                <w:szCs w:val="17"/>
                <w:color w:val="auto"/>
              </w:rPr>
            </w:pPr>
          </w:p>
        </w:tc>
        <w:tc>
          <w:tcPr>
            <w:tcW w:w="820" w:type="dxa"/>
            <w:vAlign w:val="bottom"/>
            <w:tcBorders>
              <w:bottom w:val="single" w:sz="8" w:color="3051F2"/>
            </w:tcBorders>
          </w:tcPr>
          <w:p>
            <w:pPr>
              <w:jc w:val="right"/>
              <w:ind w:right="24"/>
              <w:spacing w:after="0"/>
              <w:rPr>
                <w:sz w:val="20"/>
                <w:szCs w:val="20"/>
                <w:color w:val="auto"/>
              </w:rPr>
            </w:pPr>
            <w:r>
              <w:rPr>
                <w:rFonts w:ascii="Arial" w:cs="Arial" w:eastAsia="Arial" w:hAnsi="Arial"/>
                <w:sz w:val="15"/>
                <w:szCs w:val="15"/>
                <w:b w:val="1"/>
                <w:bCs w:val="1"/>
                <w:color w:val="1252DE"/>
              </w:rPr>
              <w:t>88.4</w:t>
            </w:r>
          </w:p>
        </w:tc>
        <w:tc>
          <w:tcPr>
            <w:tcW w:w="500" w:type="dxa"/>
            <w:vAlign w:val="bottom"/>
            <w:tcBorders>
              <w:bottom w:val="single" w:sz="8" w:color="3051F2"/>
            </w:tcBorders>
          </w:tcPr>
          <w:p>
            <w:pPr>
              <w:spacing w:after="0"/>
              <w:rPr>
                <w:sz w:val="17"/>
                <w:szCs w:val="17"/>
                <w:color w:val="auto"/>
              </w:rPr>
            </w:pPr>
          </w:p>
        </w:tc>
        <w:tc>
          <w:tcPr>
            <w:tcW w:w="50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88.3</w:t>
            </w:r>
          </w:p>
        </w:tc>
        <w:tc>
          <w:tcPr>
            <w:tcW w:w="860" w:type="dxa"/>
            <w:vAlign w:val="bottom"/>
            <w:tcBorders>
              <w:bottom w:val="single" w:sz="8" w:color="3051F2"/>
            </w:tcBorders>
          </w:tcPr>
          <w:p>
            <w:pPr>
              <w:jc w:val="right"/>
              <w:ind w:right="44"/>
              <w:spacing w:after="0"/>
              <w:rPr>
                <w:sz w:val="20"/>
                <w:szCs w:val="20"/>
                <w:color w:val="auto"/>
              </w:rPr>
            </w:pPr>
            <w:r>
              <w:rPr>
                <w:rFonts w:ascii="Arial" w:cs="Arial" w:eastAsia="Arial" w:hAnsi="Arial"/>
                <w:sz w:val="15"/>
                <w:szCs w:val="15"/>
                <w:color w:val="auto"/>
              </w:rPr>
              <w:t>0.1</w:t>
            </w:r>
          </w:p>
        </w:tc>
        <w:tc>
          <w:tcPr>
            <w:tcW w:w="340" w:type="dxa"/>
            <w:vAlign w:val="bottom"/>
            <w:tcBorders>
              <w:bottom w:val="single" w:sz="8" w:color="3051F2"/>
            </w:tcBorders>
          </w:tcPr>
          <w:p>
            <w:pPr>
              <w:spacing w:after="0"/>
              <w:rPr>
                <w:sz w:val="17"/>
                <w:szCs w:val="17"/>
                <w:color w:val="auto"/>
              </w:rPr>
            </w:pPr>
          </w:p>
        </w:tc>
        <w:tc>
          <w:tcPr>
            <w:tcW w:w="280" w:type="dxa"/>
            <w:vAlign w:val="bottom"/>
            <w:tcBorders>
              <w:bottom w:val="single" w:sz="8" w:color="3051F2"/>
            </w:tcBorders>
          </w:tcPr>
          <w:p>
            <w:pPr>
              <w:spacing w:after="0"/>
              <w:rPr>
                <w:sz w:val="17"/>
                <w:szCs w:val="17"/>
                <w:color w:val="auto"/>
              </w:rPr>
            </w:pPr>
          </w:p>
        </w:tc>
        <w:tc>
          <w:tcPr>
            <w:tcW w:w="800" w:type="dxa"/>
            <w:vAlign w:val="bottom"/>
            <w:tcBorders>
              <w:bottom w:val="single" w:sz="8" w:color="3051F2"/>
            </w:tcBorders>
          </w:tcPr>
          <w:p>
            <w:pPr>
              <w:jc w:val="right"/>
              <w:ind w:right="24"/>
              <w:spacing w:after="0"/>
              <w:rPr>
                <w:sz w:val="20"/>
                <w:szCs w:val="20"/>
                <w:color w:val="auto"/>
              </w:rPr>
            </w:pPr>
            <w:r>
              <w:rPr>
                <w:rFonts w:ascii="Arial" w:cs="Arial" w:eastAsia="Arial" w:hAnsi="Arial"/>
                <w:sz w:val="15"/>
                <w:szCs w:val="15"/>
                <w:b w:val="1"/>
                <w:bCs w:val="1"/>
                <w:color w:val="1352DE"/>
              </w:rPr>
              <w:t>87.7</w:t>
            </w:r>
          </w:p>
        </w:tc>
        <w:tc>
          <w:tcPr>
            <w:tcW w:w="460" w:type="dxa"/>
            <w:vAlign w:val="bottom"/>
            <w:tcBorders>
              <w:bottom w:val="single" w:sz="8" w:color="3051F2"/>
            </w:tcBorders>
          </w:tcPr>
          <w:p>
            <w:pPr>
              <w:spacing w:after="0"/>
              <w:rPr>
                <w:sz w:val="17"/>
                <w:szCs w:val="17"/>
                <w:color w:val="auto"/>
              </w:rPr>
            </w:pPr>
          </w:p>
        </w:tc>
        <w:tc>
          <w:tcPr>
            <w:tcW w:w="54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88.2</w:t>
            </w:r>
          </w:p>
        </w:tc>
        <w:tc>
          <w:tcPr>
            <w:tcW w:w="82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(0.5)</w:t>
            </w:r>
          </w:p>
        </w:tc>
        <w:tc>
          <w:tcPr>
            <w:tcW w:w="240" w:type="dxa"/>
            <w:vAlign w:val="bottom"/>
            <w:tcBorders>
              <w:bottom w:val="single" w:sz="8" w:color="3051F2"/>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260" w:hanging="212"/>
        <w:spacing w:after="0" w:line="264" w:lineRule="auto"/>
        <w:tabs>
          <w:tab w:leader="none" w:pos="208"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Consistent with our definition of Adjusted pre-tax income (APTI), excludes net loss reserve discount and the portion of favorable or unfavorable prior year reserve development for which we have ceded the risk under retroactive reinsurance agreements and related changes in amortization of the deferred gain.</w:t>
      </w:r>
    </w:p>
    <w:p>
      <w:pPr>
        <w:spacing w:after="0" w:line="49" w:lineRule="exact"/>
        <w:rPr>
          <w:rFonts w:ascii="Arial" w:cs="Arial" w:eastAsia="Arial" w:hAnsi="Arial"/>
          <w:sz w:val="13"/>
          <w:szCs w:val="13"/>
          <w:color w:val="auto"/>
        </w:rPr>
      </w:pPr>
    </w:p>
    <w:p>
      <w:pPr>
        <w:ind w:left="220" w:right="400" w:hanging="212"/>
        <w:spacing w:after="0" w:line="286" w:lineRule="auto"/>
        <w:tabs>
          <w:tab w:leader="none" w:pos="208"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 the first quarter of 2026, AIG realigned and began reporting Amortization of intangible assets in General Insurance from Other Operations; historical results have been recast to reflect these changes.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tables present General Insurance accident year catastrophes</w:t>
      </w:r>
      <w:r>
        <w:rPr>
          <w:rFonts w:ascii="Arial" w:cs="Arial" w:eastAsia="Arial" w:hAnsi="Arial"/>
          <w:sz w:val="21"/>
          <w:szCs w:val="21"/>
          <w:b w:val="1"/>
          <w:bCs w:val="1"/>
          <w:color w:val="1352DE"/>
          <w:vertAlign w:val="superscript"/>
        </w:rPr>
        <w:t>(a)</w:t>
      </w:r>
      <w:r>
        <w:rPr>
          <w:rFonts w:ascii="Arial" w:cs="Arial" w:eastAsia="Arial" w:hAnsi="Arial"/>
          <w:sz w:val="16"/>
          <w:szCs w:val="16"/>
          <w:b w:val="1"/>
          <w:bCs w:val="1"/>
          <w:color w:val="1352DE"/>
        </w:rPr>
        <w:t xml:space="preserv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234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1252DE"/>
              </w:rPr>
              <w:t>North America</w:t>
            </w:r>
          </w:p>
        </w:tc>
        <w:tc>
          <w:tcPr>
            <w:tcW w:w="3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1252DE"/>
              </w:rPr>
              <w:t>International</w:t>
            </w:r>
          </w:p>
        </w:tc>
        <w:tc>
          <w:tcPr>
            <w:tcW w:w="4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1252DE"/>
              </w:rPr>
              <w:t>Global</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5"/>
        </w:trPr>
        <w:tc>
          <w:tcPr>
            <w:tcW w:w="44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0E32E1"/>
              </w:rPr>
              <w:t>(dollars in millions)</w:t>
            </w:r>
          </w:p>
        </w:tc>
        <w:tc>
          <w:tcPr>
            <w:tcW w:w="1720" w:type="dxa"/>
            <w:vAlign w:val="bottom"/>
            <w:tcBorders>
              <w:bottom w:val="single" w:sz="8" w:color="1352DE"/>
            </w:tcBorders>
          </w:tcPr>
          <w:p>
            <w:pPr>
              <w:spacing w:after="0"/>
              <w:rPr>
                <w:sz w:val="17"/>
                <w:szCs w:val="17"/>
                <w:color w:val="auto"/>
              </w:rPr>
            </w:pPr>
          </w:p>
        </w:tc>
        <w:tc>
          <w:tcPr>
            <w:tcW w:w="11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1252DE"/>
              </w:rPr>
              <w:t>Commercial</w:t>
            </w:r>
          </w:p>
        </w:tc>
        <w:tc>
          <w:tcPr>
            <w:tcW w:w="32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1252DE"/>
              </w:rPr>
              <w:t>Commercial</w:t>
            </w:r>
          </w:p>
        </w:tc>
        <w:tc>
          <w:tcPr>
            <w:tcW w:w="44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1252DE"/>
              </w:rPr>
              <w:t>Personal</w:t>
            </w:r>
          </w:p>
        </w:tc>
        <w:tc>
          <w:tcPr>
            <w:tcW w:w="5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r>
      <w:tr>
        <w:trPr>
          <w:trHeight w:val="200"/>
        </w:trPr>
        <w:tc>
          <w:tcPr>
            <w:tcW w:w="4400" w:type="dxa"/>
            <w:vAlign w:val="bottom"/>
          </w:tcPr>
          <w:p>
            <w:pPr>
              <w:ind w:left="20"/>
              <w:spacing w:after="0"/>
              <w:rPr>
                <w:sz w:val="20"/>
                <w:szCs w:val="20"/>
                <w:color w:val="auto"/>
              </w:rPr>
            </w:pPr>
            <w:r>
              <w:rPr>
                <w:rFonts w:ascii="Arial" w:cs="Arial" w:eastAsia="Arial" w:hAnsi="Arial"/>
                <w:sz w:val="14"/>
                <w:szCs w:val="14"/>
                <w:b w:val="1"/>
                <w:bCs w:val="1"/>
                <w:color w:val="1252DE"/>
              </w:rPr>
              <w:t>Three Months Ended September 30, 2026</w:t>
            </w:r>
          </w:p>
        </w:tc>
        <w:tc>
          <w:tcPr>
            <w:tcW w:w="1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4400" w:type="dxa"/>
            <w:vAlign w:val="bottom"/>
          </w:tcPr>
          <w:p>
            <w:pPr>
              <w:ind w:left="140"/>
              <w:spacing w:after="0"/>
              <w:rPr>
                <w:sz w:val="20"/>
                <w:szCs w:val="20"/>
                <w:color w:val="auto"/>
              </w:rPr>
            </w:pPr>
            <w:r>
              <w:rPr>
                <w:rFonts w:ascii="Arial" w:cs="Arial" w:eastAsia="Arial" w:hAnsi="Arial"/>
                <w:sz w:val="14"/>
                <w:szCs w:val="14"/>
                <w:color w:val="auto"/>
              </w:rPr>
              <w:t>Flooding, rainstorms and other</w:t>
            </w:r>
            <w:r>
              <w:rPr>
                <w:rFonts w:ascii="Arial" w:cs="Arial" w:eastAsia="Arial" w:hAnsi="Arial"/>
                <w:sz w:val="18"/>
                <w:szCs w:val="18"/>
                <w:color w:val="auto"/>
                <w:vertAlign w:val="superscript"/>
              </w:rPr>
              <w:t>(b)</w:t>
            </w:r>
          </w:p>
        </w:tc>
        <w:tc>
          <w:tcPr>
            <w:tcW w:w="17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1252DE"/>
              </w:rPr>
              <w:t>57</w:t>
            </w:r>
          </w:p>
        </w:tc>
        <w:tc>
          <w:tcPr>
            <w:tcW w:w="440" w:type="dxa"/>
            <w:vAlign w:val="bottom"/>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1252DE"/>
              </w:rPr>
              <w:t>8</w:t>
            </w:r>
          </w:p>
        </w:tc>
        <w:tc>
          <w:tcPr>
            <w:tcW w:w="580" w:type="dxa"/>
            <w:vAlign w:val="bottom"/>
          </w:tcPr>
          <w:p>
            <w:pPr>
              <w:jc w:val="right"/>
              <w:ind w:right="308"/>
              <w:spacing w:after="0"/>
              <w:rPr>
                <w:sz w:val="20"/>
                <w:szCs w:val="20"/>
                <w:color w:val="auto"/>
              </w:rPr>
            </w:pPr>
            <w:r>
              <w:rPr>
                <w:rFonts w:ascii="Arial" w:cs="Arial" w:eastAsia="Arial" w:hAnsi="Arial"/>
                <w:sz w:val="14"/>
                <w:szCs w:val="14"/>
                <w:b w:val="1"/>
                <w:bCs w:val="1"/>
                <w:color w:val="1252DE"/>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1252DE"/>
              </w:rPr>
              <w:t>65</w:t>
            </w:r>
          </w:p>
        </w:tc>
      </w:tr>
      <w:tr>
        <w:trPr>
          <w:trHeight w:val="196"/>
        </w:trPr>
        <w:tc>
          <w:tcPr>
            <w:tcW w:w="4400" w:type="dxa"/>
            <w:vAlign w:val="bottom"/>
          </w:tcPr>
          <w:p>
            <w:pPr>
              <w:ind w:left="140"/>
              <w:spacing w:after="0"/>
              <w:rPr>
                <w:sz w:val="20"/>
                <w:szCs w:val="20"/>
                <w:color w:val="auto"/>
              </w:rPr>
            </w:pPr>
            <w:r>
              <w:rPr>
                <w:rFonts w:ascii="Arial" w:cs="Arial" w:eastAsia="Arial" w:hAnsi="Arial"/>
                <w:sz w:val="14"/>
                <w:szCs w:val="14"/>
                <w:color w:val="auto"/>
              </w:rPr>
              <w:t>Windstorms and hailstorms</w:t>
            </w:r>
          </w:p>
        </w:tc>
        <w:tc>
          <w:tcPr>
            <w:tcW w:w="17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1252DE"/>
              </w:rPr>
              <w:t>167</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1252DE"/>
              </w:rPr>
              <w:t>26</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1252DE"/>
              </w:rPr>
              <w:t>14</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1252DE"/>
              </w:rPr>
              <w:t>207</w:t>
            </w:r>
          </w:p>
        </w:tc>
      </w:tr>
      <w:tr>
        <w:trPr>
          <w:trHeight w:val="204"/>
        </w:trPr>
        <w:tc>
          <w:tcPr>
            <w:tcW w:w="4400" w:type="dxa"/>
            <w:vAlign w:val="bottom"/>
            <w:tcBorders>
              <w:bottom w:val="single" w:sz="8" w:color="3051F2"/>
            </w:tcBorders>
          </w:tcPr>
          <w:p>
            <w:pPr>
              <w:ind w:left="140"/>
              <w:spacing w:after="0"/>
              <w:rPr>
                <w:sz w:val="20"/>
                <w:szCs w:val="20"/>
                <w:color w:val="auto"/>
              </w:rPr>
            </w:pPr>
            <w:r>
              <w:rPr>
                <w:rFonts w:ascii="Arial" w:cs="Arial" w:eastAsia="Arial" w:hAnsi="Arial"/>
                <w:sz w:val="14"/>
                <w:szCs w:val="14"/>
                <w:color w:val="auto"/>
              </w:rPr>
              <w:t>Winter storms</w:t>
            </w:r>
          </w:p>
        </w:tc>
        <w:tc>
          <w:tcPr>
            <w:tcW w:w="1720" w:type="dxa"/>
            <w:vAlign w:val="bottom"/>
            <w:tcBorders>
              <w:bottom w:val="single" w:sz="8" w:color="3051F2"/>
            </w:tcBorders>
          </w:tcPr>
          <w:p>
            <w:pPr>
              <w:spacing w:after="0"/>
              <w:rPr>
                <w:sz w:val="17"/>
                <w:szCs w:val="17"/>
                <w:color w:val="auto"/>
              </w:rPr>
            </w:pPr>
          </w:p>
        </w:tc>
        <w:tc>
          <w:tcPr>
            <w:tcW w:w="1120" w:type="dxa"/>
            <w:vAlign w:val="bottom"/>
            <w:tcBorders>
              <w:bottom w:val="single" w:sz="8" w:color="3051F2"/>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320" w:type="dxa"/>
            <w:vAlign w:val="bottom"/>
            <w:tcBorders>
              <w:bottom w:val="single" w:sz="8" w:color="3051F2"/>
            </w:tcBorders>
          </w:tcPr>
          <w:p>
            <w:pPr>
              <w:spacing w:after="0"/>
              <w:rPr>
                <w:sz w:val="17"/>
                <w:szCs w:val="17"/>
                <w:color w:val="auto"/>
              </w:rPr>
            </w:pPr>
          </w:p>
        </w:tc>
        <w:tc>
          <w:tcPr>
            <w:tcW w:w="104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440" w:type="dxa"/>
            <w:vAlign w:val="bottom"/>
            <w:tcBorders>
              <w:bottom w:val="single" w:sz="8" w:color="3051F2"/>
            </w:tcBorders>
          </w:tcPr>
          <w:p>
            <w:pPr>
              <w:spacing w:after="0"/>
              <w:rPr>
                <w:sz w:val="17"/>
                <w:szCs w:val="17"/>
                <w:color w:val="auto"/>
              </w:rPr>
            </w:pPr>
          </w:p>
        </w:tc>
        <w:tc>
          <w:tcPr>
            <w:tcW w:w="92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b w:val="1"/>
                <w:bCs w:val="1"/>
                <w:color w:val="1252DE"/>
              </w:rPr>
              <w:t>11</w:t>
            </w:r>
          </w:p>
        </w:tc>
        <w:tc>
          <w:tcPr>
            <w:tcW w:w="580" w:type="dxa"/>
            <w:vAlign w:val="bottom"/>
            <w:tcBorders>
              <w:bottom w:val="single" w:sz="8" w:color="3051F2"/>
            </w:tcBorders>
          </w:tcPr>
          <w:p>
            <w:pPr>
              <w:spacing w:after="0"/>
              <w:rPr>
                <w:sz w:val="17"/>
                <w:szCs w:val="17"/>
                <w:color w:val="auto"/>
              </w:rPr>
            </w:pPr>
          </w:p>
        </w:tc>
        <w:tc>
          <w:tcPr>
            <w:tcW w:w="68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11</w:t>
            </w:r>
          </w:p>
        </w:tc>
      </w:tr>
      <w:tr>
        <w:trPr>
          <w:trHeight w:val="196"/>
        </w:trPr>
        <w:tc>
          <w:tcPr>
            <w:tcW w:w="440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Total catastrophe-related charges</w:t>
            </w:r>
          </w:p>
        </w:tc>
        <w:tc>
          <w:tcPr>
            <w:tcW w:w="1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1120" w:type="dxa"/>
            <w:vAlign w:val="bottom"/>
            <w:tcBorders>
              <w:bottom w:val="single" w:sz="8" w:color="3051F2"/>
            </w:tcBorders>
          </w:tcPr>
          <w:p>
            <w:pPr>
              <w:jc w:val="right"/>
              <w:ind w:right="108"/>
              <w:spacing w:after="0"/>
              <w:rPr>
                <w:sz w:val="20"/>
                <w:szCs w:val="20"/>
                <w:color w:val="auto"/>
              </w:rPr>
            </w:pPr>
            <w:r>
              <w:rPr>
                <w:rFonts w:ascii="Arial" w:cs="Arial" w:eastAsia="Arial" w:hAnsi="Arial"/>
                <w:sz w:val="14"/>
                <w:szCs w:val="14"/>
                <w:b w:val="1"/>
                <w:bCs w:val="1"/>
                <w:color w:val="1252DE"/>
              </w:rPr>
              <w:t>167</w:t>
            </w:r>
          </w:p>
        </w:tc>
        <w:tc>
          <w:tcPr>
            <w:tcW w:w="32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04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b w:val="1"/>
                <w:bCs w:val="1"/>
                <w:color w:val="1252DE"/>
              </w:rPr>
              <w:t>83</w:t>
            </w:r>
          </w:p>
        </w:tc>
        <w:tc>
          <w:tcPr>
            <w:tcW w:w="440" w:type="dxa"/>
            <w:vAlign w:val="bottom"/>
            <w:tcBorders>
              <w:bottom w:val="single" w:sz="8" w:color="3051F2"/>
            </w:tcBorders>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2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b w:val="1"/>
                <w:bCs w:val="1"/>
                <w:color w:val="1252DE"/>
              </w:rPr>
              <w:t>33</w:t>
            </w:r>
          </w:p>
        </w:tc>
        <w:tc>
          <w:tcPr>
            <w:tcW w:w="580" w:type="dxa"/>
            <w:vAlign w:val="bottom"/>
            <w:tcBorders>
              <w:bottom w:val="single" w:sz="8" w:color="3051F2"/>
            </w:tcBorders>
          </w:tcPr>
          <w:p>
            <w:pPr>
              <w:jc w:val="right"/>
              <w:ind w:right="308"/>
              <w:spacing w:after="0"/>
              <w:rPr>
                <w:sz w:val="20"/>
                <w:szCs w:val="20"/>
                <w:color w:val="auto"/>
              </w:rPr>
            </w:pPr>
            <w:r>
              <w:rPr>
                <w:rFonts w:ascii="Arial" w:cs="Arial" w:eastAsia="Arial" w:hAnsi="Arial"/>
                <w:sz w:val="14"/>
                <w:szCs w:val="14"/>
                <w:b w:val="1"/>
                <w:bCs w:val="1"/>
                <w:color w:val="1252DE"/>
              </w:rPr>
              <w:t>$</w:t>
            </w:r>
          </w:p>
        </w:tc>
        <w:tc>
          <w:tcPr>
            <w:tcW w:w="68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283</w:t>
            </w: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1252DE"/>
              </w:rPr>
              <w:t>Three Months Ended September 30, 2025</w:t>
            </w:r>
          </w:p>
        </w:tc>
        <w:tc>
          <w:tcPr>
            <w:tcW w:w="1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4400" w:type="dxa"/>
            <w:vAlign w:val="bottom"/>
          </w:tcPr>
          <w:p>
            <w:pPr>
              <w:ind w:left="140"/>
              <w:spacing w:after="0"/>
              <w:rPr>
                <w:sz w:val="20"/>
                <w:szCs w:val="20"/>
                <w:color w:val="auto"/>
              </w:rPr>
            </w:pPr>
            <w:r>
              <w:rPr>
                <w:rFonts w:ascii="Arial" w:cs="Arial" w:eastAsia="Arial" w:hAnsi="Arial"/>
                <w:sz w:val="14"/>
                <w:szCs w:val="14"/>
                <w:color w:val="auto"/>
              </w:rPr>
              <w:t>Flooding, rainstorms and other</w:t>
            </w: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4400" w:type="dxa"/>
            <w:vAlign w:val="bottom"/>
          </w:tcPr>
          <w:p>
            <w:pPr>
              <w:ind w:left="140"/>
              <w:spacing w:after="0"/>
              <w:rPr>
                <w:sz w:val="20"/>
                <w:szCs w:val="20"/>
                <w:color w:val="auto"/>
              </w:rPr>
            </w:pPr>
            <w:r>
              <w:rPr>
                <w:rFonts w:ascii="Arial" w:cs="Arial" w:eastAsia="Arial" w:hAnsi="Arial"/>
                <w:sz w:val="14"/>
                <w:szCs w:val="14"/>
                <w:color w:val="auto"/>
              </w:rPr>
              <w:t>Windstorms and hailstorms</w:t>
            </w:r>
          </w:p>
        </w:tc>
        <w:tc>
          <w:tcPr>
            <w:tcW w:w="17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74</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3"/>
        </w:trPr>
        <w:tc>
          <w:tcPr>
            <w:tcW w:w="4400" w:type="dxa"/>
            <w:vAlign w:val="bottom"/>
          </w:tcPr>
          <w:p>
            <w:pPr>
              <w:ind w:left="140"/>
              <w:spacing w:after="0"/>
              <w:rPr>
                <w:sz w:val="20"/>
                <w:szCs w:val="20"/>
                <w:color w:val="auto"/>
              </w:rPr>
            </w:pPr>
            <w:r>
              <w:rPr>
                <w:rFonts w:ascii="Arial" w:cs="Arial" w:eastAsia="Arial" w:hAnsi="Arial"/>
                <w:sz w:val="14"/>
                <w:szCs w:val="14"/>
                <w:color w:val="auto"/>
              </w:rPr>
              <w:t>Winter storms</w:t>
            </w:r>
          </w:p>
        </w:tc>
        <w:tc>
          <w:tcPr>
            <w:tcW w:w="17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6"/>
        </w:trPr>
        <w:tc>
          <w:tcPr>
            <w:tcW w:w="4400" w:type="dxa"/>
            <w:vAlign w:val="bottom"/>
            <w:tcBorders>
              <w:bottom w:val="single" w:sz="8" w:color="3051F2"/>
            </w:tcBorders>
          </w:tcPr>
          <w:p>
            <w:pPr>
              <w:ind w:left="140"/>
              <w:spacing w:after="0"/>
              <w:rPr>
                <w:sz w:val="20"/>
                <w:szCs w:val="20"/>
                <w:color w:val="auto"/>
              </w:rPr>
            </w:pPr>
            <w:r>
              <w:rPr>
                <w:rFonts w:ascii="Arial" w:cs="Arial" w:eastAsia="Arial" w:hAnsi="Arial"/>
                <w:sz w:val="14"/>
                <w:szCs w:val="14"/>
                <w:color w:val="auto"/>
              </w:rPr>
              <w:t>Wildfires</w:t>
            </w:r>
          </w:p>
        </w:tc>
        <w:tc>
          <w:tcPr>
            <w:tcW w:w="1720" w:type="dxa"/>
            <w:vAlign w:val="bottom"/>
            <w:tcBorders>
              <w:bottom w:val="single" w:sz="8" w:color="3051F2"/>
            </w:tcBorders>
          </w:tcPr>
          <w:p>
            <w:pPr>
              <w:spacing w:after="0"/>
              <w:rPr>
                <w:sz w:val="17"/>
                <w:szCs w:val="17"/>
                <w:color w:val="auto"/>
              </w:rPr>
            </w:pPr>
          </w:p>
        </w:tc>
        <w:tc>
          <w:tcPr>
            <w:tcW w:w="1120" w:type="dxa"/>
            <w:vAlign w:val="bottom"/>
            <w:tcBorders>
              <w:bottom w:val="single" w:sz="8" w:color="3051F2"/>
            </w:tcBorders>
          </w:tcPr>
          <w:p>
            <w:pPr>
              <w:jc w:val="right"/>
              <w:ind w:right="6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3051F2"/>
            </w:tcBorders>
          </w:tcPr>
          <w:p>
            <w:pPr>
              <w:spacing w:after="0"/>
              <w:rPr>
                <w:sz w:val="17"/>
                <w:szCs w:val="17"/>
                <w:color w:val="auto"/>
              </w:rPr>
            </w:pPr>
          </w:p>
        </w:tc>
        <w:tc>
          <w:tcPr>
            <w:tcW w:w="104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color w:val="auto"/>
              </w:rPr>
              <w:t>(2)</w:t>
            </w:r>
          </w:p>
        </w:tc>
        <w:tc>
          <w:tcPr>
            <w:tcW w:w="440" w:type="dxa"/>
            <w:vAlign w:val="bottom"/>
            <w:tcBorders>
              <w:bottom w:val="single" w:sz="8" w:color="3051F2"/>
            </w:tcBorders>
          </w:tcPr>
          <w:p>
            <w:pPr>
              <w:spacing w:after="0"/>
              <w:rPr>
                <w:sz w:val="17"/>
                <w:szCs w:val="17"/>
                <w:color w:val="auto"/>
              </w:rPr>
            </w:pPr>
          </w:p>
        </w:tc>
        <w:tc>
          <w:tcPr>
            <w:tcW w:w="92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3051F2"/>
            </w:tcBorders>
          </w:tcPr>
          <w:p>
            <w:pPr>
              <w:spacing w:after="0"/>
              <w:rPr>
                <w:sz w:val="17"/>
                <w:szCs w:val="17"/>
                <w:color w:val="auto"/>
              </w:rPr>
            </w:pPr>
          </w:p>
        </w:tc>
        <w:tc>
          <w:tcPr>
            <w:tcW w:w="68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440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Total catastrophe-related charges</w:t>
            </w:r>
          </w:p>
        </w:tc>
        <w:tc>
          <w:tcPr>
            <w:tcW w:w="172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3051F2"/>
            </w:tcBorders>
          </w:tcPr>
          <w:p>
            <w:pPr>
              <w:jc w:val="right"/>
              <w:ind w:right="108"/>
              <w:spacing w:after="0"/>
              <w:rPr>
                <w:sz w:val="20"/>
                <w:szCs w:val="20"/>
                <w:color w:val="auto"/>
              </w:rPr>
            </w:pPr>
            <w:r>
              <w:rPr>
                <w:rFonts w:ascii="Arial" w:cs="Arial" w:eastAsia="Arial" w:hAnsi="Arial"/>
                <w:sz w:val="14"/>
                <w:szCs w:val="14"/>
                <w:color w:val="auto"/>
              </w:rPr>
              <w:t>68</w:t>
            </w:r>
          </w:p>
        </w:tc>
        <w:tc>
          <w:tcPr>
            <w:tcW w:w="32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color w:val="auto"/>
              </w:rPr>
              <w:t>19</w:t>
            </w:r>
          </w:p>
        </w:tc>
        <w:tc>
          <w:tcPr>
            <w:tcW w:w="440" w:type="dxa"/>
            <w:vAlign w:val="bottom"/>
            <w:tcBorders>
              <w:bottom w:val="single" w:sz="8" w:color="3051F2"/>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color w:val="auto"/>
              </w:rPr>
              <w:t>13</w:t>
            </w:r>
          </w:p>
        </w:tc>
        <w:tc>
          <w:tcPr>
            <w:tcW w:w="580" w:type="dxa"/>
            <w:vAlign w:val="bottom"/>
            <w:tcBorders>
              <w:bottom w:val="single" w:sz="8" w:color="3051F2"/>
            </w:tcBorders>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377190</wp:posOffset>
            </wp:positionV>
            <wp:extent cx="23317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Business Segment Operations</w:t>
      </w:r>
      <w:r>
        <w:rPr>
          <w:rFonts w:ascii="Arial" w:cs="Arial" w:eastAsia="Arial" w:hAnsi="Arial"/>
          <w:sz w:val="13"/>
          <w:szCs w:val="13"/>
          <w:color w:val="333740"/>
        </w:rPr>
        <w:t xml:space="preserve"> | </w:t>
      </w:r>
      <w:r>
        <w:rPr>
          <w:rFonts w:ascii="Arial" w:cs="Arial" w:eastAsia="Arial" w:hAnsi="Arial"/>
          <w:sz w:val="13"/>
          <w:szCs w:val="13"/>
          <w:b w:val="1"/>
          <w:bCs w:val="1"/>
          <w:color w:val="001871"/>
        </w:rPr>
        <w:t>General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234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1252DE"/>
              </w:rPr>
              <w:t>North America</w:t>
            </w:r>
          </w:p>
        </w:tc>
        <w:tc>
          <w:tcPr>
            <w:tcW w:w="3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1252DE"/>
              </w:rPr>
              <w:t>International</w:t>
            </w:r>
          </w:p>
        </w:tc>
        <w:tc>
          <w:tcPr>
            <w:tcW w:w="4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1252DE"/>
              </w:rPr>
              <w:t>Global</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9"/>
        </w:trPr>
        <w:tc>
          <w:tcPr>
            <w:tcW w:w="4360" w:type="dxa"/>
            <w:vAlign w:val="bottom"/>
            <w:tcBorders>
              <w:bottom w:val="single" w:sz="8" w:color="3051F2"/>
            </w:tcBorders>
          </w:tcPr>
          <w:p>
            <w:pPr>
              <w:ind w:left="20"/>
              <w:spacing w:after="0"/>
              <w:rPr>
                <w:sz w:val="20"/>
                <w:szCs w:val="20"/>
                <w:color w:val="auto"/>
              </w:rPr>
            </w:pPr>
            <w:r>
              <w:rPr>
                <w:rFonts w:ascii="Arial" w:cs="Arial" w:eastAsia="Arial" w:hAnsi="Arial"/>
                <w:sz w:val="13"/>
                <w:szCs w:val="13"/>
                <w:i w:val="1"/>
                <w:iCs w:val="1"/>
                <w:color w:val="0E32E1"/>
              </w:rPr>
              <w:t>(dollars in millions)</w:t>
            </w:r>
          </w:p>
        </w:tc>
        <w:tc>
          <w:tcPr>
            <w:tcW w:w="1760" w:type="dxa"/>
            <w:vAlign w:val="bottom"/>
            <w:tcBorders>
              <w:bottom w:val="single" w:sz="8" w:color="3051F2"/>
            </w:tcBorders>
          </w:tcPr>
          <w:p>
            <w:pPr>
              <w:spacing w:after="0"/>
              <w:rPr>
                <w:sz w:val="19"/>
                <w:szCs w:val="19"/>
                <w:color w:val="auto"/>
              </w:rPr>
            </w:pPr>
          </w:p>
        </w:tc>
        <w:tc>
          <w:tcPr>
            <w:tcW w:w="112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color w:val="1252DE"/>
              </w:rPr>
              <w:t>Commercial</w:t>
            </w:r>
          </w:p>
        </w:tc>
        <w:tc>
          <w:tcPr>
            <w:tcW w:w="320" w:type="dxa"/>
            <w:vAlign w:val="bottom"/>
            <w:tcBorders>
              <w:bottom w:val="single" w:sz="8" w:color="3051F2"/>
            </w:tcBorders>
          </w:tcPr>
          <w:p>
            <w:pPr>
              <w:spacing w:after="0"/>
              <w:rPr>
                <w:sz w:val="19"/>
                <w:szCs w:val="19"/>
                <w:color w:val="auto"/>
              </w:rPr>
            </w:pPr>
          </w:p>
        </w:tc>
        <w:tc>
          <w:tcPr>
            <w:tcW w:w="104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color w:val="1252DE"/>
              </w:rPr>
              <w:t>Commercial</w:t>
            </w:r>
          </w:p>
        </w:tc>
        <w:tc>
          <w:tcPr>
            <w:tcW w:w="440" w:type="dxa"/>
            <w:vAlign w:val="bottom"/>
            <w:tcBorders>
              <w:bottom w:val="single" w:sz="8" w:color="3051F2"/>
            </w:tcBorders>
          </w:tcPr>
          <w:p>
            <w:pPr>
              <w:spacing w:after="0"/>
              <w:rPr>
                <w:sz w:val="19"/>
                <w:szCs w:val="19"/>
                <w:color w:val="auto"/>
              </w:rPr>
            </w:pPr>
          </w:p>
        </w:tc>
        <w:tc>
          <w:tcPr>
            <w:tcW w:w="92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color w:val="1252DE"/>
              </w:rPr>
              <w:t>Personal</w:t>
            </w:r>
          </w:p>
        </w:tc>
        <w:tc>
          <w:tcPr>
            <w:tcW w:w="580" w:type="dxa"/>
            <w:vAlign w:val="bottom"/>
            <w:tcBorders>
              <w:bottom w:val="single" w:sz="8" w:color="3051F2"/>
            </w:tcBorders>
          </w:tcPr>
          <w:p>
            <w:pPr>
              <w:spacing w:after="0"/>
              <w:rPr>
                <w:sz w:val="19"/>
                <w:szCs w:val="19"/>
                <w:color w:val="auto"/>
              </w:rPr>
            </w:pPr>
          </w:p>
        </w:tc>
        <w:tc>
          <w:tcPr>
            <w:tcW w:w="68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1252DE"/>
              </w:rPr>
              <w:t>Total</w:t>
            </w:r>
          </w:p>
        </w:tc>
      </w:tr>
      <w:tr>
        <w:trPr>
          <w:trHeight w:val="200"/>
        </w:trPr>
        <w:tc>
          <w:tcPr>
            <w:tcW w:w="4360" w:type="dxa"/>
            <w:vAlign w:val="bottom"/>
          </w:tcPr>
          <w:p>
            <w:pPr>
              <w:ind w:left="20"/>
              <w:spacing w:after="0"/>
              <w:rPr>
                <w:sz w:val="20"/>
                <w:szCs w:val="20"/>
                <w:color w:val="auto"/>
              </w:rPr>
            </w:pPr>
            <w:r>
              <w:rPr>
                <w:rFonts w:ascii="Arial" w:cs="Arial" w:eastAsia="Arial" w:hAnsi="Arial"/>
                <w:sz w:val="14"/>
                <w:szCs w:val="14"/>
                <w:b w:val="1"/>
                <w:bCs w:val="1"/>
                <w:color w:val="1252DE"/>
              </w:rPr>
              <w:t>Nine Months Ended September 30, 2026</w:t>
            </w: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4360" w:type="dxa"/>
            <w:vAlign w:val="bottom"/>
          </w:tcPr>
          <w:p>
            <w:pPr>
              <w:ind w:left="140"/>
              <w:spacing w:after="0"/>
              <w:rPr>
                <w:sz w:val="20"/>
                <w:szCs w:val="20"/>
                <w:color w:val="auto"/>
              </w:rPr>
            </w:pPr>
            <w:r>
              <w:rPr>
                <w:rFonts w:ascii="Arial" w:cs="Arial" w:eastAsia="Arial" w:hAnsi="Arial"/>
                <w:sz w:val="14"/>
                <w:szCs w:val="14"/>
                <w:color w:val="auto"/>
              </w:rPr>
              <w:t>Flooding, rainstorms and other</w:t>
            </w:r>
            <w:r>
              <w:rPr>
                <w:rFonts w:ascii="Arial" w:cs="Arial" w:eastAsia="Arial" w:hAnsi="Arial"/>
                <w:sz w:val="18"/>
                <w:szCs w:val="18"/>
                <w:color w:val="auto"/>
                <w:vertAlign w:val="superscript"/>
              </w:rPr>
              <w:t>(b)</w:t>
            </w:r>
          </w:p>
        </w:tc>
        <w:tc>
          <w:tcPr>
            <w:tcW w:w="176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1252DE"/>
              </w:rPr>
              <w:t>42</w:t>
            </w:r>
          </w:p>
        </w:tc>
        <w:tc>
          <w:tcPr>
            <w:tcW w:w="32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1252DE"/>
              </w:rPr>
              <w:t>166</w:t>
            </w:r>
          </w:p>
        </w:tc>
        <w:tc>
          <w:tcPr>
            <w:tcW w:w="440" w:type="dxa"/>
            <w:vAlign w:val="bottom"/>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1252DE"/>
              </w:rPr>
              <w:t>17</w:t>
            </w:r>
          </w:p>
        </w:tc>
        <w:tc>
          <w:tcPr>
            <w:tcW w:w="580" w:type="dxa"/>
            <w:vAlign w:val="bottom"/>
          </w:tcPr>
          <w:p>
            <w:pPr>
              <w:jc w:val="right"/>
              <w:ind w:right="308"/>
              <w:spacing w:after="0"/>
              <w:rPr>
                <w:sz w:val="20"/>
                <w:szCs w:val="20"/>
                <w:color w:val="auto"/>
              </w:rPr>
            </w:pPr>
            <w:r>
              <w:rPr>
                <w:rFonts w:ascii="Arial" w:cs="Arial" w:eastAsia="Arial" w:hAnsi="Arial"/>
                <w:sz w:val="14"/>
                <w:szCs w:val="14"/>
                <w:b w:val="1"/>
                <w:bCs w:val="1"/>
                <w:color w:val="1252DE"/>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1252DE"/>
              </w:rPr>
              <w:t>225</w:t>
            </w:r>
          </w:p>
        </w:tc>
      </w:tr>
      <w:tr>
        <w:trPr>
          <w:trHeight w:val="196"/>
        </w:trPr>
        <w:tc>
          <w:tcPr>
            <w:tcW w:w="4360" w:type="dxa"/>
            <w:vAlign w:val="bottom"/>
          </w:tcPr>
          <w:p>
            <w:pPr>
              <w:ind w:left="140"/>
              <w:spacing w:after="0"/>
              <w:rPr>
                <w:sz w:val="20"/>
                <w:szCs w:val="20"/>
                <w:color w:val="auto"/>
              </w:rPr>
            </w:pPr>
            <w:r>
              <w:rPr>
                <w:rFonts w:ascii="Arial" w:cs="Arial" w:eastAsia="Arial" w:hAnsi="Arial"/>
                <w:sz w:val="14"/>
                <w:szCs w:val="14"/>
                <w:color w:val="auto"/>
              </w:rPr>
              <w:t>Windstorms and hailstorms</w:t>
            </w:r>
          </w:p>
        </w:tc>
        <w:tc>
          <w:tcPr>
            <w:tcW w:w="176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1252DE"/>
              </w:rPr>
              <w:t>204</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1252DE"/>
              </w:rPr>
              <w:t>44</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1252DE"/>
              </w:rPr>
              <w:t>21</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1252DE"/>
              </w:rPr>
              <w:t>269</w:t>
            </w:r>
          </w:p>
        </w:tc>
      </w:tr>
      <w:tr>
        <w:trPr>
          <w:trHeight w:val="203"/>
        </w:trPr>
        <w:tc>
          <w:tcPr>
            <w:tcW w:w="4360" w:type="dxa"/>
            <w:vAlign w:val="bottom"/>
          </w:tcPr>
          <w:p>
            <w:pPr>
              <w:ind w:left="140"/>
              <w:spacing w:after="0"/>
              <w:rPr>
                <w:sz w:val="20"/>
                <w:szCs w:val="20"/>
                <w:color w:val="auto"/>
              </w:rPr>
            </w:pPr>
            <w:r>
              <w:rPr>
                <w:rFonts w:ascii="Arial" w:cs="Arial" w:eastAsia="Arial" w:hAnsi="Arial"/>
                <w:sz w:val="14"/>
                <w:szCs w:val="14"/>
                <w:color w:val="auto"/>
              </w:rPr>
              <w:t>Winter storms</w:t>
            </w:r>
          </w:p>
        </w:tc>
        <w:tc>
          <w:tcPr>
            <w:tcW w:w="176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1252DE"/>
              </w:rPr>
              <w:t>123</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1252DE"/>
              </w:rPr>
              <w:t>4</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1252DE"/>
              </w:rPr>
              <w:t>50</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1252DE"/>
              </w:rPr>
              <w:t>177</w:t>
            </w:r>
          </w:p>
        </w:tc>
      </w:tr>
      <w:tr>
        <w:trPr>
          <w:trHeight w:val="203"/>
        </w:trPr>
        <w:tc>
          <w:tcPr>
            <w:tcW w:w="4360" w:type="dxa"/>
            <w:vAlign w:val="bottom"/>
            <w:tcBorders>
              <w:bottom w:val="single" w:sz="8" w:color="3051F2"/>
            </w:tcBorders>
          </w:tcPr>
          <w:p>
            <w:pPr>
              <w:ind w:left="140"/>
              <w:spacing w:after="0"/>
              <w:rPr>
                <w:sz w:val="20"/>
                <w:szCs w:val="20"/>
                <w:color w:val="auto"/>
              </w:rPr>
            </w:pPr>
            <w:r>
              <w:rPr>
                <w:rFonts w:ascii="Arial" w:cs="Arial" w:eastAsia="Arial" w:hAnsi="Arial"/>
                <w:sz w:val="14"/>
                <w:szCs w:val="14"/>
                <w:color w:val="auto"/>
              </w:rPr>
              <w:t>Reinstatement premiums</w:t>
            </w:r>
          </w:p>
        </w:tc>
        <w:tc>
          <w:tcPr>
            <w:tcW w:w="1760" w:type="dxa"/>
            <w:vAlign w:val="bottom"/>
            <w:tcBorders>
              <w:bottom w:val="single" w:sz="8" w:color="3051F2"/>
            </w:tcBorders>
          </w:tcPr>
          <w:p>
            <w:pPr>
              <w:spacing w:after="0"/>
              <w:rPr>
                <w:sz w:val="17"/>
                <w:szCs w:val="17"/>
                <w:color w:val="auto"/>
              </w:rPr>
            </w:pPr>
          </w:p>
        </w:tc>
        <w:tc>
          <w:tcPr>
            <w:tcW w:w="1120" w:type="dxa"/>
            <w:vAlign w:val="bottom"/>
            <w:tcBorders>
              <w:bottom w:val="single" w:sz="8" w:color="3051F2"/>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320" w:type="dxa"/>
            <w:vAlign w:val="bottom"/>
            <w:tcBorders>
              <w:bottom w:val="single" w:sz="8" w:color="3051F2"/>
            </w:tcBorders>
          </w:tcPr>
          <w:p>
            <w:pPr>
              <w:spacing w:after="0"/>
              <w:rPr>
                <w:sz w:val="17"/>
                <w:szCs w:val="17"/>
                <w:color w:val="auto"/>
              </w:rPr>
            </w:pPr>
          </w:p>
        </w:tc>
        <w:tc>
          <w:tcPr>
            <w:tcW w:w="104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b w:val="1"/>
                <w:bCs w:val="1"/>
                <w:color w:val="1252DE"/>
              </w:rPr>
              <w:t>2</w:t>
            </w:r>
          </w:p>
        </w:tc>
        <w:tc>
          <w:tcPr>
            <w:tcW w:w="440" w:type="dxa"/>
            <w:vAlign w:val="bottom"/>
            <w:tcBorders>
              <w:bottom w:val="single" w:sz="8" w:color="3051F2"/>
            </w:tcBorders>
          </w:tcPr>
          <w:p>
            <w:pPr>
              <w:spacing w:after="0"/>
              <w:rPr>
                <w:sz w:val="17"/>
                <w:szCs w:val="17"/>
                <w:color w:val="auto"/>
              </w:rPr>
            </w:pPr>
          </w:p>
        </w:tc>
        <w:tc>
          <w:tcPr>
            <w:tcW w:w="92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580" w:type="dxa"/>
            <w:vAlign w:val="bottom"/>
            <w:tcBorders>
              <w:bottom w:val="single" w:sz="8" w:color="3051F2"/>
            </w:tcBorders>
          </w:tcPr>
          <w:p>
            <w:pPr>
              <w:spacing w:after="0"/>
              <w:rPr>
                <w:sz w:val="17"/>
                <w:szCs w:val="17"/>
                <w:color w:val="auto"/>
              </w:rPr>
            </w:pPr>
          </w:p>
        </w:tc>
        <w:tc>
          <w:tcPr>
            <w:tcW w:w="68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2</w:t>
            </w:r>
          </w:p>
        </w:tc>
      </w:tr>
      <w:tr>
        <w:trPr>
          <w:trHeight w:val="196"/>
        </w:trPr>
        <w:tc>
          <w:tcPr>
            <w:tcW w:w="436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Total catastrophe-related charges</w:t>
            </w:r>
          </w:p>
        </w:tc>
        <w:tc>
          <w:tcPr>
            <w:tcW w:w="176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1120" w:type="dxa"/>
            <w:vAlign w:val="bottom"/>
            <w:tcBorders>
              <w:bottom w:val="single" w:sz="8" w:color="3051F2"/>
            </w:tcBorders>
          </w:tcPr>
          <w:p>
            <w:pPr>
              <w:jc w:val="right"/>
              <w:ind w:right="108"/>
              <w:spacing w:after="0"/>
              <w:rPr>
                <w:sz w:val="20"/>
                <w:szCs w:val="20"/>
                <w:color w:val="auto"/>
              </w:rPr>
            </w:pPr>
            <w:r>
              <w:rPr>
                <w:rFonts w:ascii="Arial" w:cs="Arial" w:eastAsia="Arial" w:hAnsi="Arial"/>
                <w:sz w:val="14"/>
                <w:szCs w:val="14"/>
                <w:b w:val="1"/>
                <w:bCs w:val="1"/>
                <w:color w:val="1252DE"/>
              </w:rPr>
              <w:t>369</w:t>
            </w:r>
          </w:p>
        </w:tc>
        <w:tc>
          <w:tcPr>
            <w:tcW w:w="32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04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b w:val="1"/>
                <w:bCs w:val="1"/>
                <w:color w:val="1252DE"/>
              </w:rPr>
              <w:t>216</w:t>
            </w:r>
          </w:p>
        </w:tc>
        <w:tc>
          <w:tcPr>
            <w:tcW w:w="440" w:type="dxa"/>
            <w:vAlign w:val="bottom"/>
            <w:tcBorders>
              <w:bottom w:val="single" w:sz="8" w:color="3051F2"/>
            </w:tcBorders>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2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b w:val="1"/>
                <w:bCs w:val="1"/>
                <w:color w:val="1252DE"/>
              </w:rPr>
              <w:t>88</w:t>
            </w:r>
          </w:p>
        </w:tc>
        <w:tc>
          <w:tcPr>
            <w:tcW w:w="580" w:type="dxa"/>
            <w:vAlign w:val="bottom"/>
            <w:tcBorders>
              <w:bottom w:val="single" w:sz="8" w:color="3051F2"/>
            </w:tcBorders>
          </w:tcPr>
          <w:p>
            <w:pPr>
              <w:jc w:val="right"/>
              <w:ind w:right="308"/>
              <w:spacing w:after="0"/>
              <w:rPr>
                <w:sz w:val="20"/>
                <w:szCs w:val="20"/>
                <w:color w:val="auto"/>
              </w:rPr>
            </w:pPr>
            <w:r>
              <w:rPr>
                <w:rFonts w:ascii="Arial" w:cs="Arial" w:eastAsia="Arial" w:hAnsi="Arial"/>
                <w:sz w:val="14"/>
                <w:szCs w:val="14"/>
                <w:b w:val="1"/>
                <w:bCs w:val="1"/>
                <w:color w:val="1252DE"/>
              </w:rPr>
              <w:t>$</w:t>
            </w:r>
          </w:p>
        </w:tc>
        <w:tc>
          <w:tcPr>
            <w:tcW w:w="68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673</w:t>
            </w:r>
          </w:p>
        </w:tc>
      </w:tr>
      <w:tr>
        <w:trPr>
          <w:trHeight w:val="189"/>
        </w:trPr>
        <w:tc>
          <w:tcPr>
            <w:tcW w:w="4360" w:type="dxa"/>
            <w:vAlign w:val="bottom"/>
          </w:tcPr>
          <w:p>
            <w:pPr>
              <w:ind w:left="20"/>
              <w:spacing w:after="0"/>
              <w:rPr>
                <w:sz w:val="20"/>
                <w:szCs w:val="20"/>
                <w:color w:val="auto"/>
              </w:rPr>
            </w:pPr>
            <w:r>
              <w:rPr>
                <w:rFonts w:ascii="Arial" w:cs="Arial" w:eastAsia="Arial" w:hAnsi="Arial"/>
                <w:sz w:val="14"/>
                <w:szCs w:val="14"/>
                <w:color w:val="1252DE"/>
              </w:rPr>
              <w:t>Nine Months Ended September 30, 2025</w:t>
            </w: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4360" w:type="dxa"/>
            <w:vAlign w:val="bottom"/>
          </w:tcPr>
          <w:p>
            <w:pPr>
              <w:ind w:left="140"/>
              <w:spacing w:after="0"/>
              <w:rPr>
                <w:sz w:val="20"/>
                <w:szCs w:val="20"/>
                <w:color w:val="auto"/>
              </w:rPr>
            </w:pPr>
            <w:r>
              <w:rPr>
                <w:rFonts w:ascii="Arial" w:cs="Arial" w:eastAsia="Arial" w:hAnsi="Arial"/>
                <w:sz w:val="14"/>
                <w:szCs w:val="14"/>
                <w:color w:val="auto"/>
              </w:rPr>
              <w:t>Flooding, rainstorms and other</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4360" w:type="dxa"/>
            <w:vAlign w:val="bottom"/>
          </w:tcPr>
          <w:p>
            <w:pPr>
              <w:ind w:left="140"/>
              <w:spacing w:after="0"/>
              <w:rPr>
                <w:sz w:val="20"/>
                <w:szCs w:val="20"/>
                <w:color w:val="auto"/>
              </w:rPr>
            </w:pPr>
            <w:r>
              <w:rPr>
                <w:rFonts w:ascii="Arial" w:cs="Arial" w:eastAsia="Arial" w:hAnsi="Arial"/>
                <w:sz w:val="14"/>
                <w:szCs w:val="14"/>
                <w:color w:val="auto"/>
              </w:rPr>
              <w:t>Windstorms and hailstorms</w:t>
            </w:r>
          </w:p>
        </w:tc>
        <w:tc>
          <w:tcPr>
            <w:tcW w:w="176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44</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03"/>
        </w:trPr>
        <w:tc>
          <w:tcPr>
            <w:tcW w:w="4360" w:type="dxa"/>
            <w:vAlign w:val="bottom"/>
          </w:tcPr>
          <w:p>
            <w:pPr>
              <w:ind w:left="140"/>
              <w:spacing w:after="0"/>
              <w:rPr>
                <w:sz w:val="20"/>
                <w:szCs w:val="20"/>
                <w:color w:val="auto"/>
              </w:rPr>
            </w:pPr>
            <w:r>
              <w:rPr>
                <w:rFonts w:ascii="Arial" w:cs="Arial" w:eastAsia="Arial" w:hAnsi="Arial"/>
                <w:sz w:val="14"/>
                <w:szCs w:val="14"/>
                <w:color w:val="auto"/>
              </w:rPr>
              <w:t>Winter storms</w:t>
            </w:r>
          </w:p>
        </w:tc>
        <w:tc>
          <w:tcPr>
            <w:tcW w:w="176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3"/>
        </w:trPr>
        <w:tc>
          <w:tcPr>
            <w:tcW w:w="4360" w:type="dxa"/>
            <w:vAlign w:val="bottom"/>
          </w:tcPr>
          <w:p>
            <w:pPr>
              <w:ind w:left="140"/>
              <w:spacing w:after="0"/>
              <w:rPr>
                <w:sz w:val="20"/>
                <w:szCs w:val="20"/>
                <w:color w:val="auto"/>
              </w:rPr>
            </w:pPr>
            <w:r>
              <w:rPr>
                <w:rFonts w:ascii="Arial" w:cs="Arial" w:eastAsia="Arial" w:hAnsi="Arial"/>
                <w:sz w:val="14"/>
                <w:szCs w:val="14"/>
                <w:color w:val="auto"/>
              </w:rPr>
              <w:t>Wildfires</w:t>
            </w:r>
          </w:p>
        </w:tc>
        <w:tc>
          <w:tcPr>
            <w:tcW w:w="176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204</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192</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203"/>
        </w:trPr>
        <w:tc>
          <w:tcPr>
            <w:tcW w:w="4360" w:type="dxa"/>
            <w:vAlign w:val="bottom"/>
          </w:tcPr>
          <w:p>
            <w:pPr>
              <w:ind w:left="140"/>
              <w:spacing w:after="0"/>
              <w:rPr>
                <w:sz w:val="20"/>
                <w:szCs w:val="20"/>
                <w:color w:val="auto"/>
              </w:rPr>
            </w:pPr>
            <w:r>
              <w:rPr>
                <w:rFonts w:ascii="Arial" w:cs="Arial" w:eastAsia="Arial" w:hAnsi="Arial"/>
                <w:sz w:val="14"/>
                <w:szCs w:val="14"/>
                <w:color w:val="auto"/>
              </w:rPr>
              <w:t>Earthquakes</w:t>
            </w:r>
          </w:p>
        </w:tc>
        <w:tc>
          <w:tcPr>
            <w:tcW w:w="176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44</w:t>
            </w:r>
          </w:p>
        </w:tc>
        <w:tc>
          <w:tcPr>
            <w:tcW w:w="4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6"/>
        </w:trPr>
        <w:tc>
          <w:tcPr>
            <w:tcW w:w="436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Reinstatement premiums</w:t>
            </w:r>
          </w:p>
        </w:tc>
        <w:tc>
          <w:tcPr>
            <w:tcW w:w="1760" w:type="dxa"/>
            <w:vAlign w:val="bottom"/>
            <w:tcBorders>
              <w:bottom w:val="single" w:sz="8" w:color="1352DE"/>
            </w:tcBorders>
          </w:tcPr>
          <w:p>
            <w:pPr>
              <w:spacing w:after="0"/>
              <w:rPr>
                <w:sz w:val="17"/>
                <w:szCs w:val="17"/>
                <w:color w:val="auto"/>
              </w:rPr>
            </w:pPr>
          </w:p>
        </w:tc>
        <w:tc>
          <w:tcPr>
            <w:tcW w:w="11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1</w:t>
            </w:r>
          </w:p>
        </w:tc>
        <w:tc>
          <w:tcPr>
            <w:tcW w:w="5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436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Total catastrophe-related charges</w:t>
            </w:r>
          </w:p>
        </w:tc>
        <w:tc>
          <w:tcPr>
            <w:tcW w:w="176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3051F2"/>
            </w:tcBorders>
          </w:tcPr>
          <w:p>
            <w:pPr>
              <w:jc w:val="right"/>
              <w:ind w:right="108"/>
              <w:spacing w:after="0"/>
              <w:rPr>
                <w:sz w:val="20"/>
                <w:szCs w:val="20"/>
                <w:color w:val="auto"/>
              </w:rPr>
            </w:pPr>
            <w:r>
              <w:rPr>
                <w:rFonts w:ascii="Arial" w:cs="Arial" w:eastAsia="Arial" w:hAnsi="Arial"/>
                <w:sz w:val="14"/>
                <w:szCs w:val="14"/>
                <w:color w:val="auto"/>
              </w:rPr>
              <w:t>427</w:t>
            </w:r>
          </w:p>
        </w:tc>
        <w:tc>
          <w:tcPr>
            <w:tcW w:w="32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color w:val="auto"/>
              </w:rPr>
              <w:t>118</w:t>
            </w:r>
          </w:p>
        </w:tc>
        <w:tc>
          <w:tcPr>
            <w:tcW w:w="440" w:type="dxa"/>
            <w:vAlign w:val="bottom"/>
            <w:tcBorders>
              <w:bottom w:val="single" w:sz="8" w:color="3051F2"/>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3051F2"/>
            </w:tcBorders>
          </w:tcPr>
          <w:p>
            <w:pPr>
              <w:jc w:val="right"/>
              <w:ind w:right="88"/>
              <w:spacing w:after="0"/>
              <w:rPr>
                <w:sz w:val="20"/>
                <w:szCs w:val="20"/>
                <w:color w:val="auto"/>
              </w:rPr>
            </w:pPr>
            <w:r>
              <w:rPr>
                <w:rFonts w:ascii="Arial" w:cs="Arial" w:eastAsia="Arial" w:hAnsi="Arial"/>
                <w:sz w:val="14"/>
                <w:szCs w:val="14"/>
                <w:color w:val="auto"/>
              </w:rPr>
              <w:t>250</w:t>
            </w:r>
          </w:p>
        </w:tc>
        <w:tc>
          <w:tcPr>
            <w:tcW w:w="580" w:type="dxa"/>
            <w:vAlign w:val="bottom"/>
            <w:tcBorders>
              <w:bottom w:val="single" w:sz="8" w:color="3051F2"/>
            </w:tcBorders>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795</w:t>
            </w:r>
          </w:p>
        </w:tc>
      </w:tr>
    </w:tbl>
    <w:p>
      <w:pPr>
        <w:spacing w:after="0" w:line="131" w:lineRule="exact"/>
        <w:rPr>
          <w:sz w:val="20"/>
          <w:szCs w:val="20"/>
          <w:color w:val="auto"/>
        </w:rPr>
      </w:pPr>
    </w:p>
    <w:p>
      <w:pPr>
        <w:ind w:left="220" w:right="80" w:hanging="212"/>
        <w:spacing w:after="0" w:line="264" w:lineRule="auto"/>
        <w:tabs>
          <w:tab w:leader="none" w:pos="208" w:val="left"/>
        </w:tabs>
        <w:numPr>
          <w:ilvl w:val="0"/>
          <w:numId w:val="68"/>
        </w:numPr>
        <w:rPr>
          <w:rFonts w:ascii="Arial" w:cs="Arial" w:eastAsia="Arial" w:hAnsi="Arial"/>
          <w:sz w:val="13"/>
          <w:szCs w:val="13"/>
          <w:color w:val="auto"/>
        </w:rPr>
      </w:pPr>
      <w:r>
        <w:rPr>
          <w:rFonts w:ascii="Arial" w:cs="Arial" w:eastAsia="Arial" w:hAnsi="Arial"/>
          <w:sz w:val="13"/>
          <w:szCs w:val="13"/>
          <w:color w:val="auto"/>
        </w:rPr>
        <w:t>Natural catastrophe losses are generally weather or seismic events, in each case, having a net impact on AIG in excess of $10 million and man-made catastrophe losses, such as terrorism and civil unrest that exceed the $10 million threshold.</w:t>
      </w:r>
    </w:p>
    <w:p>
      <w:pPr>
        <w:spacing w:after="0" w:line="49" w:lineRule="exact"/>
        <w:rPr>
          <w:rFonts w:ascii="Arial" w:cs="Arial" w:eastAsia="Arial" w:hAnsi="Arial"/>
          <w:sz w:val="13"/>
          <w:szCs w:val="13"/>
          <w:color w:val="auto"/>
        </w:rPr>
      </w:pPr>
    </w:p>
    <w:p>
      <w:pPr>
        <w:ind w:left="220" w:hanging="212"/>
        <w:spacing w:after="0"/>
        <w:tabs>
          <w:tab w:leader="none" w:pos="2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net losses related to the Middle East conflict of $40 million and $142 million for the three and nine months ended September 30, 2026,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NORTH AMERICA COMMERCIAL</w:t>
      </w:r>
    </w:p>
    <w:p>
      <w:pPr>
        <w:spacing w:after="0" w:line="117"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The North America Commercial segment consists of insurance businesses and operations in the United States, Canada and Bermuda. Products include Property, Casualty and Financial Lines with clients ranging from small and medium-sized businesses to multinational companies.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Borders>
              <w:top w:val="single" w:sz="8" w:color="3051F2"/>
            </w:tcBorders>
          </w:tcPr>
          <w:p>
            <w:pPr>
              <w:spacing w:after="0"/>
              <w:rPr>
                <w:sz w:val="14"/>
                <w:szCs w:val="14"/>
                <w:color w:val="auto"/>
              </w:rPr>
            </w:pPr>
          </w:p>
        </w:tc>
        <w:tc>
          <w:tcPr>
            <w:tcW w:w="200" w:type="dxa"/>
            <w:vAlign w:val="bottom"/>
            <w:tcBorders>
              <w:top w:val="single" w:sz="8" w:color="3051F2"/>
            </w:tcBorders>
          </w:tcPr>
          <w:p>
            <w:pPr>
              <w:spacing w:after="0"/>
              <w:rPr>
                <w:sz w:val="14"/>
                <w:szCs w:val="14"/>
                <w:color w:val="auto"/>
              </w:rPr>
            </w:pPr>
          </w:p>
        </w:tc>
        <w:tc>
          <w:tcPr>
            <w:tcW w:w="1760" w:type="dxa"/>
            <w:vAlign w:val="bottom"/>
            <w:tcBorders>
              <w:top w:val="single" w:sz="8" w:color="3051F2"/>
            </w:tcBorders>
            <w:gridSpan w:val="3"/>
          </w:tcPr>
          <w:p>
            <w:pPr>
              <w:jc w:val="right"/>
              <w:ind w:right="184"/>
              <w:spacing w:after="0" w:line="162" w:lineRule="exact"/>
              <w:rPr>
                <w:sz w:val="20"/>
                <w:szCs w:val="20"/>
                <w:color w:val="auto"/>
              </w:rPr>
            </w:pPr>
            <w:r>
              <w:rPr>
                <w:rFonts w:ascii="Arial" w:cs="Arial" w:eastAsia="Arial" w:hAnsi="Arial"/>
                <w:sz w:val="15"/>
                <w:szCs w:val="15"/>
                <w:color w:val="1252DE"/>
              </w:rPr>
              <w:t>Three Months Ended</w:t>
            </w:r>
          </w:p>
        </w:tc>
        <w:tc>
          <w:tcPr>
            <w:tcW w:w="840" w:type="dxa"/>
            <w:vAlign w:val="bottom"/>
            <w:tcBorders>
              <w:top w:val="single" w:sz="8" w:color="3051F2"/>
            </w:tcBorders>
          </w:tcPr>
          <w:p>
            <w:pPr>
              <w:spacing w:after="0"/>
              <w:rPr>
                <w:sz w:val="14"/>
                <w:szCs w:val="14"/>
                <w:color w:val="auto"/>
              </w:rPr>
            </w:pPr>
          </w:p>
        </w:tc>
        <w:tc>
          <w:tcPr>
            <w:tcW w:w="360" w:type="dxa"/>
            <w:vAlign w:val="bottom"/>
            <w:tcBorders>
              <w:top w:val="single" w:sz="8" w:color="3051F2"/>
            </w:tcBorders>
          </w:tcPr>
          <w:p>
            <w:pPr>
              <w:spacing w:after="0"/>
              <w:rPr>
                <w:sz w:val="14"/>
                <w:szCs w:val="14"/>
                <w:color w:val="auto"/>
              </w:rPr>
            </w:pPr>
          </w:p>
        </w:tc>
        <w:tc>
          <w:tcPr>
            <w:tcW w:w="200" w:type="dxa"/>
            <w:vAlign w:val="bottom"/>
            <w:tcBorders>
              <w:top w:val="single" w:sz="8" w:color="3051F2"/>
            </w:tcBorders>
          </w:tcPr>
          <w:p>
            <w:pPr>
              <w:spacing w:after="0"/>
              <w:rPr>
                <w:sz w:val="14"/>
                <w:szCs w:val="14"/>
                <w:color w:val="auto"/>
              </w:rPr>
            </w:pPr>
          </w:p>
        </w:tc>
        <w:tc>
          <w:tcPr>
            <w:tcW w:w="1740" w:type="dxa"/>
            <w:vAlign w:val="bottom"/>
            <w:tcBorders>
              <w:top w:val="single" w:sz="8" w:color="3051F2"/>
            </w:tcBorders>
            <w:gridSpan w:val="3"/>
          </w:tcPr>
          <w:p>
            <w:pPr>
              <w:jc w:val="right"/>
              <w:ind w:right="224"/>
              <w:spacing w:after="0" w:line="162" w:lineRule="exact"/>
              <w:rPr>
                <w:sz w:val="20"/>
                <w:szCs w:val="20"/>
                <w:color w:val="auto"/>
              </w:rPr>
            </w:pPr>
            <w:r>
              <w:rPr>
                <w:rFonts w:ascii="Arial" w:cs="Arial" w:eastAsia="Arial" w:hAnsi="Arial"/>
                <w:sz w:val="15"/>
                <w:szCs w:val="15"/>
                <w:color w:val="1252DE"/>
              </w:rPr>
              <w:t>Nine Months Ended</w:t>
            </w:r>
          </w:p>
        </w:tc>
        <w:tc>
          <w:tcPr>
            <w:tcW w:w="800" w:type="dxa"/>
            <w:vAlign w:val="bottom"/>
            <w:tcBorders>
              <w:top w:val="single" w:sz="8" w:color="3051F2"/>
            </w:tcBorders>
          </w:tcPr>
          <w:p>
            <w:pPr>
              <w:spacing w:after="0"/>
              <w:rPr>
                <w:sz w:val="14"/>
                <w:szCs w:val="14"/>
                <w:color w:val="auto"/>
              </w:rPr>
            </w:pPr>
          </w:p>
        </w:tc>
        <w:tc>
          <w:tcPr>
            <w:tcW w:w="300" w:type="dxa"/>
            <w:vAlign w:val="bottom"/>
            <w:tcBorders>
              <w:top w:val="single" w:sz="8" w:color="3051F2"/>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1300" w:type="dxa"/>
            <w:vAlign w:val="bottom"/>
            <w:tcBorders>
              <w:bottom w:val="single" w:sz="8" w:color="1352DE"/>
            </w:tcBorders>
            <w:gridSpan w:val="2"/>
          </w:tcPr>
          <w:p>
            <w:pPr>
              <w:jc w:val="right"/>
              <w:spacing w:after="0"/>
              <w:rPr>
                <w:sz w:val="20"/>
                <w:szCs w:val="20"/>
                <w:color w:val="auto"/>
              </w:rPr>
            </w:pPr>
            <w:r>
              <w:rPr>
                <w:rFonts w:ascii="Arial" w:cs="Arial" w:eastAsia="Arial" w:hAnsi="Arial"/>
                <w:sz w:val="15"/>
                <w:szCs w:val="15"/>
                <w:color w:val="1252DE"/>
              </w:rPr>
              <w:t>September 30,</w:t>
            </w:r>
          </w:p>
        </w:tc>
        <w:tc>
          <w:tcPr>
            <w:tcW w:w="460" w:type="dxa"/>
            <w:vAlign w:val="bottom"/>
            <w:tcBorders>
              <w:bottom w:val="single" w:sz="8" w:color="1352DE"/>
            </w:tcBorders>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1280" w:type="dxa"/>
            <w:vAlign w:val="bottom"/>
            <w:tcBorders>
              <w:bottom w:val="single" w:sz="8" w:color="1352DE"/>
            </w:tcBorders>
            <w:gridSpan w:val="2"/>
          </w:tcPr>
          <w:p>
            <w:pPr>
              <w:jc w:val="right"/>
              <w:spacing w:after="0"/>
              <w:rPr>
                <w:sz w:val="20"/>
                <w:szCs w:val="20"/>
                <w:color w:val="auto"/>
              </w:rPr>
            </w:pPr>
            <w:r>
              <w:rPr>
                <w:rFonts w:ascii="Arial" w:cs="Arial" w:eastAsia="Arial" w:hAnsi="Arial"/>
                <w:sz w:val="15"/>
                <w:szCs w:val="15"/>
                <w:color w:val="1252DE"/>
              </w:rPr>
              <w:t>September 30,</w:t>
            </w:r>
          </w:p>
        </w:tc>
        <w:tc>
          <w:tcPr>
            <w:tcW w:w="460" w:type="dxa"/>
            <w:vAlign w:val="bottom"/>
            <w:tcBorders>
              <w:bottom w:val="single" w:sz="8" w:color="1352DE"/>
            </w:tcBorders>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2026</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Change</w:t>
            </w:r>
          </w:p>
        </w:tc>
        <w:tc>
          <w:tcPr>
            <w:tcW w:w="36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2026</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Change</w:t>
            </w:r>
          </w:p>
        </w:tc>
        <w:tc>
          <w:tcPr>
            <w:tcW w:w="30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5"/>
                <w:szCs w:val="15"/>
                <w:b w:val="1"/>
                <w:bCs w:val="1"/>
                <w:color w:val="1252DE"/>
              </w:rPr>
              <w:t>Underwriting results:</w:t>
            </w:r>
          </w:p>
        </w:tc>
        <w:tc>
          <w:tcPr>
            <w:tcW w:w="2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352DE"/>
              </w:rPr>
              <w:t>$</w:t>
            </w:r>
          </w:p>
        </w:tc>
        <w:tc>
          <w:tcPr>
            <w:tcW w:w="7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1352DE"/>
              </w:rPr>
              <w:t>2,481</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w w:val="95"/>
              </w:rPr>
              <w:t>$</w:t>
            </w:r>
          </w:p>
        </w:tc>
        <w:tc>
          <w:tcPr>
            <w:tcW w:w="7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1352DE"/>
              </w:rPr>
              <w:t>7,211</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140"/>
              <w:spacing w:after="0"/>
              <w:rPr>
                <w:sz w:val="20"/>
                <w:szCs w:val="20"/>
                <w:color w:val="auto"/>
              </w:rPr>
            </w:pPr>
            <w:r>
              <w:rPr>
                <w:rFonts w:ascii="Arial" w:cs="Arial" w:eastAsia="Arial" w:hAnsi="Arial"/>
                <w:sz w:val="15"/>
                <w:szCs w:val="15"/>
                <w:color w:val="auto"/>
              </w:rPr>
              <w:t>Net premiums written</w:t>
            </w: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2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2,435</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6,472</w:t>
            </w: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5020" w:type="dxa"/>
            <w:vAlign w:val="bottom"/>
          </w:tcPr>
          <w:p>
            <w:pPr>
              <w:ind w:left="140"/>
              <w:spacing w:after="0"/>
              <w:rPr>
                <w:sz w:val="20"/>
                <w:szCs w:val="20"/>
                <w:color w:val="auto"/>
              </w:rPr>
            </w:pPr>
            <w:r>
              <w:rPr>
                <w:rFonts w:ascii="Arial" w:cs="Arial" w:eastAsia="Arial" w:hAnsi="Arial"/>
                <w:sz w:val="15"/>
                <w:szCs w:val="15"/>
                <w:color w:val="auto"/>
              </w:rPr>
              <w:t>Net premiums written, on constant dollar basis</w:t>
            </w:r>
          </w:p>
        </w:tc>
        <w:tc>
          <w:tcPr>
            <w:tcW w:w="200" w:type="dxa"/>
            <w:vAlign w:val="bottom"/>
          </w:tcPr>
          <w:p>
            <w:pPr>
              <w:spacing w:after="0"/>
              <w:rPr>
                <w:sz w:val="17"/>
                <w:szCs w:val="17"/>
                <w:color w:val="auto"/>
              </w:rPr>
            </w:pPr>
          </w:p>
        </w:tc>
        <w:tc>
          <w:tcPr>
            <w:tcW w:w="7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(119)</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352DE"/>
              </w:rPr>
              <w:t>(272)</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2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Increase in unearned premiums</w:t>
            </w: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vMerge w:val="continue"/>
          </w:tcPr>
          <w:p>
            <w:pPr>
              <w:spacing w:after="0"/>
              <w:rPr>
                <w:sz w:val="17"/>
                <w:szCs w:val="17"/>
                <w:color w:val="auto"/>
              </w:rPr>
            </w:pP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(237)</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50</w:t>
            </w:r>
          </w:p>
        </w:tc>
        <w:tc>
          <w:tcPr>
            <w:tcW w:w="36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vMerge w:val="continue"/>
          </w:tcPr>
          <w:p>
            <w:pPr>
              <w:spacing w:after="0"/>
              <w:rPr>
                <w:sz w:val="17"/>
                <w:szCs w:val="17"/>
                <w:color w:val="auto"/>
              </w:rPr>
            </w:pP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(17)</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NM</w:t>
            </w:r>
          </w:p>
        </w:tc>
        <w:tc>
          <w:tcPr>
            <w:tcW w:w="30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20" w:type="dxa"/>
            <w:vAlign w:val="bottom"/>
          </w:tcPr>
          <w:p>
            <w:pPr>
              <w:ind w:left="140"/>
              <w:spacing w:after="0"/>
              <w:rPr>
                <w:sz w:val="20"/>
                <w:szCs w:val="20"/>
                <w:color w:val="auto"/>
              </w:rPr>
            </w:pPr>
            <w:r>
              <w:rPr>
                <w:rFonts w:ascii="Arial" w:cs="Arial" w:eastAsia="Arial" w:hAnsi="Arial"/>
                <w:sz w:val="15"/>
                <w:szCs w:val="15"/>
                <w:b w:val="1"/>
                <w:bCs w:val="1"/>
                <w:color w:val="1252DE"/>
              </w:rPr>
              <w:t>Net premiums earned</w:t>
            </w:r>
          </w:p>
        </w:tc>
        <w:tc>
          <w:tcPr>
            <w:tcW w:w="200" w:type="dxa"/>
            <w:vAlign w:val="bottom"/>
          </w:tcPr>
          <w:p>
            <w:pPr>
              <w:spacing w:after="0"/>
              <w:rPr>
                <w:sz w:val="16"/>
                <w:szCs w:val="16"/>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352DE"/>
              </w:rPr>
              <w:t>2,362</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2,198</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b w:val="1"/>
                <w:bCs w:val="1"/>
                <w:color w:val="1352DE"/>
              </w:rPr>
              <w:t>6,939</w:t>
            </w: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6,455</w:t>
            </w:r>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20" w:type="dxa"/>
            <w:vAlign w:val="bottom"/>
          </w:tcPr>
          <w:p>
            <w:pPr>
              <w:ind w:left="140"/>
              <w:spacing w:after="0" w:line="204" w:lineRule="exact"/>
              <w:rPr>
                <w:sz w:val="20"/>
                <w:szCs w:val="20"/>
                <w:color w:val="auto"/>
              </w:rPr>
            </w:pPr>
            <w:r>
              <w:rPr>
                <w:rFonts w:ascii="Arial" w:cs="Arial" w:eastAsia="Arial" w:hAnsi="Arial"/>
                <w:sz w:val="15"/>
                <w:szCs w:val="15"/>
                <w:color w:val="auto"/>
              </w:rPr>
              <w:t>Losses and loss adjustment expenses incurred</w:t>
            </w:r>
            <w:r>
              <w:rPr>
                <w:rFonts w:ascii="Arial" w:cs="Arial" w:eastAsia="Arial" w:hAnsi="Arial"/>
                <w:sz w:val="19"/>
                <w:szCs w:val="19"/>
                <w:color w:val="auto"/>
                <w:vertAlign w:val="superscript"/>
              </w:rPr>
              <w:t>(a)</w:t>
            </w:r>
          </w:p>
        </w:tc>
        <w:tc>
          <w:tcPr>
            <w:tcW w:w="20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352DE"/>
              </w:rPr>
              <w:t>1,641</w:t>
            </w:r>
          </w:p>
        </w:tc>
        <w:tc>
          <w:tcPr>
            <w:tcW w:w="52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1,303</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b w:val="1"/>
                <w:bCs w:val="1"/>
                <w:color w:val="1352DE"/>
              </w:rPr>
              <w:t>4,472</w:t>
            </w:r>
          </w:p>
        </w:tc>
        <w:tc>
          <w:tcPr>
            <w:tcW w:w="5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4,169</w:t>
            </w:r>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5"/>
                <w:szCs w:val="15"/>
                <w:color w:val="auto"/>
              </w:rPr>
              <w:t>Acquisition expenses: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40"/>
              <w:spacing w:after="0"/>
              <w:rPr>
                <w:sz w:val="20"/>
                <w:szCs w:val="20"/>
                <w:color w:val="auto"/>
              </w:rPr>
            </w:pPr>
            <w:r>
              <w:rPr>
                <w:rFonts w:ascii="Arial" w:cs="Arial" w:eastAsia="Arial" w:hAnsi="Arial"/>
                <w:sz w:val="15"/>
                <w:szCs w:val="15"/>
                <w:color w:val="auto"/>
              </w:rPr>
              <w:t>Amortization of deferred policy acquisition costs</w:t>
            </w:r>
          </w:p>
        </w:tc>
        <w:tc>
          <w:tcPr>
            <w:tcW w:w="20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352DE"/>
              </w:rPr>
              <w:t>242</w:t>
            </w:r>
          </w:p>
        </w:tc>
        <w:tc>
          <w:tcPr>
            <w:tcW w:w="52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221</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b w:val="1"/>
                <w:bCs w:val="1"/>
                <w:color w:val="1352DE"/>
              </w:rPr>
              <w:t>703</w:t>
            </w:r>
          </w:p>
        </w:tc>
        <w:tc>
          <w:tcPr>
            <w:tcW w:w="5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654</w:t>
            </w:r>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20" w:type="dxa"/>
            <w:vAlign w:val="bottom"/>
            <w:tcBorders>
              <w:bottom w:val="single" w:sz="8" w:color="1352DE"/>
            </w:tcBorders>
          </w:tcPr>
          <w:p>
            <w:pPr>
              <w:ind w:left="240"/>
              <w:spacing w:after="0"/>
              <w:rPr>
                <w:sz w:val="20"/>
                <w:szCs w:val="20"/>
                <w:color w:val="auto"/>
              </w:rPr>
            </w:pPr>
            <w:r>
              <w:rPr>
                <w:rFonts w:ascii="Arial" w:cs="Arial" w:eastAsia="Arial" w:hAnsi="Arial"/>
                <w:sz w:val="15"/>
                <w:szCs w:val="15"/>
                <w:color w:val="auto"/>
              </w:rPr>
              <w:t>Other acquisition expenses</w:t>
            </w: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352DE"/>
              </w:rPr>
              <w:t>54</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44</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23</w:t>
            </w:r>
          </w:p>
        </w:tc>
        <w:tc>
          <w:tcPr>
            <w:tcW w:w="36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352DE"/>
              </w:rPr>
              <w:t>160</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137</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17</w:t>
            </w:r>
          </w:p>
        </w:tc>
        <w:tc>
          <w:tcPr>
            <w:tcW w:w="30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20" w:type="dxa"/>
            <w:vAlign w:val="bottom"/>
          </w:tcPr>
          <w:p>
            <w:pPr>
              <w:ind w:left="140"/>
              <w:spacing w:after="0"/>
              <w:rPr>
                <w:sz w:val="20"/>
                <w:szCs w:val="20"/>
                <w:color w:val="auto"/>
              </w:rPr>
            </w:pPr>
            <w:r>
              <w:rPr>
                <w:rFonts w:ascii="Arial" w:cs="Arial" w:eastAsia="Arial" w:hAnsi="Arial"/>
                <w:sz w:val="15"/>
                <w:szCs w:val="15"/>
                <w:b w:val="1"/>
                <w:bCs w:val="1"/>
                <w:color w:val="1252DE"/>
              </w:rPr>
              <w:t>Total acquisition expenses</w:t>
            </w:r>
          </w:p>
        </w:tc>
        <w:tc>
          <w:tcPr>
            <w:tcW w:w="200" w:type="dxa"/>
            <w:vAlign w:val="bottom"/>
          </w:tcPr>
          <w:p>
            <w:pPr>
              <w:spacing w:after="0"/>
              <w:rPr>
                <w:sz w:val="16"/>
                <w:szCs w:val="16"/>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352DE"/>
              </w:rPr>
              <w:t>296</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265</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12</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b w:val="1"/>
                <w:bCs w:val="1"/>
                <w:color w:val="1352DE"/>
              </w:rPr>
              <w:t>863</w:t>
            </w: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791</w:t>
            </w:r>
          </w:p>
        </w:tc>
        <w:tc>
          <w:tcPr>
            <w:tcW w:w="800" w:type="dxa"/>
            <w:vAlign w:val="bottom"/>
          </w:tcPr>
          <w:p>
            <w:pPr>
              <w:jc w:val="right"/>
              <w:spacing w:after="0"/>
              <w:rPr>
                <w:sz w:val="20"/>
                <w:szCs w:val="20"/>
                <w:color w:val="auto"/>
              </w:rPr>
            </w:pPr>
            <w:r>
              <w:rPr>
                <w:rFonts w:ascii="Arial" w:cs="Arial" w:eastAsia="Arial" w:hAnsi="Arial"/>
                <w:sz w:val="15"/>
                <w:szCs w:val="15"/>
                <w:color w:val="auto"/>
              </w:rPr>
              <w:t>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2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General operating expenses</w:t>
            </w: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352DE"/>
              </w:rPr>
              <w:t>258</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246</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5</w:t>
            </w:r>
          </w:p>
        </w:tc>
        <w:tc>
          <w:tcPr>
            <w:tcW w:w="36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352DE"/>
              </w:rPr>
              <w:t>738</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681</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8</w:t>
            </w:r>
          </w:p>
        </w:tc>
        <w:tc>
          <w:tcPr>
            <w:tcW w:w="30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Underwriting income</w:t>
            </w:r>
          </w:p>
        </w:tc>
        <w:tc>
          <w:tcPr>
            <w:tcW w:w="20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352DE"/>
              </w:rPr>
              <w:t>$</w:t>
            </w: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352DE"/>
              </w:rPr>
              <w:t>167</w:t>
            </w:r>
          </w:p>
        </w:tc>
        <w:tc>
          <w:tcPr>
            <w:tcW w:w="520" w:type="dxa"/>
            <w:vAlign w:val="bottom"/>
            <w:tcBorders>
              <w:bottom w:val="single" w:sz="8" w:color="1352DE"/>
            </w:tcBorders>
          </w:tcPr>
          <w:p>
            <w:pPr>
              <w:jc w:val="right"/>
              <w:ind w:right="26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384</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(57)</w:t>
            </w:r>
          </w:p>
        </w:tc>
        <w:tc>
          <w:tcPr>
            <w:tcW w:w="36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w w:val="95"/>
              </w:rPr>
              <w:t>$</w:t>
            </w: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352DE"/>
              </w:rPr>
              <w:t>866</w:t>
            </w:r>
          </w:p>
        </w:tc>
        <w:tc>
          <w:tcPr>
            <w:tcW w:w="520" w:type="dxa"/>
            <w:vAlign w:val="bottom"/>
            <w:tcBorders>
              <w:bottom w:val="single" w:sz="8" w:color="1352DE"/>
            </w:tcBorders>
          </w:tcPr>
          <w:p>
            <w:pPr>
              <w:jc w:val="right"/>
              <w:ind w:right="26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814</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6</w:t>
            </w:r>
          </w:p>
        </w:tc>
        <w:tc>
          <w:tcPr>
            <w:tcW w:w="3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3051F2"/>
            </w:tcBorders>
          </w:tcPr>
          <w:p>
            <w:pPr>
              <w:ind w:left="20"/>
              <w:spacing w:after="0" w:line="196" w:lineRule="exact"/>
              <w:rPr>
                <w:sz w:val="20"/>
                <w:szCs w:val="20"/>
                <w:color w:val="auto"/>
              </w:rPr>
            </w:pPr>
            <w:r>
              <w:rPr>
                <w:rFonts w:ascii="Arial" w:cs="Arial" w:eastAsia="Arial" w:hAnsi="Arial"/>
                <w:sz w:val="15"/>
                <w:szCs w:val="15"/>
                <w:b w:val="1"/>
                <w:bCs w:val="1"/>
                <w:color w:val="3051F2"/>
              </w:rPr>
              <w:t>Loss ratio</w:t>
            </w:r>
            <w:r>
              <w:rPr>
                <w:rFonts w:ascii="Arial" w:cs="Arial" w:eastAsia="Arial" w:hAnsi="Arial"/>
                <w:sz w:val="19"/>
                <w:szCs w:val="19"/>
                <w:b w:val="1"/>
                <w:bCs w:val="1"/>
                <w:color w:val="3051F2"/>
                <w:vertAlign w:val="superscript"/>
              </w:rPr>
              <w:t>(a)</w:t>
            </w:r>
          </w:p>
        </w:tc>
        <w:tc>
          <w:tcPr>
            <w:tcW w:w="200" w:type="dxa"/>
            <w:vAlign w:val="bottom"/>
            <w:tcBorders>
              <w:bottom w:val="single" w:sz="8" w:color="3051F2"/>
            </w:tcBorders>
          </w:tcPr>
          <w:p>
            <w:pPr>
              <w:spacing w:after="0"/>
              <w:rPr>
                <w:sz w:val="17"/>
                <w:szCs w:val="17"/>
                <w:color w:val="auto"/>
              </w:rPr>
            </w:pPr>
          </w:p>
        </w:tc>
        <w:tc>
          <w:tcPr>
            <w:tcW w:w="780" w:type="dxa"/>
            <w:vAlign w:val="bottom"/>
            <w:tcBorders>
              <w:bottom w:val="single" w:sz="8" w:color="3051F2"/>
            </w:tcBorders>
          </w:tcPr>
          <w:p>
            <w:pPr>
              <w:jc w:val="right"/>
              <w:ind w:right="64"/>
              <w:spacing w:after="0"/>
              <w:rPr>
                <w:sz w:val="20"/>
                <w:szCs w:val="20"/>
                <w:color w:val="auto"/>
              </w:rPr>
            </w:pPr>
            <w:r>
              <w:rPr>
                <w:rFonts w:ascii="Arial" w:cs="Arial" w:eastAsia="Arial" w:hAnsi="Arial"/>
                <w:sz w:val="15"/>
                <w:szCs w:val="15"/>
                <w:b w:val="1"/>
                <w:bCs w:val="1"/>
                <w:color w:val="1252DE"/>
              </w:rPr>
              <w:t>69.5</w:t>
            </w:r>
          </w:p>
        </w:tc>
        <w:tc>
          <w:tcPr>
            <w:tcW w:w="520" w:type="dxa"/>
            <w:vAlign w:val="bottom"/>
            <w:tcBorders>
              <w:bottom w:val="single" w:sz="8" w:color="3051F2"/>
            </w:tcBorders>
          </w:tcPr>
          <w:p>
            <w:pPr>
              <w:spacing w:after="0"/>
              <w:rPr>
                <w:sz w:val="17"/>
                <w:szCs w:val="17"/>
                <w:color w:val="auto"/>
              </w:rPr>
            </w:pPr>
          </w:p>
        </w:tc>
        <w:tc>
          <w:tcPr>
            <w:tcW w:w="460" w:type="dxa"/>
            <w:vAlign w:val="bottom"/>
            <w:tcBorders>
              <w:bottom w:val="single" w:sz="8" w:color="3051F2"/>
            </w:tcBorders>
          </w:tcPr>
          <w:p>
            <w:pPr>
              <w:jc w:val="right"/>
              <w:ind w:right="4"/>
              <w:spacing w:after="0"/>
              <w:rPr>
                <w:sz w:val="20"/>
                <w:szCs w:val="20"/>
                <w:color w:val="auto"/>
              </w:rPr>
            </w:pPr>
            <w:r>
              <w:rPr>
                <w:rFonts w:ascii="Arial" w:cs="Arial" w:eastAsia="Arial" w:hAnsi="Arial"/>
                <w:sz w:val="15"/>
                <w:szCs w:val="15"/>
                <w:color w:val="auto"/>
              </w:rPr>
              <w:t>59.3</w:t>
            </w:r>
          </w:p>
        </w:tc>
        <w:tc>
          <w:tcPr>
            <w:tcW w:w="840" w:type="dxa"/>
            <w:vAlign w:val="bottom"/>
            <w:tcBorders>
              <w:bottom w:val="single" w:sz="8" w:color="3051F2"/>
            </w:tcBorders>
          </w:tcPr>
          <w:p>
            <w:pPr>
              <w:jc w:val="right"/>
              <w:ind w:right="24"/>
              <w:spacing w:after="0"/>
              <w:rPr>
                <w:sz w:val="20"/>
                <w:szCs w:val="20"/>
                <w:color w:val="auto"/>
              </w:rPr>
            </w:pPr>
            <w:r>
              <w:rPr>
                <w:rFonts w:ascii="Arial" w:cs="Arial" w:eastAsia="Arial" w:hAnsi="Arial"/>
                <w:sz w:val="15"/>
                <w:szCs w:val="15"/>
                <w:color w:val="auto"/>
              </w:rPr>
              <w:t>10.2</w:t>
            </w:r>
          </w:p>
        </w:tc>
        <w:tc>
          <w:tcPr>
            <w:tcW w:w="360" w:type="dxa"/>
            <w:vAlign w:val="bottom"/>
            <w:tcBorders>
              <w:bottom w:val="single" w:sz="8" w:color="3051F2"/>
            </w:tcBorders>
          </w:tcPr>
          <w:p>
            <w:pPr>
              <w:spacing w:after="0"/>
              <w:rPr>
                <w:sz w:val="17"/>
                <w:szCs w:val="17"/>
                <w:color w:val="auto"/>
              </w:rPr>
            </w:pPr>
          </w:p>
        </w:tc>
        <w:tc>
          <w:tcPr>
            <w:tcW w:w="200" w:type="dxa"/>
            <w:vAlign w:val="bottom"/>
            <w:tcBorders>
              <w:bottom w:val="single" w:sz="8" w:color="3051F2"/>
            </w:tcBorders>
          </w:tcPr>
          <w:p>
            <w:pPr>
              <w:spacing w:after="0"/>
              <w:rPr>
                <w:sz w:val="17"/>
                <w:szCs w:val="17"/>
                <w:color w:val="auto"/>
              </w:rPr>
            </w:pPr>
          </w:p>
        </w:tc>
        <w:tc>
          <w:tcPr>
            <w:tcW w:w="760" w:type="dxa"/>
            <w:vAlign w:val="bottom"/>
            <w:tcBorders>
              <w:bottom w:val="single" w:sz="8" w:color="3051F2"/>
            </w:tcBorders>
          </w:tcPr>
          <w:p>
            <w:pPr>
              <w:jc w:val="right"/>
              <w:ind w:right="44"/>
              <w:spacing w:after="0"/>
              <w:rPr>
                <w:sz w:val="20"/>
                <w:szCs w:val="20"/>
                <w:color w:val="auto"/>
              </w:rPr>
            </w:pPr>
            <w:r>
              <w:rPr>
                <w:rFonts w:ascii="Arial" w:cs="Arial" w:eastAsia="Arial" w:hAnsi="Arial"/>
                <w:sz w:val="15"/>
                <w:szCs w:val="15"/>
                <w:b w:val="1"/>
                <w:bCs w:val="1"/>
                <w:color w:val="1252DE"/>
              </w:rPr>
              <w:t>64.4</w:t>
            </w:r>
          </w:p>
        </w:tc>
        <w:tc>
          <w:tcPr>
            <w:tcW w:w="520" w:type="dxa"/>
            <w:vAlign w:val="bottom"/>
            <w:tcBorders>
              <w:bottom w:val="single" w:sz="8" w:color="3051F2"/>
            </w:tcBorders>
          </w:tcPr>
          <w:p>
            <w:pPr>
              <w:spacing w:after="0"/>
              <w:rPr>
                <w:sz w:val="17"/>
                <w:szCs w:val="17"/>
                <w:color w:val="auto"/>
              </w:rPr>
            </w:pPr>
          </w:p>
        </w:tc>
        <w:tc>
          <w:tcPr>
            <w:tcW w:w="46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64.6</w:t>
            </w:r>
          </w:p>
        </w:tc>
        <w:tc>
          <w:tcPr>
            <w:tcW w:w="800" w:type="dxa"/>
            <w:vAlign w:val="bottom"/>
            <w:tcBorders>
              <w:bottom w:val="single" w:sz="8" w:color="3051F2"/>
            </w:tcBorders>
          </w:tcPr>
          <w:p>
            <w:pPr>
              <w:jc w:val="right"/>
              <w:spacing w:after="0"/>
              <w:rPr>
                <w:sz w:val="20"/>
                <w:szCs w:val="20"/>
                <w:color w:val="auto"/>
              </w:rPr>
            </w:pPr>
            <w:r>
              <w:rPr>
                <w:rFonts w:ascii="Arial" w:cs="Arial" w:eastAsia="Arial" w:hAnsi="Arial"/>
                <w:sz w:val="15"/>
                <w:szCs w:val="15"/>
                <w:color w:val="auto"/>
              </w:rPr>
              <w:t>(0.2)</w:t>
            </w:r>
          </w:p>
        </w:tc>
        <w:tc>
          <w:tcPr>
            <w:tcW w:w="300" w:type="dxa"/>
            <w:vAlign w:val="bottom"/>
            <w:tcBorders>
              <w:bottom w:val="single" w:sz="8" w:color="3051F2"/>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20" w:type="dxa"/>
            <w:vAlign w:val="bottom"/>
          </w:tcPr>
          <w:p>
            <w:pPr>
              <w:ind w:left="140"/>
              <w:spacing w:after="0"/>
              <w:rPr>
                <w:sz w:val="20"/>
                <w:szCs w:val="20"/>
                <w:color w:val="auto"/>
              </w:rPr>
            </w:pPr>
            <w:r>
              <w:rPr>
                <w:rFonts w:ascii="Arial" w:cs="Arial" w:eastAsia="Arial" w:hAnsi="Arial"/>
                <w:sz w:val="15"/>
                <w:szCs w:val="15"/>
                <w:color w:val="auto"/>
              </w:rPr>
              <w:t>Acquisition ratio</w:t>
            </w:r>
          </w:p>
        </w:tc>
        <w:tc>
          <w:tcPr>
            <w:tcW w:w="200" w:type="dxa"/>
            <w:vAlign w:val="bottom"/>
          </w:tcPr>
          <w:p>
            <w:pPr>
              <w:spacing w:after="0"/>
              <w:rPr>
                <w:sz w:val="16"/>
                <w:szCs w:val="16"/>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252DE"/>
              </w:rPr>
              <w:t>12.5</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12.1</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0.4</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b w:val="1"/>
                <w:bCs w:val="1"/>
                <w:color w:val="1252DE"/>
              </w:rPr>
              <w:t>12.4</w:t>
            </w: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12.3</w:t>
            </w:r>
          </w:p>
        </w:tc>
        <w:tc>
          <w:tcPr>
            <w:tcW w:w="800" w:type="dxa"/>
            <w:vAlign w:val="bottom"/>
          </w:tcPr>
          <w:p>
            <w:pPr>
              <w:jc w:val="right"/>
              <w:spacing w:after="0"/>
              <w:rPr>
                <w:sz w:val="20"/>
                <w:szCs w:val="20"/>
                <w:color w:val="auto"/>
              </w:rPr>
            </w:pPr>
            <w:r>
              <w:rPr>
                <w:rFonts w:ascii="Arial" w:cs="Arial" w:eastAsia="Arial" w:hAnsi="Arial"/>
                <w:sz w:val="15"/>
                <w:szCs w:val="15"/>
                <w:color w:val="auto"/>
              </w:rPr>
              <w:t>0.1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2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General operating expense ratio</w:t>
            </w: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10.9</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11.2</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(0.3)</w:t>
            </w:r>
          </w:p>
        </w:tc>
        <w:tc>
          <w:tcPr>
            <w:tcW w:w="36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10.6</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10.5</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0.1</w:t>
            </w:r>
          </w:p>
        </w:tc>
        <w:tc>
          <w:tcPr>
            <w:tcW w:w="30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Expense ratio</w:t>
            </w: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23.4</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23.3</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0.1</w:t>
            </w:r>
          </w:p>
        </w:tc>
        <w:tc>
          <w:tcPr>
            <w:tcW w:w="36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23.0</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22.8</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0.2</w:t>
            </w:r>
          </w:p>
        </w:tc>
        <w:tc>
          <w:tcPr>
            <w:tcW w:w="30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1352DE"/>
            </w:tcBorders>
          </w:tcPr>
          <w:p>
            <w:pPr>
              <w:ind w:left="20"/>
              <w:spacing w:after="0" w:line="196" w:lineRule="exact"/>
              <w:rPr>
                <w:sz w:val="20"/>
                <w:szCs w:val="20"/>
                <w:color w:val="auto"/>
              </w:rPr>
            </w:pPr>
            <w:r>
              <w:rPr>
                <w:rFonts w:ascii="Arial" w:cs="Arial" w:eastAsia="Arial" w:hAnsi="Arial"/>
                <w:sz w:val="15"/>
                <w:szCs w:val="15"/>
                <w:b w:val="1"/>
                <w:bCs w:val="1"/>
                <w:color w:val="3051F2"/>
              </w:rPr>
              <w:t>Combined ratio</w:t>
            </w:r>
            <w:r>
              <w:rPr>
                <w:rFonts w:ascii="Arial" w:cs="Arial" w:eastAsia="Arial" w:hAnsi="Arial"/>
                <w:sz w:val="19"/>
                <w:szCs w:val="19"/>
                <w:b w:val="1"/>
                <w:bCs w:val="1"/>
                <w:color w:val="3051F2"/>
                <w:vertAlign w:val="superscript"/>
              </w:rPr>
              <w:t>(a)</w:t>
            </w: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92.9</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82.6</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10.3</w:t>
            </w:r>
          </w:p>
        </w:tc>
        <w:tc>
          <w:tcPr>
            <w:tcW w:w="36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87.4</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87.4</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20"/>
              <w:spacing w:after="0" w:line="142" w:lineRule="exact"/>
              <w:rPr>
                <w:sz w:val="20"/>
                <w:szCs w:val="20"/>
                <w:color w:val="auto"/>
              </w:rPr>
            </w:pPr>
            <w:r>
              <w:rPr>
                <w:rFonts w:ascii="Arial" w:cs="Arial" w:eastAsia="Arial" w:hAnsi="Arial"/>
                <w:sz w:val="15"/>
                <w:szCs w:val="15"/>
                <w:b w:val="1"/>
                <w:bCs w:val="1"/>
                <w:color w:val="1252DE"/>
              </w:rPr>
              <w:t>Adjustments for accident year loss ratio, as adjusted and accident</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140"/>
              <w:spacing w:after="0"/>
              <w:rPr>
                <w:sz w:val="20"/>
                <w:szCs w:val="20"/>
                <w:color w:val="auto"/>
              </w:rPr>
            </w:pPr>
            <w:r>
              <w:rPr>
                <w:rFonts w:ascii="Arial" w:cs="Arial" w:eastAsia="Arial" w:hAnsi="Arial"/>
                <w:sz w:val="15"/>
                <w:szCs w:val="15"/>
                <w:b w:val="1"/>
                <w:bCs w:val="1"/>
                <w:color w:val="1252DE"/>
              </w:rPr>
              <w:t>year combined ratio, as adjusted: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140"/>
              <w:spacing w:after="0"/>
              <w:rPr>
                <w:sz w:val="20"/>
                <w:szCs w:val="20"/>
                <w:color w:val="auto"/>
              </w:rPr>
            </w:pPr>
            <w:r>
              <w:rPr>
                <w:rFonts w:ascii="Arial" w:cs="Arial" w:eastAsia="Arial" w:hAnsi="Arial"/>
                <w:sz w:val="15"/>
                <w:szCs w:val="15"/>
                <w:color w:val="auto"/>
              </w:rPr>
              <w:t>Catastrophe losses and reinstatement premiums</w:t>
            </w:r>
          </w:p>
        </w:tc>
        <w:tc>
          <w:tcPr>
            <w:tcW w:w="20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1252DE"/>
              </w:rPr>
              <w:t>(7.1)</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w:t>
            </w:r>
          </w:p>
        </w:tc>
        <w:tc>
          <w:tcPr>
            <w:tcW w:w="840" w:type="dxa"/>
            <w:vAlign w:val="bottom"/>
          </w:tcPr>
          <w:p>
            <w:pPr>
              <w:jc w:val="right"/>
              <w:spacing w:after="0"/>
              <w:rPr>
                <w:sz w:val="20"/>
                <w:szCs w:val="20"/>
                <w:color w:val="auto"/>
              </w:rPr>
            </w:pPr>
            <w:r>
              <w:rPr>
                <w:rFonts w:ascii="Arial" w:cs="Arial" w:eastAsia="Arial" w:hAnsi="Arial"/>
                <w:sz w:val="15"/>
                <w:szCs w:val="15"/>
                <w:color w:val="auto"/>
              </w:rPr>
              <w:t>(4.0)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1252DE"/>
              </w:rPr>
              <w:t>(5.3)</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(6.6)</w:t>
            </w: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Prior year development, net of prior year premiums</w:t>
            </w:r>
          </w:p>
        </w:tc>
        <w:tc>
          <w:tcPr>
            <w:tcW w:w="200" w:type="dxa"/>
            <w:vAlign w:val="bottom"/>
            <w:tcBorders>
              <w:bottom w:val="single" w:sz="8" w:color="1352DE"/>
            </w:tcBorders>
          </w:tcPr>
          <w:p>
            <w:pPr>
              <w:spacing w:after="0"/>
              <w:rPr>
                <w:sz w:val="20"/>
                <w:szCs w:val="20"/>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1.4</w:t>
            </w:r>
          </w:p>
        </w:tc>
        <w:tc>
          <w:tcPr>
            <w:tcW w:w="520" w:type="dxa"/>
            <w:vAlign w:val="bottom"/>
            <w:tcBorders>
              <w:bottom w:val="single" w:sz="8" w:color="1352DE"/>
            </w:tcBorders>
          </w:tcPr>
          <w:p>
            <w:pPr>
              <w:spacing w:after="0"/>
              <w:rPr>
                <w:sz w:val="20"/>
                <w:szCs w:val="20"/>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5.9</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(4.5)</w:t>
            </w:r>
          </w:p>
        </w:tc>
        <w:tc>
          <w:tcPr>
            <w:tcW w:w="360" w:type="dxa"/>
            <w:vAlign w:val="bottom"/>
            <w:tcBorders>
              <w:bottom w:val="single" w:sz="8" w:color="1352DE"/>
            </w:tcBorders>
          </w:tcPr>
          <w:p>
            <w:pPr>
              <w:spacing w:after="0"/>
              <w:rPr>
                <w:sz w:val="20"/>
                <w:szCs w:val="20"/>
                <w:color w:val="auto"/>
              </w:rPr>
            </w:pPr>
          </w:p>
        </w:tc>
        <w:tc>
          <w:tcPr>
            <w:tcW w:w="200" w:type="dxa"/>
            <w:vAlign w:val="bottom"/>
            <w:tcBorders>
              <w:bottom w:val="single" w:sz="8" w:color="1352DE"/>
            </w:tcBorders>
          </w:tcPr>
          <w:p>
            <w:pPr>
              <w:spacing w:after="0"/>
              <w:rPr>
                <w:sz w:val="20"/>
                <w:szCs w:val="20"/>
                <w:color w:val="auto"/>
              </w:rPr>
            </w:pP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4.3</w:t>
            </w:r>
          </w:p>
        </w:tc>
        <w:tc>
          <w:tcPr>
            <w:tcW w:w="520" w:type="dxa"/>
            <w:vAlign w:val="bottom"/>
            <w:tcBorders>
              <w:bottom w:val="single" w:sz="8" w:color="1352DE"/>
            </w:tcBorders>
          </w:tcPr>
          <w:p>
            <w:pPr>
              <w:spacing w:after="0"/>
              <w:rPr>
                <w:sz w:val="20"/>
                <w:szCs w:val="20"/>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4.5</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(0.2)</w:t>
            </w:r>
          </w:p>
        </w:tc>
        <w:tc>
          <w:tcPr>
            <w:tcW w:w="300" w:type="dxa"/>
            <w:vAlign w:val="bottom"/>
            <w:tcBorders>
              <w:bottom w:val="single" w:sz="8" w:color="1352DE"/>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Accident year loss ratio, as adjusted</w:t>
            </w: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63.8</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62.1</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1.7</w:t>
            </w:r>
          </w:p>
        </w:tc>
        <w:tc>
          <w:tcPr>
            <w:tcW w:w="36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63.4</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62.5</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0.9</w:t>
            </w:r>
          </w:p>
        </w:tc>
        <w:tc>
          <w:tcPr>
            <w:tcW w:w="30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Accident year combined ratio, as adjusted</w:t>
            </w: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87.2</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85.4</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1.8</w:t>
            </w:r>
          </w:p>
        </w:tc>
        <w:tc>
          <w:tcPr>
            <w:tcW w:w="36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86.4</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85.3</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1.1</w:t>
            </w:r>
          </w:p>
        </w:tc>
        <w:tc>
          <w:tcPr>
            <w:tcW w:w="30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560" w:hanging="212"/>
        <w:spacing w:after="0" w:line="264" w:lineRule="auto"/>
        <w:tabs>
          <w:tab w:leader="none" w:pos="208"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Consistent with our definition of APTI, excludes net loss reserve discount and the portion of favorable or unfavorable prior year reserve development for which we have ceded the risk under retroactive reinsurance agreements and related changes in amortization of the deferred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24771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0" w:hanging="734"/>
        <w:spacing w:after="0"/>
        <w:tabs>
          <w:tab w:leader="none" w:pos="760" w:val="left"/>
        </w:tabs>
        <w:numPr>
          <w:ilvl w:val="0"/>
          <w:numId w:val="70"/>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Business Segment Operations</w:t>
      </w:r>
      <w:r>
        <w:rPr>
          <w:rFonts w:ascii="Arial" w:cs="Arial" w:eastAsia="Arial" w:hAnsi="Arial"/>
          <w:sz w:val="13"/>
          <w:szCs w:val="13"/>
          <w:color w:val="333740"/>
        </w:rPr>
        <w:t xml:space="preserve"> | </w:t>
      </w:r>
      <w:r>
        <w:rPr>
          <w:rFonts w:ascii="Arial" w:cs="Arial" w:eastAsia="Arial" w:hAnsi="Arial"/>
          <w:sz w:val="13"/>
          <w:szCs w:val="13"/>
          <w:b w:val="1"/>
          <w:bCs w:val="1"/>
          <w:color w:val="001871"/>
        </w:rPr>
        <w:t>General Insurance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Premiums Three Months Ended September 30, 2026 and 2025 Comparison</w:t>
      </w:r>
    </w:p>
    <w:p>
      <w:pPr>
        <w:spacing w:after="0" w:line="68"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auto"/>
        </w:rPr>
        <w:t>Net premiums written increased by $46 million, or 2 percent, primarily due to growth in Retail Casualty and Financial Lines, partially offset by lower production in certain Property lines. The increase in Net premiums earned is primarily driven by these same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Premiums Nine Months Ended September 30, 2026 and 2025 Comparison</w:t>
      </w:r>
    </w:p>
    <w:p>
      <w:pPr>
        <w:spacing w:after="0" w:line="6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Net premiums written increased by $739 million, or 11 percent, primarily due to reinsurance program changes and growth in Retail Casualty, Financial Lines and Property. The increase in Net premiums earned is primarily driven by these same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Underwriting Results Three Months Ended September 30, 2026 and 2025 Comparison</w:t>
      </w:r>
    </w:p>
    <w:p>
      <w:pPr>
        <w:spacing w:after="0" w:line="68"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North America Commercial produced underwriting income of $167 million from a combined ratio of 92.9, which was a 10.3 point increase. This was driven by a higher loss ratio (10.2 points) from:</w:t>
      </w:r>
    </w:p>
    <w:p>
      <w:pPr>
        <w:spacing w:after="0" w:line="2"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lower net favorable prior year reserve development (4.5 points), with favorable development across multiple lines;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higher catastrophe losses (4.0 points);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higher accident year loss ratio, as adjusted (1.7 points) primarily due to changes in business mix.</w:t>
      </w:r>
    </w:p>
    <w:p>
      <w:pPr>
        <w:spacing w:after="0" w:line="140" w:lineRule="exact"/>
        <w:rPr>
          <w:sz w:val="20"/>
          <w:szCs w:val="20"/>
          <w:color w:val="auto"/>
        </w:rPr>
      </w:pPr>
    </w:p>
    <w:p>
      <w:pPr>
        <w:ind w:right="700"/>
        <w:spacing w:after="0" w:line="321" w:lineRule="auto"/>
        <w:rPr>
          <w:sz w:val="20"/>
          <w:szCs w:val="20"/>
          <w:color w:val="auto"/>
        </w:rPr>
      </w:pPr>
      <w:r>
        <w:rPr>
          <w:rFonts w:ascii="Arial" w:cs="Arial" w:eastAsia="Arial" w:hAnsi="Arial"/>
          <w:sz w:val="16"/>
          <w:szCs w:val="16"/>
          <w:color w:val="auto"/>
        </w:rPr>
        <w:t>The expense ratio increased by 0.1 points, from a primarily mix-driven increase in the acquisition ratio (0.4 points) partially offset by a lower general operating expense ratio (0.3 points).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prior year development, see Insurance Reserves.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Underwriting Results Nine Months Ended September 30, 2026 and 2025 Comparison</w:t>
      </w:r>
    </w:p>
    <w:p>
      <w:pPr>
        <w:spacing w:after="0" w:line="68" w:lineRule="exact"/>
        <w:rPr>
          <w:sz w:val="20"/>
          <w:szCs w:val="20"/>
          <w:color w:val="auto"/>
        </w:rPr>
      </w:pPr>
    </w:p>
    <w:p>
      <w:pPr>
        <w:ind w:right="320"/>
        <w:spacing w:after="0" w:line="316" w:lineRule="auto"/>
        <w:rPr>
          <w:sz w:val="20"/>
          <w:szCs w:val="20"/>
          <w:color w:val="auto"/>
        </w:rPr>
      </w:pPr>
      <w:r>
        <w:rPr>
          <w:rFonts w:ascii="Arial" w:cs="Arial" w:eastAsia="Arial" w:hAnsi="Arial"/>
          <w:sz w:val="16"/>
          <w:szCs w:val="16"/>
          <w:color w:val="auto"/>
        </w:rPr>
        <w:t>North America Commercial produced underwriting income of $866 million from a combined ratio of 87.4, which was unchanged. The loss ratio was lower (0.2 points) from lower catastrophe losses (1.3 points), partially offset by:</w:t>
      </w:r>
    </w:p>
    <w:p>
      <w:pPr>
        <w:spacing w:after="0" w:line="2"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higher accident year loss ratio, as adjusted (0.9 points) primarily due to changes in business mix;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lower net favorable prior year reserve development (0.2 points), with favorable development primarily driven by Casualty and Property.</w:t>
      </w:r>
    </w:p>
    <w:p>
      <w:pPr>
        <w:spacing w:after="0" w:line="140"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expense ratio increased by 0.2 points, from a primarily mix-driven increase in the acquisition ratio (0.1 points) and a higher general operating expense ratio (0.1 points).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prior year development, see Insurance Reserves.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INTERNATIONAL COMMERCIAL</w:t>
      </w:r>
    </w:p>
    <w:p>
      <w:pPr>
        <w:spacing w:after="0" w:line="11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International Commercial segment consists of insurance businesses and operations in Europe, Middle East and Africa (EMEA region), the United Kingdom, Japan, Asia Pacific, Latin America and Caribbean, and China. The International Commercial segment also includes the results of Talbot Holdings Ltd. (Talbot) as well as AIG’s Global Specialty business. Products include Property, Casualty and Financial Lines, with clients ranging from small and medium-sized businesses to multinational companies. Global Specialty products include aviation, political risk, trade credit and trade finance.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Borders>
              <w:top w:val="single" w:sz="8" w:color="3051F2"/>
            </w:tcBorders>
          </w:tcPr>
          <w:p>
            <w:pPr>
              <w:spacing w:after="0"/>
              <w:rPr>
                <w:sz w:val="14"/>
                <w:szCs w:val="14"/>
                <w:color w:val="auto"/>
              </w:rPr>
            </w:pPr>
          </w:p>
        </w:tc>
        <w:tc>
          <w:tcPr>
            <w:tcW w:w="180" w:type="dxa"/>
            <w:vAlign w:val="bottom"/>
            <w:tcBorders>
              <w:top w:val="single" w:sz="8" w:color="3051F2"/>
            </w:tcBorders>
          </w:tcPr>
          <w:p>
            <w:pPr>
              <w:spacing w:after="0"/>
              <w:rPr>
                <w:sz w:val="14"/>
                <w:szCs w:val="14"/>
                <w:color w:val="auto"/>
              </w:rPr>
            </w:pPr>
          </w:p>
        </w:tc>
        <w:tc>
          <w:tcPr>
            <w:tcW w:w="1760" w:type="dxa"/>
            <w:vAlign w:val="bottom"/>
            <w:tcBorders>
              <w:top w:val="single" w:sz="8" w:color="3051F2"/>
            </w:tcBorders>
            <w:gridSpan w:val="3"/>
          </w:tcPr>
          <w:p>
            <w:pPr>
              <w:jc w:val="right"/>
              <w:ind w:right="184"/>
              <w:spacing w:after="0" w:line="162" w:lineRule="exact"/>
              <w:rPr>
                <w:sz w:val="20"/>
                <w:szCs w:val="20"/>
                <w:color w:val="auto"/>
              </w:rPr>
            </w:pPr>
            <w:r>
              <w:rPr>
                <w:rFonts w:ascii="Arial" w:cs="Arial" w:eastAsia="Arial" w:hAnsi="Arial"/>
                <w:sz w:val="15"/>
                <w:szCs w:val="15"/>
                <w:color w:val="1252DE"/>
              </w:rPr>
              <w:t>Three Months Ended</w:t>
            </w:r>
          </w:p>
        </w:tc>
        <w:tc>
          <w:tcPr>
            <w:tcW w:w="840" w:type="dxa"/>
            <w:vAlign w:val="bottom"/>
            <w:tcBorders>
              <w:top w:val="single" w:sz="8" w:color="3051F2"/>
            </w:tcBorders>
          </w:tcPr>
          <w:p>
            <w:pPr>
              <w:spacing w:after="0"/>
              <w:rPr>
                <w:sz w:val="14"/>
                <w:szCs w:val="14"/>
                <w:color w:val="auto"/>
              </w:rPr>
            </w:pPr>
          </w:p>
        </w:tc>
        <w:tc>
          <w:tcPr>
            <w:tcW w:w="320" w:type="dxa"/>
            <w:vAlign w:val="bottom"/>
            <w:tcBorders>
              <w:top w:val="single" w:sz="8" w:color="3051F2"/>
            </w:tcBorders>
          </w:tcPr>
          <w:p>
            <w:pPr>
              <w:spacing w:after="0"/>
              <w:rPr>
                <w:sz w:val="14"/>
                <w:szCs w:val="14"/>
                <w:color w:val="auto"/>
              </w:rPr>
            </w:pPr>
          </w:p>
        </w:tc>
        <w:tc>
          <w:tcPr>
            <w:tcW w:w="220" w:type="dxa"/>
            <w:vAlign w:val="bottom"/>
            <w:tcBorders>
              <w:top w:val="single" w:sz="8" w:color="3051F2"/>
            </w:tcBorders>
          </w:tcPr>
          <w:p>
            <w:pPr>
              <w:spacing w:after="0"/>
              <w:rPr>
                <w:sz w:val="14"/>
                <w:szCs w:val="14"/>
                <w:color w:val="auto"/>
              </w:rPr>
            </w:pPr>
          </w:p>
        </w:tc>
        <w:tc>
          <w:tcPr>
            <w:tcW w:w="1740" w:type="dxa"/>
            <w:vAlign w:val="bottom"/>
            <w:tcBorders>
              <w:top w:val="single" w:sz="8" w:color="3051F2"/>
            </w:tcBorders>
            <w:gridSpan w:val="3"/>
          </w:tcPr>
          <w:p>
            <w:pPr>
              <w:jc w:val="right"/>
              <w:ind w:right="224"/>
              <w:spacing w:after="0" w:line="162" w:lineRule="exact"/>
              <w:rPr>
                <w:sz w:val="20"/>
                <w:szCs w:val="20"/>
                <w:color w:val="auto"/>
              </w:rPr>
            </w:pPr>
            <w:r>
              <w:rPr>
                <w:rFonts w:ascii="Arial" w:cs="Arial" w:eastAsia="Arial" w:hAnsi="Arial"/>
                <w:sz w:val="15"/>
                <w:szCs w:val="15"/>
                <w:color w:val="1252DE"/>
              </w:rPr>
              <w:t>Nine Months Ended</w:t>
            </w:r>
          </w:p>
        </w:tc>
        <w:tc>
          <w:tcPr>
            <w:tcW w:w="800" w:type="dxa"/>
            <w:vAlign w:val="bottom"/>
            <w:tcBorders>
              <w:top w:val="single" w:sz="8" w:color="3051F2"/>
            </w:tcBorders>
          </w:tcPr>
          <w:p>
            <w:pPr>
              <w:spacing w:after="0"/>
              <w:rPr>
                <w:sz w:val="14"/>
                <w:szCs w:val="14"/>
                <w:color w:val="auto"/>
              </w:rPr>
            </w:pPr>
          </w:p>
        </w:tc>
        <w:tc>
          <w:tcPr>
            <w:tcW w:w="280" w:type="dxa"/>
            <w:vAlign w:val="bottom"/>
            <w:tcBorders>
              <w:top w:val="single" w:sz="8" w:color="3051F2"/>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80" w:type="dxa"/>
            <w:vAlign w:val="bottom"/>
            <w:tcBorders>
              <w:bottom w:val="single" w:sz="8" w:color="1352DE"/>
            </w:tcBorders>
          </w:tcPr>
          <w:p>
            <w:pPr>
              <w:spacing w:after="0"/>
              <w:rPr>
                <w:sz w:val="18"/>
                <w:szCs w:val="18"/>
                <w:color w:val="auto"/>
              </w:rPr>
            </w:pPr>
          </w:p>
        </w:tc>
        <w:tc>
          <w:tcPr>
            <w:tcW w:w="1300" w:type="dxa"/>
            <w:vAlign w:val="bottom"/>
            <w:tcBorders>
              <w:bottom w:val="single" w:sz="8" w:color="1352DE"/>
            </w:tcBorders>
            <w:gridSpan w:val="2"/>
          </w:tcPr>
          <w:p>
            <w:pPr>
              <w:jc w:val="right"/>
              <w:spacing w:after="0"/>
              <w:rPr>
                <w:sz w:val="20"/>
                <w:szCs w:val="20"/>
                <w:color w:val="auto"/>
              </w:rPr>
            </w:pPr>
            <w:r>
              <w:rPr>
                <w:rFonts w:ascii="Arial" w:cs="Arial" w:eastAsia="Arial" w:hAnsi="Arial"/>
                <w:sz w:val="15"/>
                <w:szCs w:val="15"/>
                <w:color w:val="1252DE"/>
              </w:rPr>
              <w:t>September 30,</w:t>
            </w:r>
          </w:p>
        </w:tc>
        <w:tc>
          <w:tcPr>
            <w:tcW w:w="460" w:type="dxa"/>
            <w:vAlign w:val="bottom"/>
            <w:tcBorders>
              <w:bottom w:val="single" w:sz="8" w:color="1352DE"/>
            </w:tcBorders>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1352DE"/>
            </w:tcBorders>
          </w:tcPr>
          <w:p>
            <w:pPr>
              <w:spacing w:after="0"/>
              <w:rPr>
                <w:sz w:val="18"/>
                <w:szCs w:val="18"/>
                <w:color w:val="auto"/>
              </w:rPr>
            </w:pPr>
          </w:p>
        </w:tc>
        <w:tc>
          <w:tcPr>
            <w:tcW w:w="1280" w:type="dxa"/>
            <w:vAlign w:val="bottom"/>
            <w:tcBorders>
              <w:bottom w:val="single" w:sz="8" w:color="1352DE"/>
            </w:tcBorders>
            <w:gridSpan w:val="2"/>
          </w:tcPr>
          <w:p>
            <w:pPr>
              <w:jc w:val="right"/>
              <w:spacing w:after="0"/>
              <w:rPr>
                <w:sz w:val="20"/>
                <w:szCs w:val="20"/>
                <w:color w:val="auto"/>
              </w:rPr>
            </w:pPr>
            <w:r>
              <w:rPr>
                <w:rFonts w:ascii="Arial" w:cs="Arial" w:eastAsia="Arial" w:hAnsi="Arial"/>
                <w:sz w:val="15"/>
                <w:szCs w:val="15"/>
                <w:color w:val="1252DE"/>
              </w:rPr>
              <w:t>September 30,</w:t>
            </w:r>
          </w:p>
        </w:tc>
        <w:tc>
          <w:tcPr>
            <w:tcW w:w="460" w:type="dxa"/>
            <w:vAlign w:val="bottom"/>
            <w:tcBorders>
              <w:bottom w:val="single" w:sz="8" w:color="1352DE"/>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8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2026</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Change</w:t>
            </w:r>
          </w:p>
        </w:tc>
        <w:tc>
          <w:tcPr>
            <w:tcW w:w="320" w:type="dxa"/>
            <w:vAlign w:val="bottom"/>
            <w:tcBorders>
              <w:bottom w:val="single" w:sz="8" w:color="1352DE"/>
            </w:tcBorders>
          </w:tcPr>
          <w:p>
            <w:pPr>
              <w:spacing w:after="0"/>
              <w:rPr>
                <w:sz w:val="18"/>
                <w:szCs w:val="18"/>
                <w:color w:val="auto"/>
              </w:rPr>
            </w:pPr>
          </w:p>
        </w:tc>
        <w:tc>
          <w:tcPr>
            <w:tcW w:w="220" w:type="dxa"/>
            <w:vAlign w:val="bottom"/>
            <w:tcBorders>
              <w:bottom w:val="single" w:sz="8" w:color="1352DE"/>
            </w:tcBorders>
          </w:tcPr>
          <w:p>
            <w:pPr>
              <w:spacing w:after="0"/>
              <w:rPr>
                <w:sz w:val="18"/>
                <w:szCs w:val="18"/>
                <w:color w:val="auto"/>
              </w:rPr>
            </w:pPr>
          </w:p>
        </w:tc>
        <w:tc>
          <w:tcPr>
            <w:tcW w:w="7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2026</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Change</w:t>
            </w:r>
          </w:p>
        </w:tc>
        <w:tc>
          <w:tcPr>
            <w:tcW w:w="28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Arial" w:cs="Arial" w:eastAsia="Arial" w:hAnsi="Arial"/>
                <w:sz w:val="15"/>
                <w:szCs w:val="15"/>
                <w:b w:val="1"/>
                <w:bCs w:val="1"/>
                <w:color w:val="1252DE"/>
              </w:rPr>
              <w:t>Underwriting results:</w:t>
            </w: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252DE"/>
                <w:w w:val="95"/>
              </w:rPr>
              <w:t>$</w:t>
            </w:r>
          </w:p>
        </w:tc>
        <w:tc>
          <w:tcPr>
            <w:tcW w:w="7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1252DE"/>
              </w:rPr>
              <w:t>2,387</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252DE"/>
              </w:rPr>
              <w:t>$</w:t>
            </w:r>
          </w:p>
        </w:tc>
        <w:tc>
          <w:tcPr>
            <w:tcW w:w="7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1252DE"/>
              </w:rPr>
              <w:t>7,425</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40"/>
              <w:spacing w:after="0"/>
              <w:rPr>
                <w:sz w:val="20"/>
                <w:szCs w:val="20"/>
                <w:color w:val="auto"/>
              </w:rPr>
            </w:pPr>
            <w:r>
              <w:rPr>
                <w:rFonts w:ascii="Arial" w:cs="Arial" w:eastAsia="Arial" w:hAnsi="Arial"/>
                <w:sz w:val="15"/>
                <w:szCs w:val="15"/>
                <w:color w:val="auto"/>
              </w:rPr>
              <w:t>Net premiums written</w:t>
            </w:r>
          </w:p>
        </w:tc>
        <w:tc>
          <w:tcPr>
            <w:tcW w:w="1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2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2,115</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w:t>
            </w:r>
          </w:p>
        </w:tc>
        <w:tc>
          <w:tcPr>
            <w:tcW w:w="3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6,467</w:t>
            </w:r>
          </w:p>
        </w:tc>
        <w:tc>
          <w:tcPr>
            <w:tcW w:w="800" w:type="dxa"/>
            <w:vAlign w:val="bottom"/>
          </w:tcPr>
          <w:p>
            <w:pPr>
              <w:jc w:val="right"/>
              <w:spacing w:after="0"/>
              <w:rPr>
                <w:sz w:val="20"/>
                <w:szCs w:val="20"/>
                <w:color w:val="auto"/>
              </w:rPr>
            </w:pPr>
            <w:r>
              <w:rPr>
                <w:rFonts w:ascii="Arial" w:cs="Arial" w:eastAsia="Arial" w:hAnsi="Arial"/>
                <w:sz w:val="15"/>
                <w:szCs w:val="15"/>
                <w:color w:val="auto"/>
              </w:rPr>
              <w:t>15</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5080" w:type="dxa"/>
            <w:vAlign w:val="bottom"/>
          </w:tcPr>
          <w:p>
            <w:pPr>
              <w:ind w:left="140"/>
              <w:spacing w:after="0"/>
              <w:rPr>
                <w:sz w:val="20"/>
                <w:szCs w:val="20"/>
                <w:color w:val="auto"/>
              </w:rPr>
            </w:pPr>
            <w:r>
              <w:rPr>
                <w:rFonts w:ascii="Arial" w:cs="Arial" w:eastAsia="Arial" w:hAnsi="Arial"/>
                <w:sz w:val="15"/>
                <w:szCs w:val="15"/>
                <w:color w:val="auto"/>
              </w:rPr>
              <w:t>Net premiums written, on constant dollar basis</w:t>
            </w:r>
          </w:p>
        </w:tc>
        <w:tc>
          <w:tcPr>
            <w:tcW w:w="180" w:type="dxa"/>
            <w:vAlign w:val="bottom"/>
          </w:tcPr>
          <w:p>
            <w:pPr>
              <w:spacing w:after="0"/>
              <w:rPr>
                <w:sz w:val="17"/>
                <w:szCs w:val="17"/>
                <w:color w:val="auto"/>
              </w:rPr>
            </w:pPr>
          </w:p>
        </w:tc>
        <w:tc>
          <w:tcPr>
            <w:tcW w:w="7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1252DE"/>
              </w:rPr>
              <w:t>20</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252DE"/>
              </w:rPr>
              <w:t>(559)</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(Increase) decrease in unearned premiums</w:t>
            </w:r>
          </w:p>
        </w:tc>
        <w:tc>
          <w:tcPr>
            <w:tcW w:w="18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vMerge w:val="continue"/>
          </w:tcPr>
          <w:p>
            <w:pPr>
              <w:spacing w:after="0"/>
              <w:rPr>
                <w:sz w:val="17"/>
                <w:szCs w:val="17"/>
                <w:color w:val="auto"/>
              </w:rPr>
            </w:pP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73</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(73)</w:t>
            </w:r>
          </w:p>
        </w:tc>
        <w:tc>
          <w:tcPr>
            <w:tcW w:w="32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vMerge w:val="continue"/>
          </w:tcPr>
          <w:p>
            <w:pPr>
              <w:spacing w:after="0"/>
              <w:rPr>
                <w:sz w:val="17"/>
                <w:szCs w:val="17"/>
                <w:color w:val="auto"/>
              </w:rPr>
            </w:pP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(104)</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(438)</w:t>
            </w:r>
          </w:p>
        </w:tc>
        <w:tc>
          <w:tcPr>
            <w:tcW w:w="28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140"/>
              <w:spacing w:after="0"/>
              <w:rPr>
                <w:sz w:val="20"/>
                <w:szCs w:val="20"/>
                <w:color w:val="auto"/>
              </w:rPr>
            </w:pPr>
            <w:r>
              <w:rPr>
                <w:rFonts w:ascii="Arial" w:cs="Arial" w:eastAsia="Arial" w:hAnsi="Arial"/>
                <w:sz w:val="15"/>
                <w:szCs w:val="15"/>
                <w:b w:val="1"/>
                <w:bCs w:val="1"/>
                <w:color w:val="1252DE"/>
              </w:rPr>
              <w:t>Net premiums earned</w:t>
            </w:r>
          </w:p>
        </w:tc>
        <w:tc>
          <w:tcPr>
            <w:tcW w:w="180" w:type="dxa"/>
            <w:vAlign w:val="bottom"/>
          </w:tcPr>
          <w:p>
            <w:pPr>
              <w:spacing w:after="0"/>
              <w:rPr>
                <w:sz w:val="16"/>
                <w:szCs w:val="16"/>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252DE"/>
              </w:rPr>
              <w:t>2,407</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2,188</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b w:val="1"/>
                <w:bCs w:val="1"/>
                <w:color w:val="1252DE"/>
              </w:rPr>
              <w:t>6,866</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6,363</w:t>
            </w:r>
          </w:p>
        </w:tc>
        <w:tc>
          <w:tcPr>
            <w:tcW w:w="800" w:type="dxa"/>
            <w:vAlign w:val="bottom"/>
          </w:tcPr>
          <w:p>
            <w:pPr>
              <w:jc w:val="right"/>
              <w:spacing w:after="0"/>
              <w:rPr>
                <w:sz w:val="20"/>
                <w:szCs w:val="20"/>
                <w:color w:val="auto"/>
              </w:rPr>
            </w:pPr>
            <w:r>
              <w:rPr>
                <w:rFonts w:ascii="Arial" w:cs="Arial" w:eastAsia="Arial" w:hAnsi="Arial"/>
                <w:sz w:val="15"/>
                <w:szCs w:val="15"/>
                <w:color w:val="auto"/>
              </w:rPr>
              <w:t>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140"/>
              <w:spacing w:after="0"/>
              <w:rPr>
                <w:sz w:val="20"/>
                <w:szCs w:val="20"/>
                <w:color w:val="auto"/>
              </w:rPr>
            </w:pPr>
            <w:r>
              <w:rPr>
                <w:rFonts w:ascii="Arial" w:cs="Arial" w:eastAsia="Arial" w:hAnsi="Arial"/>
                <w:sz w:val="15"/>
                <w:szCs w:val="15"/>
                <w:color w:val="auto"/>
              </w:rPr>
              <w:t>Losses and loss adjustment expenses incurred</w:t>
            </w:r>
          </w:p>
        </w:tc>
        <w:tc>
          <w:tcPr>
            <w:tcW w:w="18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252DE"/>
              </w:rPr>
              <w:t>1,388</w:t>
            </w:r>
          </w:p>
        </w:tc>
        <w:tc>
          <w:tcPr>
            <w:tcW w:w="52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1,167</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b w:val="1"/>
                <w:bCs w:val="1"/>
                <w:color w:val="1252DE"/>
              </w:rPr>
              <w:t>3,978</w:t>
            </w:r>
          </w:p>
        </w:tc>
        <w:tc>
          <w:tcPr>
            <w:tcW w:w="52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3,515</w:t>
            </w: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140"/>
              <w:spacing w:after="0"/>
              <w:rPr>
                <w:sz w:val="20"/>
                <w:szCs w:val="20"/>
                <w:color w:val="auto"/>
              </w:rPr>
            </w:pPr>
            <w:r>
              <w:rPr>
                <w:rFonts w:ascii="Arial" w:cs="Arial" w:eastAsia="Arial" w:hAnsi="Arial"/>
                <w:sz w:val="15"/>
                <w:szCs w:val="15"/>
                <w:color w:val="auto"/>
              </w:rPr>
              <w:t>Acquisition 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rPr>
                <w:sz w:val="20"/>
                <w:szCs w:val="20"/>
                <w:color w:val="auto"/>
              </w:rPr>
            </w:pPr>
            <w:r>
              <w:rPr>
                <w:rFonts w:ascii="Arial" w:cs="Arial" w:eastAsia="Arial" w:hAnsi="Arial"/>
                <w:sz w:val="15"/>
                <w:szCs w:val="15"/>
                <w:color w:val="auto"/>
              </w:rPr>
              <w:t>Amortization of deferred policy acquisition costs</w:t>
            </w:r>
          </w:p>
        </w:tc>
        <w:tc>
          <w:tcPr>
            <w:tcW w:w="18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252DE"/>
              </w:rPr>
              <w:t>324</w:t>
            </w:r>
          </w:p>
        </w:tc>
        <w:tc>
          <w:tcPr>
            <w:tcW w:w="52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285</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b w:val="1"/>
                <w:bCs w:val="1"/>
                <w:color w:val="1252DE"/>
              </w:rPr>
              <w:t>906</w:t>
            </w:r>
          </w:p>
        </w:tc>
        <w:tc>
          <w:tcPr>
            <w:tcW w:w="52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799</w:t>
            </w: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1352DE"/>
            </w:tcBorders>
          </w:tcPr>
          <w:p>
            <w:pPr>
              <w:ind w:left="240"/>
              <w:spacing w:after="0"/>
              <w:rPr>
                <w:sz w:val="20"/>
                <w:szCs w:val="20"/>
                <w:color w:val="auto"/>
              </w:rPr>
            </w:pPr>
            <w:r>
              <w:rPr>
                <w:rFonts w:ascii="Arial" w:cs="Arial" w:eastAsia="Arial" w:hAnsi="Arial"/>
                <w:sz w:val="15"/>
                <w:szCs w:val="15"/>
                <w:color w:val="auto"/>
              </w:rPr>
              <w:t>Other acquisition expenses</w:t>
            </w:r>
          </w:p>
        </w:tc>
        <w:tc>
          <w:tcPr>
            <w:tcW w:w="18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92</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96</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w:t>
            </w:r>
          </w:p>
        </w:tc>
        <w:tc>
          <w:tcPr>
            <w:tcW w:w="320" w:type="dxa"/>
            <w:vAlign w:val="bottom"/>
            <w:tcBorders>
              <w:bottom w:val="single" w:sz="8" w:color="1352DE"/>
            </w:tcBorders>
          </w:tcPr>
          <w:p>
            <w:pPr>
              <w:spacing w:after="0"/>
              <w:rPr>
                <w:sz w:val="18"/>
                <w:szCs w:val="18"/>
                <w:color w:val="auto"/>
              </w:rPr>
            </w:pPr>
          </w:p>
        </w:tc>
        <w:tc>
          <w:tcPr>
            <w:tcW w:w="220" w:type="dxa"/>
            <w:vAlign w:val="bottom"/>
            <w:tcBorders>
              <w:bottom w:val="single" w:sz="8" w:color="1352DE"/>
            </w:tcBorders>
          </w:tcPr>
          <w:p>
            <w:pPr>
              <w:spacing w:after="0"/>
              <w:rPr>
                <w:sz w:val="18"/>
                <w:szCs w:val="18"/>
                <w:color w:val="auto"/>
              </w:rPr>
            </w:pPr>
          </w:p>
        </w:tc>
        <w:tc>
          <w:tcPr>
            <w:tcW w:w="76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279</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274</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w:t>
            </w:r>
          </w:p>
        </w:tc>
        <w:tc>
          <w:tcPr>
            <w:tcW w:w="28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140"/>
              <w:spacing w:after="0"/>
              <w:rPr>
                <w:sz w:val="20"/>
                <w:szCs w:val="20"/>
                <w:color w:val="auto"/>
              </w:rPr>
            </w:pPr>
            <w:r>
              <w:rPr>
                <w:rFonts w:ascii="Arial" w:cs="Arial" w:eastAsia="Arial" w:hAnsi="Arial"/>
                <w:sz w:val="15"/>
                <w:szCs w:val="15"/>
                <w:b w:val="1"/>
                <w:bCs w:val="1"/>
                <w:color w:val="1252DE"/>
              </w:rPr>
              <w:t>Total acquisition expenses</w:t>
            </w:r>
          </w:p>
        </w:tc>
        <w:tc>
          <w:tcPr>
            <w:tcW w:w="180" w:type="dxa"/>
            <w:vAlign w:val="bottom"/>
          </w:tcPr>
          <w:p>
            <w:pPr>
              <w:spacing w:after="0"/>
              <w:rPr>
                <w:sz w:val="16"/>
                <w:szCs w:val="16"/>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252DE"/>
              </w:rPr>
              <w:t>416</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381</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b w:val="1"/>
                <w:bCs w:val="1"/>
                <w:color w:val="1252DE"/>
              </w:rPr>
              <w:t>1,185</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1,073</w:t>
            </w: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General operating expenses</w:t>
            </w:r>
          </w:p>
        </w:tc>
        <w:tc>
          <w:tcPr>
            <w:tcW w:w="18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320</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310</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3</w:t>
            </w:r>
          </w:p>
        </w:tc>
        <w:tc>
          <w:tcPr>
            <w:tcW w:w="320" w:type="dxa"/>
            <w:vAlign w:val="bottom"/>
            <w:tcBorders>
              <w:bottom w:val="single" w:sz="8" w:color="1352DE"/>
            </w:tcBorders>
          </w:tcPr>
          <w:p>
            <w:pPr>
              <w:spacing w:after="0"/>
              <w:rPr>
                <w:sz w:val="18"/>
                <w:szCs w:val="18"/>
                <w:color w:val="auto"/>
              </w:rPr>
            </w:pPr>
          </w:p>
        </w:tc>
        <w:tc>
          <w:tcPr>
            <w:tcW w:w="220" w:type="dxa"/>
            <w:vAlign w:val="bottom"/>
            <w:tcBorders>
              <w:bottom w:val="single" w:sz="8" w:color="1352DE"/>
            </w:tcBorders>
          </w:tcPr>
          <w:p>
            <w:pPr>
              <w:spacing w:after="0"/>
              <w:rPr>
                <w:sz w:val="18"/>
                <w:szCs w:val="18"/>
                <w:color w:val="auto"/>
              </w:rPr>
            </w:pPr>
          </w:p>
        </w:tc>
        <w:tc>
          <w:tcPr>
            <w:tcW w:w="76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942</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905</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w:t>
            </w:r>
          </w:p>
        </w:tc>
        <w:tc>
          <w:tcPr>
            <w:tcW w:w="28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Underwriting income</w:t>
            </w:r>
          </w:p>
        </w:tc>
        <w:tc>
          <w:tcPr>
            <w:tcW w:w="18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w w:val="95"/>
              </w:rPr>
              <w:t>$</w:t>
            </w: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283</w:t>
            </w:r>
          </w:p>
        </w:tc>
        <w:tc>
          <w:tcPr>
            <w:tcW w:w="520" w:type="dxa"/>
            <w:vAlign w:val="bottom"/>
            <w:tcBorders>
              <w:bottom w:val="single" w:sz="8" w:color="1352DE"/>
            </w:tcBorders>
          </w:tcPr>
          <w:p>
            <w:pPr>
              <w:jc w:val="right"/>
              <w:ind w:right="26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330</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(14)</w:t>
            </w:r>
          </w:p>
        </w:tc>
        <w:tc>
          <w:tcPr>
            <w:tcW w:w="32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w:t>
            </w:r>
          </w:p>
        </w:tc>
        <w:tc>
          <w:tcPr>
            <w:tcW w:w="76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761</w:t>
            </w:r>
          </w:p>
        </w:tc>
        <w:tc>
          <w:tcPr>
            <w:tcW w:w="520" w:type="dxa"/>
            <w:vAlign w:val="bottom"/>
            <w:tcBorders>
              <w:bottom w:val="single" w:sz="8" w:color="1352DE"/>
            </w:tcBorders>
          </w:tcPr>
          <w:p>
            <w:pPr>
              <w:jc w:val="right"/>
              <w:ind w:right="26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870</w:t>
            </w:r>
          </w:p>
        </w:tc>
        <w:tc>
          <w:tcPr>
            <w:tcW w:w="1080" w:type="dxa"/>
            <w:vAlign w:val="bottom"/>
            <w:tcBorders>
              <w:bottom w:val="single" w:sz="8" w:color="1352DE"/>
            </w:tcBorders>
            <w:gridSpan w:val="2"/>
          </w:tcPr>
          <w:p>
            <w:pPr>
              <w:jc w:val="right"/>
              <w:ind w:right="73"/>
              <w:spacing w:after="0"/>
              <w:rPr>
                <w:sz w:val="20"/>
                <w:szCs w:val="20"/>
                <w:color w:val="auto"/>
              </w:rPr>
            </w:pPr>
            <w:r>
              <w:rPr>
                <w:rFonts w:ascii="Arial" w:cs="Arial" w:eastAsia="Arial" w:hAnsi="Arial"/>
                <w:sz w:val="15"/>
                <w:szCs w:val="15"/>
                <w:color w:val="auto"/>
              </w:rPr>
              <w:t xml:space="preserve">(13)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Loss ratio</w:t>
            </w:r>
          </w:p>
        </w:tc>
        <w:tc>
          <w:tcPr>
            <w:tcW w:w="18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57.7</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53.3</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4.4</w:t>
            </w:r>
          </w:p>
        </w:tc>
        <w:tc>
          <w:tcPr>
            <w:tcW w:w="32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57.9</w:t>
            </w:r>
          </w:p>
        </w:tc>
        <w:tc>
          <w:tcPr>
            <w:tcW w:w="520" w:type="dxa"/>
            <w:vAlign w:val="bottom"/>
            <w:tcBorders>
              <w:bottom w:val="single" w:sz="8" w:color="1352DE"/>
            </w:tcBorders>
          </w:tcPr>
          <w:p>
            <w:pPr>
              <w:spacing w:after="0"/>
              <w:rPr>
                <w:sz w:val="17"/>
                <w:szCs w:val="17"/>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55.2</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2.7</w:t>
            </w:r>
          </w:p>
        </w:tc>
        <w:tc>
          <w:tcPr>
            <w:tcW w:w="280" w:type="dxa"/>
            <w:vAlign w:val="bottom"/>
            <w:tcBorders>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140"/>
              <w:spacing w:after="0"/>
              <w:rPr>
                <w:sz w:val="20"/>
                <w:szCs w:val="20"/>
                <w:color w:val="auto"/>
              </w:rPr>
            </w:pPr>
            <w:r>
              <w:rPr>
                <w:rFonts w:ascii="Arial" w:cs="Arial" w:eastAsia="Arial" w:hAnsi="Arial"/>
                <w:sz w:val="15"/>
                <w:szCs w:val="15"/>
                <w:color w:val="auto"/>
              </w:rPr>
              <w:t>Acquisition ratio</w:t>
            </w:r>
          </w:p>
        </w:tc>
        <w:tc>
          <w:tcPr>
            <w:tcW w:w="180" w:type="dxa"/>
            <w:vAlign w:val="bottom"/>
          </w:tcPr>
          <w:p>
            <w:pPr>
              <w:spacing w:after="0"/>
              <w:rPr>
                <w:sz w:val="16"/>
                <w:szCs w:val="16"/>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1252DE"/>
              </w:rPr>
              <w:t>17.3</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17.4</w:t>
            </w:r>
          </w:p>
        </w:tc>
        <w:tc>
          <w:tcPr>
            <w:tcW w:w="840" w:type="dxa"/>
            <w:vAlign w:val="bottom"/>
          </w:tcPr>
          <w:p>
            <w:pPr>
              <w:jc w:val="right"/>
              <w:spacing w:after="0"/>
              <w:rPr>
                <w:sz w:val="20"/>
                <w:szCs w:val="20"/>
                <w:color w:val="auto"/>
              </w:rPr>
            </w:pPr>
            <w:r>
              <w:rPr>
                <w:rFonts w:ascii="Arial" w:cs="Arial" w:eastAsia="Arial" w:hAnsi="Arial"/>
                <w:sz w:val="15"/>
                <w:szCs w:val="15"/>
                <w:color w:val="auto"/>
              </w:rPr>
              <w:t>(0.1)</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b w:val="1"/>
                <w:bCs w:val="1"/>
                <w:color w:val="1252DE"/>
              </w:rPr>
              <w:t>17.3</w:t>
            </w:r>
          </w:p>
        </w:tc>
        <w:tc>
          <w:tcPr>
            <w:tcW w:w="52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16.9</w:t>
            </w:r>
          </w:p>
        </w:tc>
        <w:tc>
          <w:tcPr>
            <w:tcW w:w="800" w:type="dxa"/>
            <w:vAlign w:val="bottom"/>
          </w:tcPr>
          <w:p>
            <w:pPr>
              <w:jc w:val="right"/>
              <w:spacing w:after="0"/>
              <w:rPr>
                <w:sz w:val="20"/>
                <w:szCs w:val="20"/>
                <w:color w:val="auto"/>
              </w:rPr>
            </w:pPr>
            <w:r>
              <w:rPr>
                <w:rFonts w:ascii="Arial" w:cs="Arial" w:eastAsia="Arial" w:hAnsi="Arial"/>
                <w:sz w:val="15"/>
                <w:szCs w:val="15"/>
                <w:color w:val="auto"/>
              </w:rPr>
              <w:t>0.4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General operating expense ratio</w:t>
            </w:r>
          </w:p>
        </w:tc>
        <w:tc>
          <w:tcPr>
            <w:tcW w:w="18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13.3</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14.2</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(0.9)</w:t>
            </w:r>
          </w:p>
        </w:tc>
        <w:tc>
          <w:tcPr>
            <w:tcW w:w="320" w:type="dxa"/>
            <w:vAlign w:val="bottom"/>
            <w:tcBorders>
              <w:bottom w:val="single" w:sz="8" w:color="1352DE"/>
            </w:tcBorders>
          </w:tcPr>
          <w:p>
            <w:pPr>
              <w:spacing w:after="0"/>
              <w:rPr>
                <w:sz w:val="18"/>
                <w:szCs w:val="18"/>
                <w:color w:val="auto"/>
              </w:rPr>
            </w:pPr>
          </w:p>
        </w:tc>
        <w:tc>
          <w:tcPr>
            <w:tcW w:w="220" w:type="dxa"/>
            <w:vAlign w:val="bottom"/>
            <w:tcBorders>
              <w:bottom w:val="single" w:sz="8" w:color="1352DE"/>
            </w:tcBorders>
          </w:tcPr>
          <w:p>
            <w:pPr>
              <w:spacing w:after="0"/>
              <w:rPr>
                <w:sz w:val="18"/>
                <w:szCs w:val="18"/>
                <w:color w:val="auto"/>
              </w:rPr>
            </w:pPr>
          </w:p>
        </w:tc>
        <w:tc>
          <w:tcPr>
            <w:tcW w:w="76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13.7</w:t>
            </w:r>
          </w:p>
        </w:tc>
        <w:tc>
          <w:tcPr>
            <w:tcW w:w="52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14.2</w:t>
            </w: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(0.5)</w:t>
            </w:r>
          </w:p>
        </w:tc>
        <w:tc>
          <w:tcPr>
            <w:tcW w:w="280" w:type="dxa"/>
            <w:vAlign w:val="bottom"/>
            <w:tcBorders>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368300</wp:posOffset>
            </wp:positionV>
            <wp:extent cx="23317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Business Segment Operations</w:t>
      </w:r>
      <w:r>
        <w:rPr>
          <w:rFonts w:ascii="Arial" w:cs="Arial" w:eastAsia="Arial" w:hAnsi="Arial"/>
          <w:sz w:val="13"/>
          <w:szCs w:val="13"/>
          <w:color w:val="333740"/>
        </w:rPr>
        <w:t xml:space="preserve"> | </w:t>
      </w:r>
      <w:r>
        <w:rPr>
          <w:rFonts w:ascii="Arial" w:cs="Arial" w:eastAsia="Arial" w:hAnsi="Arial"/>
          <w:sz w:val="13"/>
          <w:szCs w:val="13"/>
          <w:b w:val="1"/>
          <w:bCs w:val="1"/>
          <w:color w:val="001871"/>
        </w:rPr>
        <w:t>General Insurance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Borders>
              <w:top w:val="single" w:sz="8" w:color="3051F2"/>
            </w:tcBorders>
          </w:tcPr>
          <w:p>
            <w:pPr>
              <w:spacing w:after="0"/>
              <w:rPr>
                <w:sz w:val="14"/>
                <w:szCs w:val="14"/>
                <w:color w:val="auto"/>
              </w:rPr>
            </w:pPr>
          </w:p>
        </w:tc>
        <w:tc>
          <w:tcPr>
            <w:tcW w:w="1920" w:type="dxa"/>
            <w:vAlign w:val="bottom"/>
            <w:tcBorders>
              <w:top w:val="single" w:sz="8" w:color="3051F2"/>
            </w:tcBorders>
            <w:gridSpan w:val="2"/>
          </w:tcPr>
          <w:p>
            <w:pPr>
              <w:jc w:val="right"/>
              <w:ind w:right="164"/>
              <w:spacing w:after="0" w:line="162" w:lineRule="exact"/>
              <w:rPr>
                <w:sz w:val="20"/>
                <w:szCs w:val="20"/>
                <w:color w:val="auto"/>
              </w:rPr>
            </w:pPr>
            <w:r>
              <w:rPr>
                <w:rFonts w:ascii="Arial" w:cs="Arial" w:eastAsia="Arial" w:hAnsi="Arial"/>
                <w:sz w:val="15"/>
                <w:szCs w:val="15"/>
                <w:color w:val="1252DE"/>
              </w:rPr>
              <w:t>Three Months Ended</w:t>
            </w:r>
          </w:p>
        </w:tc>
        <w:tc>
          <w:tcPr>
            <w:tcW w:w="1160" w:type="dxa"/>
            <w:vAlign w:val="bottom"/>
            <w:tcBorders>
              <w:top w:val="single" w:sz="8" w:color="3051F2"/>
            </w:tcBorders>
          </w:tcPr>
          <w:p>
            <w:pPr>
              <w:spacing w:after="0"/>
              <w:rPr>
                <w:sz w:val="14"/>
                <w:szCs w:val="14"/>
                <w:color w:val="auto"/>
              </w:rPr>
            </w:pPr>
          </w:p>
        </w:tc>
        <w:tc>
          <w:tcPr>
            <w:tcW w:w="1960" w:type="dxa"/>
            <w:vAlign w:val="bottom"/>
            <w:tcBorders>
              <w:top w:val="single" w:sz="8" w:color="3051F2"/>
            </w:tcBorders>
            <w:gridSpan w:val="2"/>
          </w:tcPr>
          <w:p>
            <w:pPr>
              <w:jc w:val="right"/>
              <w:ind w:right="224"/>
              <w:spacing w:after="0" w:line="162" w:lineRule="exact"/>
              <w:rPr>
                <w:sz w:val="20"/>
                <w:szCs w:val="20"/>
                <w:color w:val="auto"/>
              </w:rPr>
            </w:pPr>
            <w:r>
              <w:rPr>
                <w:rFonts w:ascii="Arial" w:cs="Arial" w:eastAsia="Arial" w:hAnsi="Arial"/>
                <w:sz w:val="15"/>
                <w:szCs w:val="15"/>
                <w:color w:val="1252DE"/>
              </w:rPr>
              <w:t>Nine Months Ended</w:t>
            </w:r>
          </w:p>
        </w:tc>
        <w:tc>
          <w:tcPr>
            <w:tcW w:w="1080" w:type="dxa"/>
            <w:vAlign w:val="bottom"/>
            <w:tcBorders>
              <w:top w:val="single" w:sz="8" w:color="3051F2"/>
            </w:tcBorders>
          </w:tcPr>
          <w:p>
            <w:pPr>
              <w:spacing w:after="0"/>
              <w:rPr>
                <w:sz w:val="14"/>
                <w:szCs w:val="14"/>
                <w:color w:val="auto"/>
              </w:rPr>
            </w:pPr>
          </w:p>
        </w:tc>
      </w:tr>
      <w:tr>
        <w:trPr>
          <w:trHeight w:val="209"/>
        </w:trPr>
        <w:tc>
          <w:tcPr>
            <w:tcW w:w="5100" w:type="dxa"/>
            <w:vAlign w:val="bottom"/>
          </w:tcPr>
          <w:p>
            <w:pPr>
              <w:spacing w:after="0"/>
              <w:rPr>
                <w:sz w:val="18"/>
                <w:szCs w:val="18"/>
                <w:color w:val="auto"/>
              </w:rPr>
            </w:pPr>
          </w:p>
        </w:tc>
        <w:tc>
          <w:tcPr>
            <w:tcW w:w="150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September 30,</w:t>
            </w:r>
          </w:p>
        </w:tc>
        <w:tc>
          <w:tcPr>
            <w:tcW w:w="420" w:type="dxa"/>
            <w:vAlign w:val="bottom"/>
            <w:tcBorders>
              <w:bottom w:val="single" w:sz="8" w:color="1352DE"/>
            </w:tcBorders>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September 30,</w:t>
            </w:r>
          </w:p>
        </w:tc>
        <w:tc>
          <w:tcPr>
            <w:tcW w:w="420" w:type="dxa"/>
            <w:vAlign w:val="bottom"/>
            <w:tcBorders>
              <w:bottom w:val="single" w:sz="8" w:color="1352DE"/>
            </w:tcBorders>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1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500" w:type="dxa"/>
            <w:vAlign w:val="bottom"/>
            <w:tcBorders>
              <w:bottom w:val="single" w:sz="8" w:color="1352DE"/>
            </w:tcBorders>
          </w:tcPr>
          <w:p>
            <w:pPr>
              <w:jc w:val="right"/>
              <w:ind w:right="544"/>
              <w:spacing w:after="0"/>
              <w:rPr>
                <w:sz w:val="20"/>
                <w:szCs w:val="20"/>
                <w:color w:val="auto"/>
              </w:rPr>
            </w:pPr>
            <w:r>
              <w:rPr>
                <w:rFonts w:ascii="Arial" w:cs="Arial" w:eastAsia="Arial" w:hAnsi="Arial"/>
                <w:sz w:val="15"/>
                <w:szCs w:val="15"/>
                <w:b w:val="1"/>
                <w:bCs w:val="1"/>
                <w:color w:val="1252DE"/>
              </w:rPr>
              <w:t>2026</w:t>
            </w:r>
          </w:p>
        </w:tc>
        <w:tc>
          <w:tcPr>
            <w:tcW w:w="4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1160" w:type="dxa"/>
            <w:vAlign w:val="bottom"/>
            <w:tcBorders>
              <w:bottom w:val="single" w:sz="8" w:color="1352DE"/>
            </w:tcBorders>
          </w:tcPr>
          <w:p>
            <w:pPr>
              <w:ind w:left="260"/>
              <w:spacing w:after="0"/>
              <w:rPr>
                <w:sz w:val="20"/>
                <w:szCs w:val="20"/>
                <w:color w:val="auto"/>
              </w:rPr>
            </w:pPr>
            <w:r>
              <w:rPr>
                <w:rFonts w:ascii="Arial" w:cs="Arial" w:eastAsia="Arial" w:hAnsi="Arial"/>
                <w:sz w:val="15"/>
                <w:szCs w:val="15"/>
                <w:color w:val="1252DE"/>
              </w:rPr>
              <w:t>Change</w:t>
            </w:r>
          </w:p>
        </w:tc>
        <w:tc>
          <w:tcPr>
            <w:tcW w:w="1540" w:type="dxa"/>
            <w:vAlign w:val="bottom"/>
            <w:tcBorders>
              <w:bottom w:val="single" w:sz="8" w:color="1352DE"/>
            </w:tcBorders>
          </w:tcPr>
          <w:p>
            <w:pPr>
              <w:jc w:val="right"/>
              <w:ind w:right="564"/>
              <w:spacing w:after="0"/>
              <w:rPr>
                <w:sz w:val="20"/>
                <w:szCs w:val="20"/>
                <w:color w:val="auto"/>
              </w:rPr>
            </w:pPr>
            <w:r>
              <w:rPr>
                <w:rFonts w:ascii="Arial" w:cs="Arial" w:eastAsia="Arial" w:hAnsi="Arial"/>
                <w:sz w:val="15"/>
                <w:szCs w:val="15"/>
                <w:b w:val="1"/>
                <w:bCs w:val="1"/>
                <w:color w:val="1252DE"/>
              </w:rPr>
              <w:t>2026</w:t>
            </w:r>
          </w:p>
        </w:tc>
        <w:tc>
          <w:tcPr>
            <w:tcW w:w="4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1080" w:type="dxa"/>
            <w:vAlign w:val="bottom"/>
            <w:tcBorders>
              <w:bottom w:val="single" w:sz="8" w:color="1352DE"/>
            </w:tcBorders>
          </w:tcPr>
          <w:p>
            <w:pPr>
              <w:ind w:left="240"/>
              <w:spacing w:after="0"/>
              <w:rPr>
                <w:sz w:val="20"/>
                <w:szCs w:val="20"/>
                <w:color w:val="auto"/>
              </w:rPr>
            </w:pPr>
            <w:r>
              <w:rPr>
                <w:rFonts w:ascii="Arial" w:cs="Arial" w:eastAsia="Arial" w:hAnsi="Arial"/>
                <w:sz w:val="15"/>
                <w:szCs w:val="15"/>
                <w:color w:val="1252DE"/>
              </w:rPr>
              <w:t>Change</w:t>
            </w:r>
          </w:p>
        </w:tc>
      </w:tr>
      <w:tr>
        <w:trPr>
          <w:trHeight w:val="196"/>
        </w:trPr>
        <w:tc>
          <w:tcPr>
            <w:tcW w:w="510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Expense ratio</w:t>
            </w:r>
          </w:p>
        </w:tc>
        <w:tc>
          <w:tcPr>
            <w:tcW w:w="1500" w:type="dxa"/>
            <w:vAlign w:val="bottom"/>
            <w:tcBorders>
              <w:bottom w:val="single" w:sz="8" w:color="1352DE"/>
            </w:tcBorders>
          </w:tcPr>
          <w:p>
            <w:pPr>
              <w:jc w:val="right"/>
              <w:ind w:right="604"/>
              <w:spacing w:after="0"/>
              <w:rPr>
                <w:sz w:val="20"/>
                <w:szCs w:val="20"/>
                <w:color w:val="auto"/>
              </w:rPr>
            </w:pPr>
            <w:r>
              <w:rPr>
                <w:rFonts w:ascii="Arial" w:cs="Arial" w:eastAsia="Arial" w:hAnsi="Arial"/>
                <w:sz w:val="15"/>
                <w:szCs w:val="15"/>
                <w:b w:val="1"/>
                <w:bCs w:val="1"/>
                <w:color w:val="1252DE"/>
              </w:rPr>
              <w:t>30.6</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31.6</w:t>
            </w:r>
          </w:p>
        </w:tc>
        <w:tc>
          <w:tcPr>
            <w:tcW w:w="1160" w:type="dxa"/>
            <w:vAlign w:val="bottom"/>
            <w:tcBorders>
              <w:bottom w:val="single" w:sz="8" w:color="1352DE"/>
            </w:tcBorders>
          </w:tcPr>
          <w:p>
            <w:pPr>
              <w:jc w:val="center"/>
              <w:ind w:left="4"/>
              <w:spacing w:after="0"/>
              <w:rPr>
                <w:sz w:val="20"/>
                <w:szCs w:val="20"/>
                <w:color w:val="auto"/>
              </w:rPr>
            </w:pPr>
            <w:r>
              <w:rPr>
                <w:rFonts w:ascii="Arial" w:cs="Arial" w:eastAsia="Arial" w:hAnsi="Arial"/>
                <w:sz w:val="15"/>
                <w:szCs w:val="15"/>
                <w:color w:val="auto"/>
              </w:rPr>
              <w:t>(1.0)</w:t>
            </w:r>
          </w:p>
        </w:tc>
        <w:tc>
          <w:tcPr>
            <w:tcW w:w="1540" w:type="dxa"/>
            <w:vAlign w:val="bottom"/>
            <w:tcBorders>
              <w:bottom w:val="single" w:sz="8" w:color="1352DE"/>
            </w:tcBorders>
          </w:tcPr>
          <w:p>
            <w:pPr>
              <w:jc w:val="right"/>
              <w:ind w:right="624"/>
              <w:spacing w:after="0"/>
              <w:rPr>
                <w:sz w:val="20"/>
                <w:szCs w:val="20"/>
                <w:color w:val="auto"/>
              </w:rPr>
            </w:pPr>
            <w:r>
              <w:rPr>
                <w:rFonts w:ascii="Arial" w:cs="Arial" w:eastAsia="Arial" w:hAnsi="Arial"/>
                <w:sz w:val="15"/>
                <w:szCs w:val="15"/>
                <w:b w:val="1"/>
                <w:bCs w:val="1"/>
                <w:color w:val="1252DE"/>
              </w:rPr>
              <w:t>31.0</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31.1</w:t>
            </w:r>
          </w:p>
        </w:tc>
        <w:tc>
          <w:tcPr>
            <w:tcW w:w="1080" w:type="dxa"/>
            <w:vAlign w:val="bottom"/>
            <w:tcBorders>
              <w:bottom w:val="single" w:sz="8" w:color="1352DE"/>
            </w:tcBorders>
          </w:tcPr>
          <w:p>
            <w:pPr>
              <w:jc w:val="center"/>
              <w:ind w:left="84"/>
              <w:spacing w:after="0"/>
              <w:rPr>
                <w:sz w:val="20"/>
                <w:szCs w:val="20"/>
                <w:color w:val="auto"/>
              </w:rPr>
            </w:pPr>
            <w:r>
              <w:rPr>
                <w:rFonts w:ascii="Arial" w:cs="Arial" w:eastAsia="Arial" w:hAnsi="Arial"/>
                <w:sz w:val="15"/>
                <w:szCs w:val="15"/>
                <w:color w:val="auto"/>
              </w:rPr>
              <w:t>(0.1)</w:t>
            </w:r>
          </w:p>
        </w:tc>
      </w:tr>
      <w:tr>
        <w:trPr>
          <w:trHeight w:val="196"/>
        </w:trPr>
        <w:tc>
          <w:tcPr>
            <w:tcW w:w="510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Combined ratio</w:t>
            </w:r>
          </w:p>
        </w:tc>
        <w:tc>
          <w:tcPr>
            <w:tcW w:w="1500" w:type="dxa"/>
            <w:vAlign w:val="bottom"/>
            <w:tcBorders>
              <w:bottom w:val="single" w:sz="8" w:color="1352DE"/>
            </w:tcBorders>
          </w:tcPr>
          <w:p>
            <w:pPr>
              <w:jc w:val="right"/>
              <w:ind w:right="604"/>
              <w:spacing w:after="0"/>
              <w:rPr>
                <w:sz w:val="20"/>
                <w:szCs w:val="20"/>
                <w:color w:val="auto"/>
              </w:rPr>
            </w:pPr>
            <w:r>
              <w:rPr>
                <w:rFonts w:ascii="Arial" w:cs="Arial" w:eastAsia="Arial" w:hAnsi="Arial"/>
                <w:sz w:val="15"/>
                <w:szCs w:val="15"/>
                <w:b w:val="1"/>
                <w:bCs w:val="1"/>
                <w:color w:val="1252DE"/>
              </w:rPr>
              <w:t>88.3</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84.9</w:t>
            </w:r>
          </w:p>
        </w:tc>
        <w:tc>
          <w:tcPr>
            <w:tcW w:w="1160" w:type="dxa"/>
            <w:vAlign w:val="bottom"/>
            <w:tcBorders>
              <w:bottom w:val="single" w:sz="8" w:color="1352DE"/>
            </w:tcBorders>
          </w:tcPr>
          <w:p>
            <w:pPr>
              <w:jc w:val="center"/>
              <w:ind w:left="24"/>
              <w:spacing w:after="0"/>
              <w:rPr>
                <w:sz w:val="20"/>
                <w:szCs w:val="20"/>
                <w:color w:val="auto"/>
              </w:rPr>
            </w:pPr>
            <w:r>
              <w:rPr>
                <w:rFonts w:ascii="Arial" w:cs="Arial" w:eastAsia="Arial" w:hAnsi="Arial"/>
                <w:sz w:val="15"/>
                <w:szCs w:val="15"/>
                <w:color w:val="auto"/>
              </w:rPr>
              <w:t>3.4</w:t>
            </w:r>
          </w:p>
        </w:tc>
        <w:tc>
          <w:tcPr>
            <w:tcW w:w="1540" w:type="dxa"/>
            <w:vAlign w:val="bottom"/>
            <w:tcBorders>
              <w:bottom w:val="single" w:sz="8" w:color="1352DE"/>
            </w:tcBorders>
          </w:tcPr>
          <w:p>
            <w:pPr>
              <w:jc w:val="right"/>
              <w:ind w:right="624"/>
              <w:spacing w:after="0"/>
              <w:rPr>
                <w:sz w:val="20"/>
                <w:szCs w:val="20"/>
                <w:color w:val="auto"/>
              </w:rPr>
            </w:pPr>
            <w:r>
              <w:rPr>
                <w:rFonts w:ascii="Arial" w:cs="Arial" w:eastAsia="Arial" w:hAnsi="Arial"/>
                <w:sz w:val="15"/>
                <w:szCs w:val="15"/>
                <w:b w:val="1"/>
                <w:bCs w:val="1"/>
                <w:color w:val="1252DE"/>
              </w:rPr>
              <w:t>88.9</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86.3</w:t>
            </w:r>
          </w:p>
        </w:tc>
        <w:tc>
          <w:tcPr>
            <w:tcW w:w="1080" w:type="dxa"/>
            <w:vAlign w:val="bottom"/>
            <w:tcBorders>
              <w:bottom w:val="single" w:sz="8" w:color="1352DE"/>
            </w:tcBorders>
          </w:tcPr>
          <w:p>
            <w:pPr>
              <w:jc w:val="center"/>
              <w:ind w:left="104"/>
              <w:spacing w:after="0"/>
              <w:rPr>
                <w:sz w:val="20"/>
                <w:szCs w:val="20"/>
                <w:color w:val="auto"/>
              </w:rPr>
            </w:pPr>
            <w:r>
              <w:rPr>
                <w:rFonts w:ascii="Arial" w:cs="Arial" w:eastAsia="Arial" w:hAnsi="Arial"/>
                <w:sz w:val="15"/>
                <w:szCs w:val="15"/>
                <w:color w:val="auto"/>
              </w:rPr>
              <w:t>2.6</w:t>
            </w:r>
          </w:p>
        </w:tc>
      </w:tr>
      <w:tr>
        <w:trPr>
          <w:trHeight w:val="142"/>
        </w:trPr>
        <w:tc>
          <w:tcPr>
            <w:tcW w:w="5100" w:type="dxa"/>
            <w:vAlign w:val="bottom"/>
          </w:tcPr>
          <w:p>
            <w:pPr>
              <w:ind w:left="20"/>
              <w:spacing w:after="0" w:line="142" w:lineRule="exact"/>
              <w:rPr>
                <w:sz w:val="20"/>
                <w:szCs w:val="20"/>
                <w:color w:val="auto"/>
              </w:rPr>
            </w:pPr>
            <w:r>
              <w:rPr>
                <w:rFonts w:ascii="Arial" w:cs="Arial" w:eastAsia="Arial" w:hAnsi="Arial"/>
                <w:sz w:val="15"/>
                <w:szCs w:val="15"/>
                <w:b w:val="1"/>
                <w:bCs w:val="1"/>
                <w:color w:val="1252DE"/>
              </w:rPr>
              <w:t>Adjustments for accident year loss ratio, as adjusted and accident</w:t>
            </w: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0"/>
        </w:trPr>
        <w:tc>
          <w:tcPr>
            <w:tcW w:w="5100" w:type="dxa"/>
            <w:vAlign w:val="bottom"/>
          </w:tcPr>
          <w:p>
            <w:pPr>
              <w:ind w:left="140"/>
              <w:spacing w:after="0"/>
              <w:rPr>
                <w:sz w:val="20"/>
                <w:szCs w:val="20"/>
                <w:color w:val="auto"/>
              </w:rPr>
            </w:pPr>
            <w:r>
              <w:rPr>
                <w:rFonts w:ascii="Arial" w:cs="Arial" w:eastAsia="Arial" w:hAnsi="Arial"/>
                <w:sz w:val="15"/>
                <w:szCs w:val="15"/>
                <w:b w:val="1"/>
                <w:bCs w:val="1"/>
                <w:color w:val="1252DE"/>
              </w:rPr>
              <w:t>year combined ratio, as adjusted:</w:t>
            </w: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5100" w:type="dxa"/>
            <w:vAlign w:val="bottom"/>
          </w:tcPr>
          <w:p>
            <w:pPr>
              <w:ind w:left="140"/>
              <w:spacing w:after="0"/>
              <w:rPr>
                <w:sz w:val="20"/>
                <w:szCs w:val="20"/>
                <w:color w:val="auto"/>
              </w:rPr>
            </w:pPr>
            <w:r>
              <w:rPr>
                <w:rFonts w:ascii="Arial" w:cs="Arial" w:eastAsia="Arial" w:hAnsi="Arial"/>
                <w:sz w:val="15"/>
                <w:szCs w:val="15"/>
                <w:color w:val="auto"/>
              </w:rPr>
              <w:t>Catastrophe losses and reinstatement premiums</w:t>
            </w:r>
          </w:p>
        </w:tc>
        <w:tc>
          <w:tcPr>
            <w:tcW w:w="1500" w:type="dxa"/>
            <w:vAlign w:val="bottom"/>
          </w:tcPr>
          <w:p>
            <w:pPr>
              <w:jc w:val="right"/>
              <w:ind w:right="564"/>
              <w:spacing w:after="0"/>
              <w:rPr>
                <w:sz w:val="20"/>
                <w:szCs w:val="20"/>
                <w:color w:val="auto"/>
              </w:rPr>
            </w:pPr>
            <w:r>
              <w:rPr>
                <w:rFonts w:ascii="Arial" w:cs="Arial" w:eastAsia="Arial" w:hAnsi="Arial"/>
                <w:sz w:val="15"/>
                <w:szCs w:val="15"/>
                <w:b w:val="1"/>
                <w:bCs w:val="1"/>
                <w:color w:val="1252DE"/>
              </w:rPr>
              <w:t>(3.5)</w:t>
            </w:r>
          </w:p>
        </w:tc>
        <w:tc>
          <w:tcPr>
            <w:tcW w:w="420" w:type="dxa"/>
            <w:vAlign w:val="bottom"/>
          </w:tcPr>
          <w:p>
            <w:pPr>
              <w:jc w:val="right"/>
              <w:spacing w:after="0"/>
              <w:rPr>
                <w:sz w:val="20"/>
                <w:szCs w:val="20"/>
                <w:color w:val="auto"/>
              </w:rPr>
            </w:pPr>
            <w:r>
              <w:rPr>
                <w:rFonts w:ascii="Arial" w:cs="Arial" w:eastAsia="Arial" w:hAnsi="Arial"/>
                <w:sz w:val="15"/>
                <w:szCs w:val="15"/>
                <w:color w:val="auto"/>
              </w:rPr>
              <w:t>(0.8)</w:t>
            </w:r>
          </w:p>
        </w:tc>
        <w:tc>
          <w:tcPr>
            <w:tcW w:w="1160" w:type="dxa"/>
            <w:vAlign w:val="bottom"/>
          </w:tcPr>
          <w:p>
            <w:pPr>
              <w:jc w:val="center"/>
              <w:ind w:left="4"/>
              <w:spacing w:after="0"/>
              <w:rPr>
                <w:sz w:val="20"/>
                <w:szCs w:val="20"/>
                <w:color w:val="auto"/>
              </w:rPr>
            </w:pPr>
            <w:r>
              <w:rPr>
                <w:rFonts w:ascii="Arial" w:cs="Arial" w:eastAsia="Arial" w:hAnsi="Arial"/>
                <w:sz w:val="15"/>
                <w:szCs w:val="15"/>
                <w:color w:val="auto"/>
              </w:rPr>
              <w:t>(2.7)</w:t>
            </w:r>
          </w:p>
        </w:tc>
        <w:tc>
          <w:tcPr>
            <w:tcW w:w="1540" w:type="dxa"/>
            <w:vAlign w:val="bottom"/>
          </w:tcPr>
          <w:p>
            <w:pPr>
              <w:jc w:val="right"/>
              <w:ind w:right="584"/>
              <w:spacing w:after="0"/>
              <w:rPr>
                <w:sz w:val="20"/>
                <w:szCs w:val="20"/>
                <w:color w:val="auto"/>
              </w:rPr>
            </w:pPr>
            <w:r>
              <w:rPr>
                <w:rFonts w:ascii="Arial" w:cs="Arial" w:eastAsia="Arial" w:hAnsi="Arial"/>
                <w:sz w:val="15"/>
                <w:szCs w:val="15"/>
                <w:b w:val="1"/>
                <w:bCs w:val="1"/>
                <w:color w:val="1252DE"/>
              </w:rPr>
              <w:t>(3.1)</w:t>
            </w:r>
          </w:p>
        </w:tc>
        <w:tc>
          <w:tcPr>
            <w:tcW w:w="420" w:type="dxa"/>
            <w:vAlign w:val="bottom"/>
          </w:tcPr>
          <w:p>
            <w:pPr>
              <w:jc w:val="right"/>
              <w:spacing w:after="0"/>
              <w:rPr>
                <w:sz w:val="20"/>
                <w:szCs w:val="20"/>
                <w:color w:val="auto"/>
              </w:rPr>
            </w:pPr>
            <w:r>
              <w:rPr>
                <w:rFonts w:ascii="Arial" w:cs="Arial" w:eastAsia="Arial" w:hAnsi="Arial"/>
                <w:sz w:val="15"/>
                <w:szCs w:val="15"/>
                <w:color w:val="auto"/>
              </w:rPr>
              <w:t>(1.8)</w:t>
            </w:r>
          </w:p>
        </w:tc>
        <w:tc>
          <w:tcPr>
            <w:tcW w:w="1080" w:type="dxa"/>
            <w:vAlign w:val="bottom"/>
          </w:tcPr>
          <w:p>
            <w:pPr>
              <w:jc w:val="center"/>
              <w:ind w:left="84"/>
              <w:spacing w:after="0"/>
              <w:rPr>
                <w:sz w:val="20"/>
                <w:szCs w:val="20"/>
                <w:color w:val="auto"/>
              </w:rPr>
            </w:pPr>
            <w:r>
              <w:rPr>
                <w:rFonts w:ascii="Arial" w:cs="Arial" w:eastAsia="Arial" w:hAnsi="Arial"/>
                <w:sz w:val="15"/>
                <w:szCs w:val="15"/>
                <w:color w:val="auto"/>
              </w:rPr>
              <w:t>(1.3)</w:t>
            </w:r>
          </w:p>
        </w:tc>
      </w:tr>
      <w:tr>
        <w:trPr>
          <w:trHeight w:val="208"/>
        </w:trPr>
        <w:tc>
          <w:tcPr>
            <w:tcW w:w="510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Prior year development, net of prior year premiums</w:t>
            </w:r>
          </w:p>
        </w:tc>
        <w:tc>
          <w:tcPr>
            <w:tcW w:w="1500" w:type="dxa"/>
            <w:vAlign w:val="bottom"/>
            <w:tcBorders>
              <w:bottom w:val="single" w:sz="8" w:color="1352DE"/>
            </w:tcBorders>
          </w:tcPr>
          <w:p>
            <w:pPr>
              <w:jc w:val="right"/>
              <w:ind w:right="604"/>
              <w:spacing w:after="0"/>
              <w:rPr>
                <w:sz w:val="20"/>
                <w:szCs w:val="20"/>
                <w:color w:val="auto"/>
              </w:rPr>
            </w:pPr>
            <w:r>
              <w:rPr>
                <w:rFonts w:ascii="Arial" w:cs="Arial" w:eastAsia="Arial" w:hAnsi="Arial"/>
                <w:sz w:val="15"/>
                <w:szCs w:val="15"/>
                <w:b w:val="1"/>
                <w:bCs w:val="1"/>
                <w:color w:val="1252DE"/>
              </w:rPr>
              <w:t>1.0</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1.9</w:t>
            </w:r>
          </w:p>
        </w:tc>
        <w:tc>
          <w:tcPr>
            <w:tcW w:w="1160" w:type="dxa"/>
            <w:vAlign w:val="bottom"/>
            <w:tcBorders>
              <w:bottom w:val="single" w:sz="8" w:color="1352DE"/>
            </w:tcBorders>
          </w:tcPr>
          <w:p>
            <w:pPr>
              <w:jc w:val="center"/>
              <w:ind w:left="4"/>
              <w:spacing w:after="0"/>
              <w:rPr>
                <w:sz w:val="20"/>
                <w:szCs w:val="20"/>
                <w:color w:val="auto"/>
              </w:rPr>
            </w:pPr>
            <w:r>
              <w:rPr>
                <w:rFonts w:ascii="Arial" w:cs="Arial" w:eastAsia="Arial" w:hAnsi="Arial"/>
                <w:sz w:val="15"/>
                <w:szCs w:val="15"/>
                <w:color w:val="auto"/>
              </w:rPr>
              <w:t>(0.9)</w:t>
            </w:r>
          </w:p>
        </w:tc>
        <w:tc>
          <w:tcPr>
            <w:tcW w:w="1540" w:type="dxa"/>
            <w:vAlign w:val="bottom"/>
            <w:tcBorders>
              <w:bottom w:val="single" w:sz="8" w:color="1352DE"/>
            </w:tcBorders>
          </w:tcPr>
          <w:p>
            <w:pPr>
              <w:jc w:val="right"/>
              <w:ind w:right="624"/>
              <w:spacing w:after="0"/>
              <w:rPr>
                <w:sz w:val="20"/>
                <w:szCs w:val="20"/>
                <w:color w:val="auto"/>
              </w:rPr>
            </w:pPr>
            <w:r>
              <w:rPr>
                <w:rFonts w:ascii="Arial" w:cs="Arial" w:eastAsia="Arial" w:hAnsi="Arial"/>
                <w:sz w:val="15"/>
                <w:szCs w:val="15"/>
                <w:b w:val="1"/>
                <w:bCs w:val="1"/>
                <w:color w:val="1252DE"/>
              </w:rPr>
              <w:t>0.3</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1.0</w:t>
            </w:r>
          </w:p>
        </w:tc>
        <w:tc>
          <w:tcPr>
            <w:tcW w:w="1080" w:type="dxa"/>
            <w:vAlign w:val="bottom"/>
            <w:tcBorders>
              <w:bottom w:val="single" w:sz="8" w:color="1352DE"/>
            </w:tcBorders>
          </w:tcPr>
          <w:p>
            <w:pPr>
              <w:jc w:val="center"/>
              <w:ind w:left="84"/>
              <w:spacing w:after="0"/>
              <w:rPr>
                <w:sz w:val="20"/>
                <w:szCs w:val="20"/>
                <w:color w:val="auto"/>
              </w:rPr>
            </w:pPr>
            <w:r>
              <w:rPr>
                <w:rFonts w:ascii="Arial" w:cs="Arial" w:eastAsia="Arial" w:hAnsi="Arial"/>
                <w:sz w:val="15"/>
                <w:szCs w:val="15"/>
                <w:color w:val="auto"/>
              </w:rPr>
              <w:t>(0.7)</w:t>
            </w:r>
          </w:p>
        </w:tc>
      </w:tr>
      <w:tr>
        <w:trPr>
          <w:trHeight w:val="196"/>
        </w:trPr>
        <w:tc>
          <w:tcPr>
            <w:tcW w:w="510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Accident year loss ratio, as adjusted</w:t>
            </w:r>
          </w:p>
        </w:tc>
        <w:tc>
          <w:tcPr>
            <w:tcW w:w="1500" w:type="dxa"/>
            <w:vAlign w:val="bottom"/>
            <w:tcBorders>
              <w:bottom w:val="single" w:sz="8" w:color="1352DE"/>
            </w:tcBorders>
          </w:tcPr>
          <w:p>
            <w:pPr>
              <w:jc w:val="right"/>
              <w:ind w:right="604"/>
              <w:spacing w:after="0"/>
              <w:rPr>
                <w:sz w:val="20"/>
                <w:szCs w:val="20"/>
                <w:color w:val="auto"/>
              </w:rPr>
            </w:pPr>
            <w:r>
              <w:rPr>
                <w:rFonts w:ascii="Arial" w:cs="Arial" w:eastAsia="Arial" w:hAnsi="Arial"/>
                <w:sz w:val="15"/>
                <w:szCs w:val="15"/>
                <w:b w:val="1"/>
                <w:bCs w:val="1"/>
                <w:color w:val="1252DE"/>
              </w:rPr>
              <w:t>55.2</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54.4</w:t>
            </w:r>
          </w:p>
        </w:tc>
        <w:tc>
          <w:tcPr>
            <w:tcW w:w="1160" w:type="dxa"/>
            <w:vAlign w:val="bottom"/>
            <w:tcBorders>
              <w:bottom w:val="single" w:sz="8" w:color="1352DE"/>
            </w:tcBorders>
          </w:tcPr>
          <w:p>
            <w:pPr>
              <w:jc w:val="center"/>
              <w:ind w:left="24"/>
              <w:spacing w:after="0"/>
              <w:rPr>
                <w:sz w:val="20"/>
                <w:szCs w:val="20"/>
                <w:color w:val="auto"/>
              </w:rPr>
            </w:pPr>
            <w:r>
              <w:rPr>
                <w:rFonts w:ascii="Arial" w:cs="Arial" w:eastAsia="Arial" w:hAnsi="Arial"/>
                <w:sz w:val="15"/>
                <w:szCs w:val="15"/>
                <w:color w:val="auto"/>
              </w:rPr>
              <w:t>0.8</w:t>
            </w:r>
          </w:p>
        </w:tc>
        <w:tc>
          <w:tcPr>
            <w:tcW w:w="1540" w:type="dxa"/>
            <w:vAlign w:val="bottom"/>
            <w:tcBorders>
              <w:bottom w:val="single" w:sz="8" w:color="1352DE"/>
            </w:tcBorders>
          </w:tcPr>
          <w:p>
            <w:pPr>
              <w:jc w:val="right"/>
              <w:ind w:right="624"/>
              <w:spacing w:after="0"/>
              <w:rPr>
                <w:sz w:val="20"/>
                <w:szCs w:val="20"/>
                <w:color w:val="auto"/>
              </w:rPr>
            </w:pPr>
            <w:r>
              <w:rPr>
                <w:rFonts w:ascii="Arial" w:cs="Arial" w:eastAsia="Arial" w:hAnsi="Arial"/>
                <w:sz w:val="15"/>
                <w:szCs w:val="15"/>
                <w:b w:val="1"/>
                <w:bCs w:val="1"/>
                <w:color w:val="1252DE"/>
              </w:rPr>
              <w:t>55.1</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54.4</w:t>
            </w:r>
          </w:p>
        </w:tc>
        <w:tc>
          <w:tcPr>
            <w:tcW w:w="1080" w:type="dxa"/>
            <w:vAlign w:val="bottom"/>
            <w:tcBorders>
              <w:bottom w:val="single" w:sz="8" w:color="1352DE"/>
            </w:tcBorders>
          </w:tcPr>
          <w:p>
            <w:pPr>
              <w:jc w:val="center"/>
              <w:ind w:left="104"/>
              <w:spacing w:after="0"/>
              <w:rPr>
                <w:sz w:val="20"/>
                <w:szCs w:val="20"/>
                <w:color w:val="auto"/>
              </w:rPr>
            </w:pPr>
            <w:r>
              <w:rPr>
                <w:rFonts w:ascii="Arial" w:cs="Arial" w:eastAsia="Arial" w:hAnsi="Arial"/>
                <w:sz w:val="15"/>
                <w:szCs w:val="15"/>
                <w:color w:val="auto"/>
              </w:rPr>
              <w:t>0.7</w:t>
            </w:r>
          </w:p>
        </w:tc>
      </w:tr>
      <w:tr>
        <w:trPr>
          <w:trHeight w:val="196"/>
        </w:trPr>
        <w:tc>
          <w:tcPr>
            <w:tcW w:w="510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Accident year combined ratio, as adjusted</w:t>
            </w:r>
          </w:p>
        </w:tc>
        <w:tc>
          <w:tcPr>
            <w:tcW w:w="1500" w:type="dxa"/>
            <w:vAlign w:val="bottom"/>
            <w:tcBorders>
              <w:bottom w:val="single" w:sz="8" w:color="1352DE"/>
            </w:tcBorders>
          </w:tcPr>
          <w:p>
            <w:pPr>
              <w:jc w:val="right"/>
              <w:ind w:right="604"/>
              <w:spacing w:after="0"/>
              <w:rPr>
                <w:sz w:val="20"/>
                <w:szCs w:val="20"/>
                <w:color w:val="auto"/>
              </w:rPr>
            </w:pPr>
            <w:r>
              <w:rPr>
                <w:rFonts w:ascii="Arial" w:cs="Arial" w:eastAsia="Arial" w:hAnsi="Arial"/>
                <w:sz w:val="15"/>
                <w:szCs w:val="15"/>
                <w:b w:val="1"/>
                <w:bCs w:val="1"/>
                <w:color w:val="1252DE"/>
              </w:rPr>
              <w:t>85.8</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86.0</w:t>
            </w:r>
          </w:p>
        </w:tc>
        <w:tc>
          <w:tcPr>
            <w:tcW w:w="1160" w:type="dxa"/>
            <w:vAlign w:val="bottom"/>
            <w:tcBorders>
              <w:bottom w:val="single" w:sz="8" w:color="1352DE"/>
            </w:tcBorders>
          </w:tcPr>
          <w:p>
            <w:pPr>
              <w:jc w:val="center"/>
              <w:ind w:left="4"/>
              <w:spacing w:after="0"/>
              <w:rPr>
                <w:sz w:val="20"/>
                <w:szCs w:val="20"/>
                <w:color w:val="auto"/>
              </w:rPr>
            </w:pPr>
            <w:r>
              <w:rPr>
                <w:rFonts w:ascii="Arial" w:cs="Arial" w:eastAsia="Arial" w:hAnsi="Arial"/>
                <w:sz w:val="15"/>
                <w:szCs w:val="15"/>
                <w:color w:val="auto"/>
              </w:rPr>
              <w:t>(0.2)</w:t>
            </w:r>
          </w:p>
        </w:tc>
        <w:tc>
          <w:tcPr>
            <w:tcW w:w="1540" w:type="dxa"/>
            <w:vAlign w:val="bottom"/>
            <w:tcBorders>
              <w:bottom w:val="single" w:sz="8" w:color="1352DE"/>
            </w:tcBorders>
          </w:tcPr>
          <w:p>
            <w:pPr>
              <w:jc w:val="right"/>
              <w:ind w:right="624"/>
              <w:spacing w:after="0"/>
              <w:rPr>
                <w:sz w:val="20"/>
                <w:szCs w:val="20"/>
                <w:color w:val="auto"/>
              </w:rPr>
            </w:pPr>
            <w:r>
              <w:rPr>
                <w:rFonts w:ascii="Arial" w:cs="Arial" w:eastAsia="Arial" w:hAnsi="Arial"/>
                <w:sz w:val="15"/>
                <w:szCs w:val="15"/>
                <w:b w:val="1"/>
                <w:bCs w:val="1"/>
                <w:color w:val="1252DE"/>
              </w:rPr>
              <w:t>86.1</w:t>
            </w:r>
          </w:p>
        </w:tc>
        <w:tc>
          <w:tcPr>
            <w:tcW w:w="42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85.5</w:t>
            </w:r>
          </w:p>
        </w:tc>
        <w:tc>
          <w:tcPr>
            <w:tcW w:w="1080" w:type="dxa"/>
            <w:vAlign w:val="bottom"/>
            <w:tcBorders>
              <w:bottom w:val="single" w:sz="8" w:color="1352DE"/>
            </w:tcBorders>
          </w:tcPr>
          <w:p>
            <w:pPr>
              <w:jc w:val="center"/>
              <w:ind w:left="104"/>
              <w:spacing w:after="0"/>
              <w:rPr>
                <w:sz w:val="20"/>
                <w:szCs w:val="20"/>
                <w:color w:val="auto"/>
              </w:rPr>
            </w:pPr>
            <w:r>
              <w:rPr>
                <w:rFonts w:ascii="Arial" w:cs="Arial" w:eastAsia="Arial" w:hAnsi="Arial"/>
                <w:sz w:val="15"/>
                <w:szCs w:val="15"/>
                <w:color w:val="auto"/>
              </w:rPr>
              <w:t>0.6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Premiums Three Months Ended September 30, 2026 and 2025 Comparison</w:t>
      </w:r>
    </w:p>
    <w:p>
      <w:pPr>
        <w:spacing w:after="0" w:line="81"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Net premiums written, excluding the unfavorable impact of foreign exchange ($6 million), increased by $278 million, or 13 percent, primarily due to broad-based geographic growth. The increase in Net premiums earned is primarily driven by these same factors.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Premiums Nine Months Ended September 30, 2026 and 2025 Comparison</w:t>
      </w:r>
    </w:p>
    <w:p>
      <w:pPr>
        <w:spacing w:after="0" w:line="81"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Net premiums written, excluding the favorable impact of foreign exchange ($194 million), increased by $764 million, or 12 percent, primarily due to reinsurance program changes and broad-based geographic growth. The increase in Net premiums earned is primarily driven by these same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Underwriting Results Three Months Ended September 30, 2026 and 2025 Comparison</w:t>
      </w:r>
    </w:p>
    <w:p>
      <w:pPr>
        <w:spacing w:after="0" w:line="68"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auto"/>
        </w:rPr>
        <w:t>International Commercial produced underwriting income of $283 million from a combined ratio of 88.3, which was a 3.4 point increase. This was driven by a higher loss ratio (4.4 points) from:</w:t>
      </w:r>
    </w:p>
    <w:p>
      <w:pPr>
        <w:spacing w:after="0" w:line="2"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higher catastrophe losses (2.7 points);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lower net favorable prior year reserve development (0.9 points), with favorable development driven by Financial Lines;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higher accident year loss ratio, as adjusted (0.8 points) primarily due to changes in business mix.</w:t>
      </w:r>
    </w:p>
    <w:p>
      <w:pPr>
        <w:spacing w:after="0" w:line="140"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expense ratio improved by 1.0 points, from a primarily mix-driven decrease in the acquisition ratio (0.1 points) and a lower general operating expense ratio (0.9 points).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prior year development, see Insurance Reserves.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Underwriting Results Nine Months Ended September 30, 2026 and 2025 Comparison</w:t>
      </w:r>
    </w:p>
    <w:p>
      <w:pPr>
        <w:spacing w:after="0" w:line="68"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auto"/>
        </w:rPr>
        <w:t>International Commercial produced underwriting income of $761 million from a combined ratio of 88.9, which was a 2.6 point increase. This was driven by a higher loss ratio (2.7 points) from:</w:t>
      </w:r>
    </w:p>
    <w:p>
      <w:pPr>
        <w:spacing w:after="0" w:line="2"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higher catastrophe losses (1.3 points);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higher accident year loss ratio, as adjusted (0.7 points) primarily due to changes in business mix;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net adverse prior year reserve development (0.7 points), with unfavorable development driven by prior year premiums.</w:t>
      </w:r>
    </w:p>
    <w:p>
      <w:pPr>
        <w:spacing w:after="0" w:line="140"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The expense ratio improved by 0.1 points, as a primarily mix-driven increase in the acquisition ratio (0.4 points) was more than offset by a lower general operating expense ratio (0.5 points).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prior year development, see Insurance Reserves.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GLOBAL PERSONAL</w:t>
      </w:r>
    </w:p>
    <w:p>
      <w:pPr>
        <w:spacing w:after="0" w:line="104"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Global Personal segment consists primarily of Global Accident &amp; Health and Personal Lines insurance businesses in the United States, Japan, the United Kingdom, EMEA region, Asia Pacific, Latin America and Caribbean, and China. Global Accident &amp; Health products include group personal accident and business travel products for employees, associations and other organizations, and voluntary and sponsor-paid personal accident and supplemental health products for individuals. Personal Lines products include personal auto and homeowners in selected markets, comprehensive extended warranty, device protection insurance, home warranty and related services, and insurance for high net worth individuals offered through PCS in the U.S. that covers auto, homeowners, umbrella, yacht, fine art and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24771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760" w:hanging="734"/>
        <w:spacing w:after="0"/>
        <w:tabs>
          <w:tab w:leader="none" w:pos="760" w:val="left"/>
        </w:tabs>
        <w:numPr>
          <w:ilvl w:val="0"/>
          <w:numId w:val="75"/>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Business Segment Operations</w:t>
      </w:r>
      <w:r>
        <w:rPr>
          <w:rFonts w:ascii="Arial" w:cs="Arial" w:eastAsia="Arial" w:hAnsi="Arial"/>
          <w:sz w:val="13"/>
          <w:szCs w:val="13"/>
          <w:color w:val="333740"/>
        </w:rPr>
        <w:t xml:space="preserve"> | </w:t>
      </w:r>
      <w:r>
        <w:rPr>
          <w:rFonts w:ascii="Arial" w:cs="Arial" w:eastAsia="Arial" w:hAnsi="Arial"/>
          <w:sz w:val="13"/>
          <w:szCs w:val="13"/>
          <w:b w:val="1"/>
          <w:bCs w:val="1"/>
          <w:color w:val="001871"/>
        </w:rPr>
        <w:t>General Insurance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1780" w:type="dxa"/>
            <w:vAlign w:val="bottom"/>
            <w:tcBorders>
              <w:top w:val="single" w:sz="8" w:color="3051F2"/>
            </w:tcBorders>
            <w:gridSpan w:val="3"/>
          </w:tcPr>
          <w:p>
            <w:pPr>
              <w:jc w:val="right"/>
              <w:ind w:right="144"/>
              <w:spacing w:after="0" w:line="175" w:lineRule="exact"/>
              <w:rPr>
                <w:sz w:val="20"/>
                <w:szCs w:val="20"/>
                <w:color w:val="auto"/>
              </w:rPr>
            </w:pPr>
            <w:r>
              <w:rPr>
                <w:rFonts w:ascii="Arial" w:cs="Arial" w:eastAsia="Arial" w:hAnsi="Arial"/>
                <w:sz w:val="16"/>
                <w:szCs w:val="16"/>
                <w:color w:val="1252DE"/>
              </w:rPr>
              <w:t>Three Months Ended</w:t>
            </w:r>
          </w:p>
        </w:tc>
        <w:tc>
          <w:tcPr>
            <w:tcW w:w="840" w:type="dxa"/>
            <w:vAlign w:val="bottom"/>
            <w:tcBorders>
              <w:top w:val="single" w:sz="8" w:color="3051F2"/>
            </w:tcBorders>
          </w:tcPr>
          <w:p>
            <w:pPr>
              <w:spacing w:after="0"/>
              <w:rPr>
                <w:sz w:val="15"/>
                <w:szCs w:val="15"/>
                <w:color w:val="auto"/>
              </w:rPr>
            </w:pPr>
          </w:p>
        </w:tc>
        <w:tc>
          <w:tcPr>
            <w:tcW w:w="340" w:type="dxa"/>
            <w:vAlign w:val="bottom"/>
            <w:tcBorders>
              <w:top w:val="single" w:sz="8" w:color="3051F2"/>
            </w:tcBorders>
          </w:tcPr>
          <w:p>
            <w:pPr>
              <w:spacing w:after="0"/>
              <w:rPr>
                <w:sz w:val="15"/>
                <w:szCs w:val="15"/>
                <w:color w:val="auto"/>
              </w:rPr>
            </w:pPr>
          </w:p>
        </w:tc>
        <w:tc>
          <w:tcPr>
            <w:tcW w:w="200" w:type="dxa"/>
            <w:vAlign w:val="bottom"/>
            <w:tcBorders>
              <w:top w:val="single" w:sz="8" w:color="3051F2"/>
            </w:tcBorders>
          </w:tcPr>
          <w:p>
            <w:pPr>
              <w:spacing w:after="0"/>
              <w:rPr>
                <w:sz w:val="15"/>
                <w:szCs w:val="15"/>
                <w:color w:val="auto"/>
              </w:rPr>
            </w:pPr>
          </w:p>
        </w:tc>
        <w:tc>
          <w:tcPr>
            <w:tcW w:w="1760" w:type="dxa"/>
            <w:vAlign w:val="bottom"/>
            <w:tcBorders>
              <w:top w:val="single" w:sz="8" w:color="3051F2"/>
            </w:tcBorders>
            <w:gridSpan w:val="3"/>
          </w:tcPr>
          <w:p>
            <w:pPr>
              <w:jc w:val="right"/>
              <w:ind w:right="184"/>
              <w:spacing w:after="0" w:line="175" w:lineRule="exact"/>
              <w:rPr>
                <w:sz w:val="20"/>
                <w:szCs w:val="20"/>
                <w:color w:val="auto"/>
              </w:rPr>
            </w:pPr>
            <w:r>
              <w:rPr>
                <w:rFonts w:ascii="Arial" w:cs="Arial" w:eastAsia="Arial" w:hAnsi="Arial"/>
                <w:sz w:val="16"/>
                <w:szCs w:val="16"/>
                <w:color w:val="1252DE"/>
              </w:rPr>
              <w:t>Nine Months Ended</w:t>
            </w:r>
          </w:p>
        </w:tc>
        <w:tc>
          <w:tcPr>
            <w:tcW w:w="1080" w:type="dxa"/>
            <w:vAlign w:val="bottom"/>
            <w:tcBorders>
              <w:top w:val="single" w:sz="8" w:color="3051F2"/>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18"/>
                <w:szCs w:val="18"/>
                <w:color w:val="auto"/>
              </w:rPr>
            </w:pPr>
          </w:p>
        </w:tc>
        <w:tc>
          <w:tcPr>
            <w:tcW w:w="160" w:type="dxa"/>
            <w:vAlign w:val="bottom"/>
            <w:tcBorders>
              <w:bottom w:val="single" w:sz="8" w:color="1352DE"/>
            </w:tcBorders>
          </w:tcPr>
          <w:p>
            <w:pPr>
              <w:spacing w:after="0"/>
              <w:rPr>
                <w:sz w:val="18"/>
                <w:szCs w:val="18"/>
                <w:color w:val="auto"/>
              </w:rPr>
            </w:pPr>
          </w:p>
        </w:tc>
        <w:tc>
          <w:tcPr>
            <w:tcW w:w="1780" w:type="dxa"/>
            <w:vAlign w:val="bottom"/>
            <w:tcBorders>
              <w:bottom w:val="single" w:sz="8" w:color="1352DE"/>
            </w:tcBorders>
            <w:gridSpan w:val="3"/>
          </w:tcPr>
          <w:p>
            <w:pPr>
              <w:jc w:val="right"/>
              <w:ind w:right="364"/>
              <w:spacing w:after="0"/>
              <w:rPr>
                <w:sz w:val="20"/>
                <w:szCs w:val="20"/>
                <w:color w:val="auto"/>
              </w:rPr>
            </w:pPr>
            <w:r>
              <w:rPr>
                <w:rFonts w:ascii="Arial" w:cs="Arial" w:eastAsia="Arial" w:hAnsi="Arial"/>
                <w:sz w:val="16"/>
                <w:szCs w:val="16"/>
                <w:color w:val="1252DE"/>
              </w:rPr>
              <w:t>September 30,</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1760" w:type="dxa"/>
            <w:vAlign w:val="bottom"/>
            <w:tcBorders>
              <w:bottom w:val="single" w:sz="8" w:color="1352DE"/>
            </w:tcBorders>
            <w:gridSpan w:val="3"/>
          </w:tcPr>
          <w:p>
            <w:pPr>
              <w:jc w:val="right"/>
              <w:ind w:right="364"/>
              <w:spacing w:after="0"/>
              <w:rPr>
                <w:sz w:val="20"/>
                <w:szCs w:val="20"/>
                <w:color w:val="auto"/>
              </w:rPr>
            </w:pPr>
            <w:r>
              <w:rPr>
                <w:rFonts w:ascii="Arial" w:cs="Arial" w:eastAsia="Arial" w:hAnsi="Arial"/>
                <w:sz w:val="16"/>
                <w:szCs w:val="16"/>
                <w:color w:val="1252DE"/>
              </w:rPr>
              <w:t>September 30,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6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3"/>
              <w:spacing w:after="0"/>
              <w:rPr>
                <w:sz w:val="20"/>
                <w:szCs w:val="20"/>
                <w:color w:val="auto"/>
              </w:rPr>
            </w:pPr>
            <w:r>
              <w:rPr>
                <w:rFonts w:ascii="Arial" w:cs="Arial" w:eastAsia="Arial" w:hAnsi="Arial"/>
                <w:sz w:val="15"/>
                <w:szCs w:val="15"/>
                <w:b w:val="1"/>
                <w:bCs w:val="1"/>
                <w:color w:val="1252DE"/>
              </w:rPr>
              <w:t>2026</w:t>
            </w:r>
          </w:p>
        </w:tc>
        <w:tc>
          <w:tcPr>
            <w:tcW w:w="360" w:type="dxa"/>
            <w:vAlign w:val="bottom"/>
            <w:tcBorders>
              <w:bottom w:val="single" w:sz="8" w:color="1352DE"/>
            </w:tcBorders>
          </w:tcPr>
          <w:p>
            <w:pPr>
              <w:spacing w:after="0"/>
              <w:rPr>
                <w:sz w:val="18"/>
                <w:szCs w:val="18"/>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Change</w:t>
            </w:r>
          </w:p>
        </w:tc>
        <w:tc>
          <w:tcPr>
            <w:tcW w:w="34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3"/>
              <w:spacing w:after="0"/>
              <w:rPr>
                <w:sz w:val="20"/>
                <w:szCs w:val="20"/>
                <w:color w:val="auto"/>
              </w:rPr>
            </w:pPr>
            <w:r>
              <w:rPr>
                <w:rFonts w:ascii="Arial" w:cs="Arial" w:eastAsia="Arial" w:hAnsi="Arial"/>
                <w:sz w:val="15"/>
                <w:szCs w:val="15"/>
                <w:b w:val="1"/>
                <w:bCs w:val="1"/>
                <w:color w:val="1252DE"/>
              </w:rPr>
              <w:t>2026</w:t>
            </w:r>
          </w:p>
        </w:tc>
        <w:tc>
          <w:tcPr>
            <w:tcW w:w="34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2025</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1252DE"/>
              </w:rPr>
              <w:t>Change</w:t>
            </w:r>
          </w:p>
        </w:tc>
        <w:tc>
          <w:tcPr>
            <w:tcW w:w="0" w:type="dxa"/>
            <w:vAlign w:val="bottom"/>
          </w:tcPr>
          <w:p>
            <w:pPr>
              <w:spacing w:after="0"/>
              <w:rPr>
                <w:sz w:val="1"/>
                <w:szCs w:val="1"/>
                <w:color w:val="auto"/>
              </w:rPr>
            </w:pPr>
          </w:p>
        </w:tc>
      </w:tr>
      <w:tr>
        <w:trPr>
          <w:trHeight w:val="192"/>
        </w:trPr>
        <w:tc>
          <w:tcPr>
            <w:tcW w:w="5060" w:type="dxa"/>
            <w:vAlign w:val="bottom"/>
          </w:tcPr>
          <w:p>
            <w:pPr>
              <w:ind w:left="20"/>
              <w:spacing w:after="0"/>
              <w:rPr>
                <w:sz w:val="20"/>
                <w:szCs w:val="20"/>
                <w:color w:val="auto"/>
              </w:rPr>
            </w:pPr>
            <w:r>
              <w:rPr>
                <w:rFonts w:ascii="Arial" w:cs="Arial" w:eastAsia="Arial" w:hAnsi="Arial"/>
                <w:sz w:val="15"/>
                <w:szCs w:val="15"/>
                <w:b w:val="1"/>
                <w:bCs w:val="1"/>
                <w:color w:val="1252DE"/>
              </w:rPr>
              <w:t>Underwriting results:</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1252DE"/>
                <w:w w:val="95"/>
              </w:rPr>
              <w:t>$</w:t>
            </w:r>
          </w:p>
        </w:tc>
        <w:tc>
          <w:tcPr>
            <w:tcW w:w="8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1252DE"/>
              </w:rPr>
              <w:t>1,783</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1252DE"/>
              </w:rPr>
              <w:t>$</w:t>
            </w:r>
          </w:p>
        </w:tc>
        <w:tc>
          <w:tcPr>
            <w:tcW w:w="78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1252DE"/>
              </w:rPr>
              <w:t>5,130</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40"/>
              <w:spacing w:after="0"/>
              <w:rPr>
                <w:sz w:val="20"/>
                <w:szCs w:val="20"/>
                <w:color w:val="auto"/>
              </w:rPr>
            </w:pPr>
            <w:r>
              <w:rPr>
                <w:rFonts w:ascii="Arial" w:cs="Arial" w:eastAsia="Arial" w:hAnsi="Arial"/>
                <w:sz w:val="15"/>
                <w:szCs w:val="15"/>
                <w:color w:val="auto"/>
              </w:rPr>
              <w:t>Net premiums written</w:t>
            </w:r>
          </w:p>
        </w:tc>
        <w:tc>
          <w:tcPr>
            <w:tcW w:w="1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1,680</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w:t>
            </w:r>
          </w:p>
        </w:tc>
        <w:tc>
          <w:tcPr>
            <w:tcW w:w="3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4,697</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 xml:space="preserve">9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5060" w:type="dxa"/>
            <w:vAlign w:val="bottom"/>
          </w:tcPr>
          <w:p>
            <w:pPr>
              <w:ind w:left="140"/>
              <w:spacing w:after="0"/>
              <w:rPr>
                <w:sz w:val="20"/>
                <w:szCs w:val="20"/>
                <w:color w:val="auto"/>
              </w:rPr>
            </w:pPr>
            <w:r>
              <w:rPr>
                <w:rFonts w:ascii="Arial" w:cs="Arial" w:eastAsia="Arial" w:hAnsi="Arial"/>
                <w:sz w:val="15"/>
                <w:szCs w:val="15"/>
                <w:color w:val="auto"/>
              </w:rPr>
              <w:t>Net premiums written, on constant dollar basis</w:t>
            </w:r>
          </w:p>
        </w:tc>
        <w:tc>
          <w:tcPr>
            <w:tcW w:w="160" w:type="dxa"/>
            <w:vAlign w:val="bottom"/>
          </w:tcPr>
          <w:p>
            <w:pPr>
              <w:spacing w:after="0"/>
              <w:rPr>
                <w:sz w:val="17"/>
                <w:szCs w:val="17"/>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1252DE"/>
              </w:rPr>
              <w:t>(117)</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1252DE"/>
              </w:rPr>
              <w:t>(252)</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jc w:val="right"/>
              <w:ind w:right="26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(Increase) decrease in unearned premiums</w:t>
            </w:r>
          </w:p>
        </w:tc>
        <w:tc>
          <w:tcPr>
            <w:tcW w:w="16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vMerge w:val="continue"/>
          </w:tcPr>
          <w:p>
            <w:pPr>
              <w:spacing w:after="0"/>
              <w:rPr>
                <w:sz w:val="17"/>
                <w:szCs w:val="17"/>
                <w:color w:val="auto"/>
              </w:rPr>
            </w:pPr>
          </w:p>
        </w:tc>
        <w:tc>
          <w:tcPr>
            <w:tcW w:w="36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(26)</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(350)</w:t>
            </w:r>
          </w:p>
        </w:tc>
        <w:tc>
          <w:tcPr>
            <w:tcW w:w="3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vMerge w:val="continue"/>
          </w:tcPr>
          <w:p>
            <w:pPr>
              <w:spacing w:after="0"/>
              <w:rPr>
                <w:sz w:val="17"/>
                <w:szCs w:val="17"/>
                <w:color w:val="auto"/>
              </w:rPr>
            </w:pPr>
          </w:p>
        </w:tc>
        <w:tc>
          <w:tcPr>
            <w:tcW w:w="34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172</w:t>
            </w:r>
          </w:p>
        </w:tc>
        <w:tc>
          <w:tcPr>
            <w:tcW w:w="1080" w:type="dxa"/>
            <w:vAlign w:val="bottom"/>
            <w:tcBorders>
              <w:bottom w:val="single" w:sz="8" w:color="1352DE"/>
            </w:tcBorders>
          </w:tcPr>
          <w:p>
            <w:pPr>
              <w:ind w:left="54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0"/>
        </w:trPr>
        <w:tc>
          <w:tcPr>
            <w:tcW w:w="5060" w:type="dxa"/>
            <w:vAlign w:val="bottom"/>
          </w:tcPr>
          <w:p>
            <w:pPr>
              <w:ind w:left="140"/>
              <w:spacing w:after="0"/>
              <w:rPr>
                <w:sz w:val="20"/>
                <w:szCs w:val="20"/>
                <w:color w:val="auto"/>
              </w:rPr>
            </w:pPr>
            <w:r>
              <w:rPr>
                <w:rFonts w:ascii="Arial" w:cs="Arial" w:eastAsia="Arial" w:hAnsi="Arial"/>
                <w:sz w:val="15"/>
                <w:szCs w:val="15"/>
                <w:b w:val="1"/>
                <w:bCs w:val="1"/>
                <w:color w:val="1252DE"/>
              </w:rPr>
              <w:t>Net premiums earned</w:t>
            </w:r>
          </w:p>
        </w:tc>
        <w:tc>
          <w:tcPr>
            <w:tcW w:w="160" w:type="dxa"/>
            <w:vAlign w:val="bottom"/>
          </w:tcPr>
          <w:p>
            <w:pPr>
              <w:spacing w:after="0"/>
              <w:rPr>
                <w:sz w:val="16"/>
                <w:szCs w:val="16"/>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1252DE"/>
              </w:rPr>
              <w:t>1,666</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1,654</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b w:val="1"/>
                <w:bCs w:val="1"/>
                <w:color w:val="1252DE"/>
              </w:rPr>
              <w:t>4,878</w:t>
            </w:r>
          </w:p>
        </w:tc>
        <w:tc>
          <w:tcPr>
            <w:tcW w:w="34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4,869</w:t>
            </w:r>
          </w:p>
        </w:tc>
        <w:tc>
          <w:tcPr>
            <w:tcW w:w="10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060" w:type="dxa"/>
            <w:vAlign w:val="bottom"/>
          </w:tcPr>
          <w:p>
            <w:pPr>
              <w:ind w:left="140"/>
              <w:spacing w:after="0"/>
              <w:rPr>
                <w:sz w:val="20"/>
                <w:szCs w:val="20"/>
                <w:color w:val="auto"/>
              </w:rPr>
            </w:pPr>
            <w:r>
              <w:rPr>
                <w:rFonts w:ascii="Arial" w:cs="Arial" w:eastAsia="Arial" w:hAnsi="Arial"/>
                <w:sz w:val="15"/>
                <w:szCs w:val="15"/>
                <w:color w:val="auto"/>
              </w:rPr>
              <w:t>Losses and loss adjustment expenses incurred</w:t>
            </w:r>
          </w:p>
        </w:tc>
        <w:tc>
          <w:tcPr>
            <w:tcW w:w="16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1252DE"/>
              </w:rPr>
              <w:t>874</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909</w:t>
            </w: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b w:val="1"/>
                <w:bCs w:val="1"/>
                <w:color w:val="1252DE"/>
              </w:rPr>
              <w:t>2,567</w:t>
            </w:r>
          </w:p>
        </w:tc>
        <w:tc>
          <w:tcPr>
            <w:tcW w:w="34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2,889</w:t>
            </w:r>
          </w:p>
        </w:tc>
        <w:tc>
          <w:tcPr>
            <w:tcW w:w="1080" w:type="dxa"/>
            <w:vAlign w:val="bottom"/>
          </w:tcPr>
          <w:p>
            <w:pPr>
              <w:jc w:val="right"/>
              <w:ind w:right="224"/>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0"/>
        </w:trPr>
        <w:tc>
          <w:tcPr>
            <w:tcW w:w="5060" w:type="dxa"/>
            <w:vAlign w:val="bottom"/>
          </w:tcPr>
          <w:p>
            <w:pPr>
              <w:ind w:left="140"/>
              <w:spacing w:after="0"/>
              <w:rPr>
                <w:sz w:val="20"/>
                <w:szCs w:val="20"/>
                <w:color w:val="auto"/>
              </w:rPr>
            </w:pPr>
            <w:r>
              <w:rPr>
                <w:rFonts w:ascii="Arial" w:cs="Arial" w:eastAsia="Arial" w:hAnsi="Arial"/>
                <w:sz w:val="15"/>
                <w:szCs w:val="15"/>
                <w:color w:val="auto"/>
              </w:rPr>
              <w:t>Acquisition expenses: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40"/>
              <w:spacing w:after="0"/>
              <w:rPr>
                <w:sz w:val="20"/>
                <w:szCs w:val="20"/>
                <w:color w:val="auto"/>
              </w:rPr>
            </w:pPr>
            <w:r>
              <w:rPr>
                <w:rFonts w:ascii="Arial" w:cs="Arial" w:eastAsia="Arial" w:hAnsi="Arial"/>
                <w:sz w:val="15"/>
                <w:szCs w:val="15"/>
                <w:color w:val="auto"/>
              </w:rPr>
              <w:t>Amortization of deferred policy acquisition costs</w:t>
            </w:r>
          </w:p>
        </w:tc>
        <w:tc>
          <w:tcPr>
            <w:tcW w:w="16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1252DE"/>
              </w:rPr>
              <w:t>362</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345</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b w:val="1"/>
                <w:bCs w:val="1"/>
                <w:color w:val="1252DE"/>
              </w:rPr>
              <w:t>1,031</w:t>
            </w:r>
          </w:p>
        </w:tc>
        <w:tc>
          <w:tcPr>
            <w:tcW w:w="34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1,069</w:t>
            </w:r>
          </w:p>
        </w:tc>
        <w:tc>
          <w:tcPr>
            <w:tcW w:w="1080" w:type="dxa"/>
            <w:vAlign w:val="bottom"/>
          </w:tcPr>
          <w:p>
            <w:pPr>
              <w:jc w:val="right"/>
              <w:ind w:right="22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8"/>
        </w:trPr>
        <w:tc>
          <w:tcPr>
            <w:tcW w:w="5060" w:type="dxa"/>
            <w:vAlign w:val="bottom"/>
            <w:tcBorders>
              <w:bottom w:val="single" w:sz="8" w:color="1352DE"/>
            </w:tcBorders>
          </w:tcPr>
          <w:p>
            <w:pPr>
              <w:ind w:left="240"/>
              <w:spacing w:after="0"/>
              <w:rPr>
                <w:sz w:val="20"/>
                <w:szCs w:val="20"/>
                <w:color w:val="auto"/>
              </w:rPr>
            </w:pPr>
            <w:r>
              <w:rPr>
                <w:rFonts w:ascii="Arial" w:cs="Arial" w:eastAsia="Arial" w:hAnsi="Arial"/>
                <w:sz w:val="15"/>
                <w:szCs w:val="15"/>
                <w:color w:val="auto"/>
              </w:rPr>
              <w:t>Other acquisition expenses</w:t>
            </w:r>
          </w:p>
        </w:tc>
        <w:tc>
          <w:tcPr>
            <w:tcW w:w="16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96</w:t>
            </w:r>
          </w:p>
        </w:tc>
        <w:tc>
          <w:tcPr>
            <w:tcW w:w="360" w:type="dxa"/>
            <w:vAlign w:val="bottom"/>
            <w:tcBorders>
              <w:bottom w:val="single" w:sz="8" w:color="1352DE"/>
            </w:tcBorders>
          </w:tcPr>
          <w:p>
            <w:pPr>
              <w:spacing w:after="0"/>
              <w:rPr>
                <w:sz w:val="18"/>
                <w:szCs w:val="18"/>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97</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w:t>
            </w:r>
          </w:p>
        </w:tc>
        <w:tc>
          <w:tcPr>
            <w:tcW w:w="34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256</w:t>
            </w:r>
          </w:p>
        </w:tc>
        <w:tc>
          <w:tcPr>
            <w:tcW w:w="34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259</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5060" w:type="dxa"/>
            <w:vAlign w:val="bottom"/>
          </w:tcPr>
          <w:p>
            <w:pPr>
              <w:ind w:left="140"/>
              <w:spacing w:after="0"/>
              <w:rPr>
                <w:sz w:val="20"/>
                <w:szCs w:val="20"/>
                <w:color w:val="auto"/>
              </w:rPr>
            </w:pPr>
            <w:r>
              <w:rPr>
                <w:rFonts w:ascii="Arial" w:cs="Arial" w:eastAsia="Arial" w:hAnsi="Arial"/>
                <w:sz w:val="15"/>
                <w:szCs w:val="15"/>
                <w:b w:val="1"/>
                <w:bCs w:val="1"/>
                <w:color w:val="1252DE"/>
              </w:rPr>
              <w:t>Total acquisition expenses</w:t>
            </w:r>
          </w:p>
        </w:tc>
        <w:tc>
          <w:tcPr>
            <w:tcW w:w="160" w:type="dxa"/>
            <w:vAlign w:val="bottom"/>
          </w:tcPr>
          <w:p>
            <w:pPr>
              <w:spacing w:after="0"/>
              <w:rPr>
                <w:sz w:val="16"/>
                <w:szCs w:val="16"/>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1252DE"/>
              </w:rPr>
              <w:t>458</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442</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b w:val="1"/>
                <w:bCs w:val="1"/>
                <w:color w:val="1252DE"/>
              </w:rPr>
              <w:t>1,287</w:t>
            </w:r>
          </w:p>
        </w:tc>
        <w:tc>
          <w:tcPr>
            <w:tcW w:w="34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1,328</w:t>
            </w:r>
          </w:p>
        </w:tc>
        <w:tc>
          <w:tcPr>
            <w:tcW w:w="1080" w:type="dxa"/>
            <w:vAlign w:val="bottom"/>
          </w:tcPr>
          <w:p>
            <w:pPr>
              <w:jc w:val="right"/>
              <w:ind w:right="22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8"/>
        </w:trPr>
        <w:tc>
          <w:tcPr>
            <w:tcW w:w="506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General operating expenses</w:t>
            </w:r>
          </w:p>
        </w:tc>
        <w:tc>
          <w:tcPr>
            <w:tcW w:w="16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220</w:t>
            </w:r>
          </w:p>
        </w:tc>
        <w:tc>
          <w:tcPr>
            <w:tcW w:w="360" w:type="dxa"/>
            <w:vAlign w:val="bottom"/>
            <w:tcBorders>
              <w:bottom w:val="single" w:sz="8" w:color="1352DE"/>
            </w:tcBorders>
          </w:tcPr>
          <w:p>
            <w:pPr>
              <w:spacing w:after="0"/>
              <w:rPr>
                <w:sz w:val="18"/>
                <w:szCs w:val="18"/>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224</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w:t>
            </w:r>
          </w:p>
        </w:tc>
        <w:tc>
          <w:tcPr>
            <w:tcW w:w="34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627</w:t>
            </w:r>
          </w:p>
        </w:tc>
        <w:tc>
          <w:tcPr>
            <w:tcW w:w="34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674</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Underwriting income (loss)</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w w:val="95"/>
              </w:rPr>
              <w:t>$</w:t>
            </w: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114</w:t>
            </w:r>
          </w:p>
        </w:tc>
        <w:tc>
          <w:tcPr>
            <w:tcW w:w="360" w:type="dxa"/>
            <w:vAlign w:val="bottom"/>
            <w:tcBorders>
              <w:bottom w:val="single" w:sz="8" w:color="1352DE"/>
            </w:tcBorders>
          </w:tcPr>
          <w:p>
            <w:pPr>
              <w:jc w:val="right"/>
              <w:ind w:right="10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79</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44</w:t>
            </w:r>
          </w:p>
        </w:tc>
        <w:tc>
          <w:tcPr>
            <w:tcW w:w="34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w:t>
            </w: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397</w:t>
            </w:r>
          </w:p>
        </w:tc>
        <w:tc>
          <w:tcPr>
            <w:tcW w:w="34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(22)</w:t>
            </w:r>
          </w:p>
        </w:tc>
        <w:tc>
          <w:tcPr>
            <w:tcW w:w="1080" w:type="dxa"/>
            <w:vAlign w:val="bottom"/>
            <w:tcBorders>
              <w:bottom w:val="single" w:sz="8" w:color="1352DE"/>
            </w:tcBorders>
          </w:tcPr>
          <w:p>
            <w:pPr>
              <w:ind w:left="540"/>
              <w:spacing w:after="0"/>
              <w:rPr>
                <w:sz w:val="20"/>
                <w:szCs w:val="20"/>
                <w:color w:val="auto"/>
              </w:rPr>
            </w:pPr>
            <w:r>
              <w:rPr>
                <w:rFonts w:ascii="Arial" w:cs="Arial" w:eastAsia="Arial" w:hAnsi="Arial"/>
                <w:sz w:val="15"/>
                <w:szCs w:val="15"/>
                <w:color w:val="auto"/>
              </w:rPr>
              <w:t xml:space="preserve">NM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Loss ratio</w:t>
            </w:r>
          </w:p>
        </w:tc>
        <w:tc>
          <w:tcPr>
            <w:tcW w:w="16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52.5</w:t>
            </w:r>
          </w:p>
        </w:tc>
        <w:tc>
          <w:tcPr>
            <w:tcW w:w="36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55.0</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(2.5)</w:t>
            </w:r>
          </w:p>
        </w:tc>
        <w:tc>
          <w:tcPr>
            <w:tcW w:w="3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52.6</w:t>
            </w:r>
          </w:p>
        </w:tc>
        <w:tc>
          <w:tcPr>
            <w:tcW w:w="34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59.3</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90"/>
        </w:trPr>
        <w:tc>
          <w:tcPr>
            <w:tcW w:w="5060" w:type="dxa"/>
            <w:vAlign w:val="bottom"/>
          </w:tcPr>
          <w:p>
            <w:pPr>
              <w:ind w:left="140"/>
              <w:spacing w:after="0"/>
              <w:rPr>
                <w:sz w:val="20"/>
                <w:szCs w:val="20"/>
                <w:color w:val="auto"/>
              </w:rPr>
            </w:pPr>
            <w:r>
              <w:rPr>
                <w:rFonts w:ascii="Arial" w:cs="Arial" w:eastAsia="Arial" w:hAnsi="Arial"/>
                <w:sz w:val="15"/>
                <w:szCs w:val="15"/>
                <w:color w:val="auto"/>
              </w:rPr>
              <w:t>Acquisition ratio</w:t>
            </w:r>
          </w:p>
        </w:tc>
        <w:tc>
          <w:tcPr>
            <w:tcW w:w="160" w:type="dxa"/>
            <w:vAlign w:val="bottom"/>
          </w:tcPr>
          <w:p>
            <w:pPr>
              <w:spacing w:after="0"/>
              <w:rPr>
                <w:sz w:val="16"/>
                <w:szCs w:val="16"/>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1252DE"/>
              </w:rPr>
              <w:t>27.5</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26.7</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0.8</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b w:val="1"/>
                <w:bCs w:val="1"/>
                <w:color w:val="1252DE"/>
              </w:rPr>
              <w:t>26.4</w:t>
            </w:r>
          </w:p>
        </w:tc>
        <w:tc>
          <w:tcPr>
            <w:tcW w:w="34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27.3</w:t>
            </w:r>
          </w:p>
        </w:tc>
        <w:tc>
          <w:tcPr>
            <w:tcW w:w="1080" w:type="dxa"/>
            <w:vAlign w:val="bottom"/>
          </w:tcPr>
          <w:p>
            <w:pPr>
              <w:jc w:val="right"/>
              <w:ind w:right="224"/>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8"/>
        </w:trPr>
        <w:tc>
          <w:tcPr>
            <w:tcW w:w="506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General operating expense ratio</w:t>
            </w:r>
          </w:p>
        </w:tc>
        <w:tc>
          <w:tcPr>
            <w:tcW w:w="16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13.2</w:t>
            </w:r>
          </w:p>
        </w:tc>
        <w:tc>
          <w:tcPr>
            <w:tcW w:w="360" w:type="dxa"/>
            <w:vAlign w:val="bottom"/>
            <w:tcBorders>
              <w:bottom w:val="single" w:sz="8" w:color="1352DE"/>
            </w:tcBorders>
          </w:tcPr>
          <w:p>
            <w:pPr>
              <w:spacing w:after="0"/>
              <w:rPr>
                <w:sz w:val="18"/>
                <w:szCs w:val="18"/>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13.5</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(0.3)</w:t>
            </w:r>
          </w:p>
        </w:tc>
        <w:tc>
          <w:tcPr>
            <w:tcW w:w="34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12.9</w:t>
            </w:r>
          </w:p>
        </w:tc>
        <w:tc>
          <w:tcPr>
            <w:tcW w:w="34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13.8</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Expense ratio</w:t>
            </w:r>
          </w:p>
        </w:tc>
        <w:tc>
          <w:tcPr>
            <w:tcW w:w="16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40.7</w:t>
            </w:r>
          </w:p>
        </w:tc>
        <w:tc>
          <w:tcPr>
            <w:tcW w:w="36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40.2</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0.5</w:t>
            </w:r>
          </w:p>
        </w:tc>
        <w:tc>
          <w:tcPr>
            <w:tcW w:w="3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39.3</w:t>
            </w:r>
          </w:p>
        </w:tc>
        <w:tc>
          <w:tcPr>
            <w:tcW w:w="34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41.1</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Combined ratio</w:t>
            </w:r>
          </w:p>
        </w:tc>
        <w:tc>
          <w:tcPr>
            <w:tcW w:w="16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93.2</w:t>
            </w:r>
          </w:p>
        </w:tc>
        <w:tc>
          <w:tcPr>
            <w:tcW w:w="36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95.2</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(2.0)</w:t>
            </w:r>
          </w:p>
        </w:tc>
        <w:tc>
          <w:tcPr>
            <w:tcW w:w="3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91.9</w:t>
            </w:r>
          </w:p>
        </w:tc>
        <w:tc>
          <w:tcPr>
            <w:tcW w:w="34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100.4</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42"/>
        </w:trPr>
        <w:tc>
          <w:tcPr>
            <w:tcW w:w="5060" w:type="dxa"/>
            <w:vAlign w:val="bottom"/>
          </w:tcPr>
          <w:p>
            <w:pPr>
              <w:ind w:left="20"/>
              <w:spacing w:after="0" w:line="142" w:lineRule="exact"/>
              <w:rPr>
                <w:sz w:val="20"/>
                <w:szCs w:val="20"/>
                <w:color w:val="auto"/>
              </w:rPr>
            </w:pPr>
            <w:r>
              <w:rPr>
                <w:rFonts w:ascii="Arial" w:cs="Arial" w:eastAsia="Arial" w:hAnsi="Arial"/>
                <w:sz w:val="15"/>
                <w:szCs w:val="15"/>
                <w:b w:val="1"/>
                <w:bCs w:val="1"/>
                <w:color w:val="1252DE"/>
              </w:rPr>
              <w:t>Adjustments for accident year loss ratio, as adjusted and accident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140"/>
              <w:spacing w:after="0"/>
              <w:rPr>
                <w:sz w:val="20"/>
                <w:szCs w:val="20"/>
                <w:color w:val="auto"/>
              </w:rPr>
            </w:pPr>
            <w:r>
              <w:rPr>
                <w:rFonts w:ascii="Arial" w:cs="Arial" w:eastAsia="Arial" w:hAnsi="Arial"/>
                <w:sz w:val="15"/>
                <w:szCs w:val="15"/>
                <w:b w:val="1"/>
                <w:bCs w:val="1"/>
                <w:color w:val="1252DE"/>
              </w:rPr>
              <w:t>year combined ratio, as adjusted: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40"/>
              <w:spacing w:after="0"/>
              <w:rPr>
                <w:sz w:val="20"/>
                <w:szCs w:val="20"/>
                <w:color w:val="auto"/>
              </w:rPr>
            </w:pPr>
            <w:r>
              <w:rPr>
                <w:rFonts w:ascii="Arial" w:cs="Arial" w:eastAsia="Arial" w:hAnsi="Arial"/>
                <w:sz w:val="15"/>
                <w:szCs w:val="15"/>
                <w:color w:val="auto"/>
              </w:rPr>
              <w:t>Catastrophe losses and reinstatement premiums</w:t>
            </w:r>
          </w:p>
        </w:tc>
        <w:tc>
          <w:tcPr>
            <w:tcW w:w="16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b w:val="1"/>
                <w:bCs w:val="1"/>
                <w:color w:val="1252DE"/>
              </w:rPr>
              <w:t>(2.0)</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(0.8)</w:t>
            </w: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b w:val="1"/>
                <w:bCs w:val="1"/>
                <w:color w:val="1252DE"/>
              </w:rPr>
              <w:t>(1.8)</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(5.1)</w:t>
            </w:r>
          </w:p>
        </w:tc>
        <w:tc>
          <w:tcPr>
            <w:tcW w:w="1080" w:type="dxa"/>
            <w:vAlign w:val="bottom"/>
          </w:tcPr>
          <w:p>
            <w:pPr>
              <w:jc w:val="right"/>
              <w:ind w:right="264"/>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8"/>
        </w:trPr>
        <w:tc>
          <w:tcPr>
            <w:tcW w:w="506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Prior year development, net of prior year premiums</w:t>
            </w:r>
          </w:p>
        </w:tc>
        <w:tc>
          <w:tcPr>
            <w:tcW w:w="16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2.4</w:t>
            </w:r>
          </w:p>
        </w:tc>
        <w:tc>
          <w:tcPr>
            <w:tcW w:w="360" w:type="dxa"/>
            <w:vAlign w:val="bottom"/>
            <w:tcBorders>
              <w:bottom w:val="single" w:sz="8" w:color="1352DE"/>
            </w:tcBorders>
          </w:tcPr>
          <w:p>
            <w:pPr>
              <w:spacing w:after="0"/>
              <w:rPr>
                <w:sz w:val="18"/>
                <w:szCs w:val="18"/>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1.1</w:t>
            </w:r>
          </w:p>
        </w:tc>
        <w:tc>
          <w:tcPr>
            <w:tcW w:w="8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1.3</w:t>
            </w:r>
          </w:p>
        </w:tc>
        <w:tc>
          <w:tcPr>
            <w:tcW w:w="34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1.6</w:t>
            </w:r>
          </w:p>
        </w:tc>
        <w:tc>
          <w:tcPr>
            <w:tcW w:w="34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0.4</w:t>
            </w:r>
          </w:p>
        </w:tc>
        <w:tc>
          <w:tcPr>
            <w:tcW w:w="1080" w:type="dxa"/>
            <w:vAlign w:val="bottom"/>
            <w:tcBorders>
              <w:bottom w:val="single" w:sz="8" w:color="1352DE"/>
            </w:tcBorders>
          </w:tcPr>
          <w:p>
            <w:pPr>
              <w:jc w:val="right"/>
              <w:ind w:right="26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Accident year loss ratio, as adjusted</w:t>
            </w:r>
          </w:p>
        </w:tc>
        <w:tc>
          <w:tcPr>
            <w:tcW w:w="16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52.9</w:t>
            </w:r>
          </w:p>
        </w:tc>
        <w:tc>
          <w:tcPr>
            <w:tcW w:w="36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55.3</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(2.4)</w:t>
            </w:r>
          </w:p>
        </w:tc>
        <w:tc>
          <w:tcPr>
            <w:tcW w:w="3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52.4</w:t>
            </w:r>
          </w:p>
        </w:tc>
        <w:tc>
          <w:tcPr>
            <w:tcW w:w="34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54.6</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Accident year combined ratio, as adjusted</w:t>
            </w:r>
          </w:p>
        </w:tc>
        <w:tc>
          <w:tcPr>
            <w:tcW w:w="16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43"/>
              <w:spacing w:after="0"/>
              <w:rPr>
                <w:sz w:val="20"/>
                <w:szCs w:val="20"/>
                <w:color w:val="auto"/>
              </w:rPr>
            </w:pPr>
            <w:r>
              <w:rPr>
                <w:rFonts w:ascii="Arial" w:cs="Arial" w:eastAsia="Arial" w:hAnsi="Arial"/>
                <w:sz w:val="15"/>
                <w:szCs w:val="15"/>
                <w:b w:val="1"/>
                <w:bCs w:val="1"/>
                <w:color w:val="1252DE"/>
              </w:rPr>
              <w:t>93.6</w:t>
            </w:r>
          </w:p>
        </w:tc>
        <w:tc>
          <w:tcPr>
            <w:tcW w:w="36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95.5</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(1.9)</w:t>
            </w:r>
          </w:p>
        </w:tc>
        <w:tc>
          <w:tcPr>
            <w:tcW w:w="34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780" w:type="dxa"/>
            <w:vAlign w:val="bottom"/>
            <w:tcBorders>
              <w:bottom w:val="single" w:sz="8" w:color="1352DE"/>
            </w:tcBorders>
          </w:tcPr>
          <w:p>
            <w:pPr>
              <w:jc w:val="right"/>
              <w:ind w:right="63"/>
              <w:spacing w:after="0"/>
              <w:rPr>
                <w:sz w:val="20"/>
                <w:szCs w:val="20"/>
                <w:color w:val="auto"/>
              </w:rPr>
            </w:pPr>
            <w:r>
              <w:rPr>
                <w:rFonts w:ascii="Arial" w:cs="Arial" w:eastAsia="Arial" w:hAnsi="Arial"/>
                <w:sz w:val="15"/>
                <w:szCs w:val="15"/>
                <w:b w:val="1"/>
                <w:bCs w:val="1"/>
                <w:color w:val="1252DE"/>
              </w:rPr>
              <w:t>91.7</w:t>
            </w:r>
          </w:p>
        </w:tc>
        <w:tc>
          <w:tcPr>
            <w:tcW w:w="34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95.7</w:t>
            </w:r>
          </w:p>
        </w:tc>
        <w:tc>
          <w:tcPr>
            <w:tcW w:w="1080" w:type="dxa"/>
            <w:vAlign w:val="bottom"/>
            <w:tcBorders>
              <w:bottom w:val="single" w:sz="8" w:color="1352DE"/>
            </w:tcBorders>
          </w:tcPr>
          <w:p>
            <w:pPr>
              <w:jc w:val="right"/>
              <w:ind w:right="22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Premiums Three Months Ended September 30, 2026 and 2025 Comparison</w:t>
      </w:r>
    </w:p>
    <w:p>
      <w:pPr>
        <w:spacing w:after="0" w:line="81"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Net premiums written, excluding the unfavorable impact of foreign exchange ($39 million), increased by $142 million, or 9 percent, primarily due to growth in U.S. high net worth and Accident &amp; Health. The increase in Net premiums earned is primarily driven by these same factors.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Premiums Nine Months Ended September 30, 2026 and 2025 Comparison</w:t>
      </w:r>
    </w:p>
    <w:p>
      <w:pPr>
        <w:spacing w:after="0" w:line="81"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Net premiums written, excluding the favorable impact of foreign exchange ($6 million) increased by $427 million, or 9 percent, primarily due to reinsurance program changes and growth in U.S. high net worth and Accident &amp; Health. The increase in Net premiums earned is primarily driven by these same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Underwriting Results Three Months Ended September 30, 2026 and 2025 Comparison</w:t>
      </w:r>
    </w:p>
    <w:p>
      <w:pPr>
        <w:spacing w:after="0" w:line="68"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Global Personal produced underwriting income of $114 million from a combined ratio of 93.2, which was a 2.0 point improvement. This was driven by a lower loss ratio (2.5 points) from:</w:t>
      </w:r>
    </w:p>
    <w:p>
      <w:pPr>
        <w:spacing w:after="0" w:line="2"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lower accident year loss ratio, as adjusted (2.4 points) primarily due to changes in business mix;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higher net favorable prior year reserve development (1.3 points), with favorable development driven by U.S. high net worth.</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This was partially offset by higher catastrophe losses (1.2 points).</w:t>
      </w:r>
    </w:p>
    <w:p>
      <w:pPr>
        <w:spacing w:after="0" w:line="140" w:lineRule="exact"/>
        <w:rPr>
          <w:sz w:val="20"/>
          <w:szCs w:val="20"/>
          <w:color w:val="auto"/>
        </w:rPr>
      </w:pPr>
    </w:p>
    <w:p>
      <w:pPr>
        <w:ind w:right="640"/>
        <w:spacing w:after="0" w:line="321" w:lineRule="auto"/>
        <w:rPr>
          <w:sz w:val="20"/>
          <w:szCs w:val="20"/>
          <w:color w:val="auto"/>
        </w:rPr>
      </w:pPr>
      <w:r>
        <w:rPr>
          <w:rFonts w:ascii="Arial" w:cs="Arial" w:eastAsia="Arial" w:hAnsi="Arial"/>
          <w:sz w:val="16"/>
          <w:szCs w:val="16"/>
          <w:color w:val="auto"/>
        </w:rPr>
        <w:t>The expense ratio increased by 0.5 points, from a primarily mix-driven increase in the acquisition ratio (0.8 points), partially offset by a lower general operating expense ratio (0.3 points).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prior year development, see Insurance Reserves.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Underwriting Results Nine Months Ended September 30, 2026 and 2025 Comparison</w:t>
      </w:r>
    </w:p>
    <w:p>
      <w:pPr>
        <w:spacing w:after="0" w:line="68" w:lineRule="exact"/>
        <w:rPr>
          <w:sz w:val="20"/>
          <w:szCs w:val="20"/>
          <w:color w:val="auto"/>
        </w:rPr>
      </w:pPr>
    </w:p>
    <w:p>
      <w:pPr>
        <w:ind w:right="340"/>
        <w:spacing w:after="0" w:line="316" w:lineRule="auto"/>
        <w:rPr>
          <w:sz w:val="20"/>
          <w:szCs w:val="20"/>
          <w:color w:val="auto"/>
        </w:rPr>
      </w:pPr>
      <w:r>
        <w:rPr>
          <w:rFonts w:ascii="Arial" w:cs="Arial" w:eastAsia="Arial" w:hAnsi="Arial"/>
          <w:sz w:val="16"/>
          <w:szCs w:val="16"/>
          <w:color w:val="auto"/>
        </w:rPr>
        <w:t>Global Personal produced underwriting income of $397 million from a combined ratio of 91.9, which was an 8.5 point improvement. This was driven by a lower loss ratio (6.7 points) from:</w:t>
      </w:r>
    </w:p>
    <w:p>
      <w:pPr>
        <w:spacing w:after="0" w:line="2"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lower catastrophe losses (3.3 points);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lower accident year loss ratio, as adjusted (2.2 points) primarily due to changes in business mix;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higher net favorable prior year reserve development (1.2 points), with favorable development driven by U.S. high net worth.</w:t>
      </w:r>
    </w:p>
    <w:p>
      <w:pPr>
        <w:spacing w:after="0" w:line="140"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auto"/>
        </w:rPr>
        <w:t>The expense ratio improved by 1.8 points, reflecting a lower acquisition ratio (0.9 points), primarily driven by changes in business mix and improved commission terms, and a lower general operating expense ratio (0.9 points).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prior year development, see Insurance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414020</wp:posOffset>
            </wp:positionV>
            <wp:extent cx="23317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Business Segment Operations</w:t>
      </w:r>
      <w:r>
        <w:rPr>
          <w:rFonts w:ascii="Arial" w:cs="Arial" w:eastAsia="Arial" w:hAnsi="Arial"/>
          <w:sz w:val="13"/>
          <w:szCs w:val="13"/>
          <w:color w:val="333740"/>
        </w:rPr>
        <w:t xml:space="preserve"> | </w:t>
      </w:r>
      <w:r>
        <w:rPr>
          <w:rFonts w:ascii="Arial" w:cs="Arial" w:eastAsia="Arial" w:hAnsi="Arial"/>
          <w:sz w:val="13"/>
          <w:szCs w:val="13"/>
          <w:b w:val="1"/>
          <w:bCs w:val="1"/>
          <w:color w:val="001871"/>
        </w:rPr>
        <w:t>Other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23430" cy="431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23430" cy="4318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27"/>
          <w:szCs w:val="27"/>
          <w:color w:val="1352DE"/>
        </w:rPr>
        <w:t>Other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234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31"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Other Operations predominantly consists of Net investment income from our AIG Parent liquidity portfolio, Corebridge dividend income, corporate General operating expenses, and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234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1770"/>
        </w:rPr>
        <w:t>OTHER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Borders>
              <w:top w:val="single" w:sz="8" w:color="3051F2"/>
            </w:tcBorders>
          </w:tcPr>
          <w:p>
            <w:pPr>
              <w:spacing w:after="0"/>
              <w:rPr>
                <w:sz w:val="14"/>
                <w:szCs w:val="14"/>
                <w:color w:val="auto"/>
              </w:rPr>
            </w:pPr>
          </w:p>
        </w:tc>
        <w:tc>
          <w:tcPr>
            <w:tcW w:w="600" w:type="dxa"/>
            <w:vAlign w:val="bottom"/>
            <w:tcBorders>
              <w:top w:val="single" w:sz="8" w:color="3051F2"/>
            </w:tcBorders>
          </w:tcPr>
          <w:p>
            <w:pPr>
              <w:spacing w:after="0"/>
              <w:rPr>
                <w:sz w:val="14"/>
                <w:szCs w:val="14"/>
                <w:color w:val="auto"/>
              </w:rPr>
            </w:pPr>
          </w:p>
        </w:tc>
        <w:tc>
          <w:tcPr>
            <w:tcW w:w="1900" w:type="dxa"/>
            <w:vAlign w:val="bottom"/>
            <w:tcBorders>
              <w:top w:val="single" w:sz="8" w:color="3051F2"/>
            </w:tcBorders>
            <w:gridSpan w:val="3"/>
          </w:tcPr>
          <w:p>
            <w:pPr>
              <w:jc w:val="right"/>
              <w:ind w:right="208"/>
              <w:spacing w:after="0"/>
              <w:rPr>
                <w:sz w:val="20"/>
                <w:szCs w:val="20"/>
                <w:color w:val="auto"/>
              </w:rPr>
            </w:pPr>
            <w:r>
              <w:rPr>
                <w:rFonts w:ascii="Arial" w:cs="Arial" w:eastAsia="Arial" w:hAnsi="Arial"/>
                <w:sz w:val="14"/>
                <w:szCs w:val="14"/>
                <w:color w:val="1252DE"/>
              </w:rPr>
              <w:t>Three Months Ended</w:t>
            </w:r>
          </w:p>
        </w:tc>
        <w:tc>
          <w:tcPr>
            <w:tcW w:w="780" w:type="dxa"/>
            <w:vAlign w:val="bottom"/>
            <w:tcBorders>
              <w:top w:val="single" w:sz="8" w:color="3051F2"/>
            </w:tcBorders>
          </w:tcPr>
          <w:p>
            <w:pPr>
              <w:spacing w:after="0"/>
              <w:rPr>
                <w:sz w:val="14"/>
                <w:szCs w:val="14"/>
                <w:color w:val="auto"/>
              </w:rPr>
            </w:pPr>
          </w:p>
        </w:tc>
        <w:tc>
          <w:tcPr>
            <w:tcW w:w="280" w:type="dxa"/>
            <w:vAlign w:val="bottom"/>
            <w:tcBorders>
              <w:top w:val="single" w:sz="8" w:color="3051F2"/>
            </w:tcBorders>
          </w:tcPr>
          <w:p>
            <w:pPr>
              <w:spacing w:after="0"/>
              <w:rPr>
                <w:sz w:val="14"/>
                <w:szCs w:val="14"/>
                <w:color w:val="auto"/>
              </w:rPr>
            </w:pPr>
          </w:p>
        </w:tc>
        <w:tc>
          <w:tcPr>
            <w:tcW w:w="160" w:type="dxa"/>
            <w:vAlign w:val="bottom"/>
            <w:tcBorders>
              <w:top w:val="single" w:sz="8" w:color="3051F2"/>
            </w:tcBorders>
          </w:tcPr>
          <w:p>
            <w:pPr>
              <w:spacing w:after="0"/>
              <w:rPr>
                <w:sz w:val="14"/>
                <w:szCs w:val="14"/>
                <w:color w:val="auto"/>
              </w:rPr>
            </w:pPr>
          </w:p>
        </w:tc>
        <w:tc>
          <w:tcPr>
            <w:tcW w:w="1900" w:type="dxa"/>
            <w:vAlign w:val="bottom"/>
            <w:tcBorders>
              <w:top w:val="single" w:sz="8" w:color="3051F2"/>
            </w:tcBorders>
            <w:gridSpan w:val="3"/>
          </w:tcPr>
          <w:p>
            <w:pPr>
              <w:jc w:val="center"/>
              <w:spacing w:after="0"/>
              <w:rPr>
                <w:sz w:val="20"/>
                <w:szCs w:val="20"/>
                <w:color w:val="auto"/>
              </w:rPr>
            </w:pPr>
            <w:r>
              <w:rPr>
                <w:rFonts w:ascii="Arial" w:cs="Arial" w:eastAsia="Arial" w:hAnsi="Arial"/>
                <w:sz w:val="14"/>
                <w:szCs w:val="14"/>
                <w:color w:val="1252DE"/>
              </w:rPr>
              <w:t>Nine Months Ended</w:t>
            </w:r>
          </w:p>
        </w:tc>
        <w:tc>
          <w:tcPr>
            <w:tcW w:w="1000" w:type="dxa"/>
            <w:vAlign w:val="bottom"/>
            <w:tcBorders>
              <w:top w:val="single" w:sz="8" w:color="3051F2"/>
            </w:tcBorders>
          </w:tcPr>
          <w:p>
            <w:pPr>
              <w:spacing w:after="0"/>
              <w:rPr>
                <w:sz w:val="14"/>
                <w:szCs w:val="14"/>
                <w:color w:val="auto"/>
              </w:rPr>
            </w:pPr>
          </w:p>
        </w:tc>
      </w:tr>
      <w:tr>
        <w:trPr>
          <w:trHeight w:val="189"/>
        </w:trPr>
        <w:tc>
          <w:tcPr>
            <w:tcW w:w="4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Borders>
              <w:bottom w:val="single" w:sz="8" w:color="1352DE"/>
            </w:tcBorders>
            <w:gridSpan w:val="2"/>
          </w:tcPr>
          <w:p>
            <w:pPr>
              <w:ind w:left="480"/>
              <w:spacing w:after="0"/>
              <w:rPr>
                <w:sz w:val="20"/>
                <w:szCs w:val="20"/>
                <w:color w:val="auto"/>
              </w:rPr>
            </w:pPr>
            <w:r>
              <w:rPr>
                <w:rFonts w:ascii="Arial" w:cs="Arial" w:eastAsia="Arial" w:hAnsi="Arial"/>
                <w:sz w:val="14"/>
                <w:szCs w:val="14"/>
                <w:color w:val="1252DE"/>
              </w:rPr>
              <w:t>September 30,</w:t>
            </w:r>
          </w:p>
        </w:tc>
        <w:tc>
          <w:tcPr>
            <w:tcW w:w="420" w:type="dxa"/>
            <w:vAlign w:val="bottom"/>
            <w:tcBorders>
              <w:bottom w:val="single" w:sz="8" w:color="1352DE"/>
            </w:tcBorders>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bottom w:val="single" w:sz="8" w:color="1352DE"/>
            </w:tcBorders>
            <w:gridSpan w:val="2"/>
          </w:tcPr>
          <w:p>
            <w:pPr>
              <w:jc w:val="center"/>
              <w:ind w:left="331"/>
              <w:spacing w:after="0"/>
              <w:rPr>
                <w:sz w:val="20"/>
                <w:szCs w:val="20"/>
                <w:color w:val="auto"/>
              </w:rPr>
            </w:pPr>
            <w:r>
              <w:rPr>
                <w:rFonts w:ascii="Arial" w:cs="Arial" w:eastAsia="Arial" w:hAnsi="Arial"/>
                <w:sz w:val="14"/>
                <w:szCs w:val="14"/>
                <w:color w:val="1252DE"/>
              </w:rPr>
              <w:t>September 30,</w:t>
            </w:r>
          </w:p>
        </w:tc>
        <w:tc>
          <w:tcPr>
            <w:tcW w:w="400" w:type="dxa"/>
            <w:vAlign w:val="bottom"/>
            <w:tcBorders>
              <w:bottom w:val="single" w:sz="8" w:color="1352DE"/>
            </w:tcBorders>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600" w:type="dxa"/>
            <w:vAlign w:val="bottom"/>
            <w:tcBorders>
              <w:bottom w:val="single" w:sz="8" w:color="1352DE"/>
            </w:tcBorders>
          </w:tcPr>
          <w:p>
            <w:pPr>
              <w:spacing w:after="0"/>
              <w:rPr>
                <w:sz w:val="16"/>
                <w:szCs w:val="16"/>
                <w:color w:val="auto"/>
              </w:rPr>
            </w:pPr>
          </w:p>
        </w:tc>
        <w:tc>
          <w:tcPr>
            <w:tcW w:w="880" w:type="dxa"/>
            <w:vAlign w:val="bottom"/>
            <w:tcBorders>
              <w:bottom w:val="single" w:sz="8" w:color="1352DE"/>
            </w:tcBorders>
          </w:tcPr>
          <w:p>
            <w:pPr>
              <w:ind w:left="500"/>
              <w:spacing w:after="0"/>
              <w:rPr>
                <w:sz w:val="20"/>
                <w:szCs w:val="20"/>
                <w:color w:val="auto"/>
              </w:rPr>
            </w:pPr>
            <w:r>
              <w:rPr>
                <w:rFonts w:ascii="Arial" w:cs="Arial" w:eastAsia="Arial" w:hAnsi="Arial"/>
                <w:sz w:val="14"/>
                <w:szCs w:val="14"/>
                <w:b w:val="1"/>
                <w:bCs w:val="1"/>
                <w:color w:val="1252DE"/>
              </w:rPr>
              <w:t>2026</w:t>
            </w:r>
          </w:p>
        </w:tc>
        <w:tc>
          <w:tcPr>
            <w:tcW w:w="600" w:type="dxa"/>
            <w:vAlign w:val="bottom"/>
            <w:tcBorders>
              <w:bottom w:val="single" w:sz="8" w:color="1352DE"/>
            </w:tcBorders>
          </w:tcPr>
          <w:p>
            <w:pPr>
              <w:spacing w:after="0"/>
              <w:rPr>
                <w:sz w:val="16"/>
                <w:szCs w:val="16"/>
                <w:color w:val="auto"/>
              </w:rPr>
            </w:pPr>
          </w:p>
        </w:tc>
        <w:tc>
          <w:tcPr>
            <w:tcW w:w="4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1060" w:type="dxa"/>
            <w:vAlign w:val="bottom"/>
            <w:tcBorders>
              <w:bottom w:val="single" w:sz="8" w:color="1352DE"/>
            </w:tcBorders>
            <w:gridSpan w:val="2"/>
          </w:tcPr>
          <w:p>
            <w:pPr>
              <w:jc w:val="right"/>
              <w:ind w:right="268"/>
              <w:spacing w:after="0"/>
              <w:rPr>
                <w:sz w:val="20"/>
                <w:szCs w:val="20"/>
                <w:color w:val="auto"/>
              </w:rPr>
            </w:pPr>
            <w:r>
              <w:rPr>
                <w:rFonts w:ascii="Arial" w:cs="Arial" w:eastAsia="Arial" w:hAnsi="Arial"/>
                <w:sz w:val="14"/>
                <w:szCs w:val="14"/>
                <w:color w:val="1252DE"/>
              </w:rPr>
              <w:t>Change</w:t>
            </w:r>
          </w:p>
        </w:tc>
        <w:tc>
          <w:tcPr>
            <w:tcW w:w="16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ind w:left="500"/>
              <w:spacing w:after="0"/>
              <w:rPr>
                <w:sz w:val="20"/>
                <w:szCs w:val="20"/>
                <w:color w:val="auto"/>
              </w:rPr>
            </w:pPr>
            <w:r>
              <w:rPr>
                <w:rFonts w:ascii="Arial" w:cs="Arial" w:eastAsia="Arial" w:hAnsi="Arial"/>
                <w:sz w:val="14"/>
                <w:szCs w:val="14"/>
                <w:b w:val="1"/>
                <w:bCs w:val="1"/>
                <w:color w:val="1252DE"/>
              </w:rPr>
              <w:t>2026</w:t>
            </w:r>
          </w:p>
        </w:tc>
        <w:tc>
          <w:tcPr>
            <w:tcW w:w="600" w:type="dxa"/>
            <w:vAlign w:val="bottom"/>
            <w:tcBorders>
              <w:bottom w:val="single" w:sz="8" w:color="1352DE"/>
            </w:tcBorders>
          </w:tcPr>
          <w:p>
            <w:pPr>
              <w:spacing w:after="0"/>
              <w:rPr>
                <w:sz w:val="16"/>
                <w:szCs w:val="16"/>
                <w:color w:val="auto"/>
              </w:rPr>
            </w:pPr>
          </w:p>
        </w:tc>
        <w:tc>
          <w:tcPr>
            <w:tcW w:w="400" w:type="dxa"/>
            <w:vAlign w:val="bottom"/>
            <w:tcBorders>
              <w:bottom w:val="single" w:sz="8" w:color="1352DE"/>
            </w:tcBorders>
          </w:tcPr>
          <w:p>
            <w:pPr>
              <w:ind w:left="60"/>
              <w:spacing w:after="0"/>
              <w:rPr>
                <w:sz w:val="20"/>
                <w:szCs w:val="20"/>
                <w:color w:val="auto"/>
              </w:rPr>
            </w:pPr>
            <w:r>
              <w:rPr>
                <w:rFonts w:ascii="Arial" w:cs="Arial" w:eastAsia="Arial" w:hAnsi="Arial"/>
                <w:sz w:val="14"/>
                <w:szCs w:val="14"/>
                <w:color w:val="1252DE"/>
              </w:rPr>
              <w:t>2025</w:t>
            </w:r>
          </w:p>
        </w:tc>
        <w:tc>
          <w:tcPr>
            <w:tcW w:w="1000" w:type="dxa"/>
            <w:vAlign w:val="bottom"/>
            <w:tcBorders>
              <w:bottom w:val="single" w:sz="8" w:color="1352DE"/>
            </w:tcBorders>
          </w:tcPr>
          <w:p>
            <w:pPr>
              <w:jc w:val="right"/>
              <w:ind w:right="192"/>
              <w:spacing w:after="0"/>
              <w:rPr>
                <w:sz w:val="20"/>
                <w:szCs w:val="20"/>
                <w:color w:val="auto"/>
              </w:rPr>
            </w:pPr>
            <w:r>
              <w:rPr>
                <w:rFonts w:ascii="Arial" w:cs="Arial" w:eastAsia="Arial" w:hAnsi="Arial"/>
                <w:sz w:val="14"/>
                <w:szCs w:val="14"/>
                <w:color w:val="1252DE"/>
              </w:rPr>
              <w:t>Change</w:t>
            </w:r>
          </w:p>
        </w:tc>
      </w:tr>
      <w:tr>
        <w:trPr>
          <w:trHeight w:val="195"/>
        </w:trPr>
        <w:tc>
          <w:tcPr>
            <w:tcW w:w="4600" w:type="dxa"/>
            <w:vAlign w:val="bottom"/>
          </w:tcPr>
          <w:p>
            <w:pPr>
              <w:ind w:left="20"/>
              <w:spacing w:after="0"/>
              <w:rPr>
                <w:sz w:val="20"/>
                <w:szCs w:val="20"/>
                <w:color w:val="auto"/>
              </w:rPr>
            </w:pPr>
            <w:r>
              <w:rPr>
                <w:rFonts w:ascii="Arial" w:cs="Arial" w:eastAsia="Arial" w:hAnsi="Arial"/>
                <w:sz w:val="14"/>
                <w:szCs w:val="14"/>
                <w:b w:val="1"/>
                <w:bCs w:val="1"/>
                <w:color w:val="1252DE"/>
              </w:rPr>
              <w:t>Net investment income and other</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1252DE"/>
              </w:rPr>
              <w:t>45</w:t>
            </w:r>
          </w:p>
        </w:tc>
        <w:tc>
          <w:tcPr>
            <w:tcW w:w="600" w:type="dxa"/>
            <w:vAlign w:val="bottom"/>
          </w:tcPr>
          <w:p>
            <w:pPr>
              <w:jc w:val="right"/>
              <w:ind w:right="37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60" w:type="dxa"/>
            <w:vAlign w:val="bottom"/>
            <w:gridSpan w:val="2"/>
          </w:tcPr>
          <w:p>
            <w:pPr>
              <w:jc w:val="right"/>
              <w:ind w:right="108"/>
              <w:spacing w:after="0"/>
              <w:rPr>
                <w:sz w:val="20"/>
                <w:szCs w:val="20"/>
                <w:color w:val="auto"/>
              </w:rPr>
            </w:pPr>
            <w:r>
              <w:rPr>
                <w:rFonts w:ascii="Arial" w:cs="Arial" w:eastAsia="Arial" w:hAnsi="Arial"/>
                <w:sz w:val="14"/>
                <w:szCs w:val="14"/>
                <w:color w:val="auto"/>
              </w:rPr>
              <w:t xml:space="preserve">(38) </w:t>
            </w: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900" w:type="dxa"/>
            <w:vAlign w:val="bottom"/>
          </w:tcPr>
          <w:p>
            <w:pPr>
              <w:jc w:val="right"/>
              <w:ind w:right="51"/>
              <w:spacing w:after="0"/>
              <w:rPr>
                <w:sz w:val="20"/>
                <w:szCs w:val="20"/>
                <w:color w:val="auto"/>
              </w:rPr>
            </w:pPr>
            <w:r>
              <w:rPr>
                <w:rFonts w:ascii="Arial" w:cs="Arial" w:eastAsia="Arial" w:hAnsi="Arial"/>
                <w:sz w:val="13"/>
                <w:szCs w:val="13"/>
                <w:b w:val="1"/>
                <w:bCs w:val="1"/>
                <w:color w:val="1252DE"/>
              </w:rPr>
              <w:t>138</w:t>
            </w:r>
          </w:p>
        </w:tc>
        <w:tc>
          <w:tcPr>
            <w:tcW w:w="6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274</w:t>
            </w:r>
          </w:p>
        </w:tc>
        <w:tc>
          <w:tcPr>
            <w:tcW w:w="1000" w:type="dxa"/>
            <w:vAlign w:val="bottom"/>
          </w:tcPr>
          <w:p>
            <w:pPr>
              <w:jc w:val="right"/>
              <w:ind w:right="52"/>
              <w:spacing w:after="0"/>
              <w:rPr>
                <w:sz w:val="20"/>
                <w:szCs w:val="20"/>
                <w:color w:val="auto"/>
              </w:rPr>
            </w:pPr>
            <w:r>
              <w:rPr>
                <w:rFonts w:ascii="Arial" w:cs="Arial" w:eastAsia="Arial" w:hAnsi="Arial"/>
                <w:sz w:val="13"/>
                <w:szCs w:val="13"/>
                <w:color w:val="auto"/>
              </w:rPr>
              <w:t>(50) %</w:t>
            </w:r>
          </w:p>
        </w:tc>
      </w:tr>
      <w:tr>
        <w:trPr>
          <w:trHeight w:val="203"/>
        </w:trPr>
        <w:tc>
          <w:tcPr>
            <w:tcW w:w="4600" w:type="dxa"/>
            <w:vAlign w:val="bottom"/>
          </w:tcPr>
          <w:p>
            <w:pPr>
              <w:ind w:left="20"/>
              <w:spacing w:after="0"/>
              <w:rPr>
                <w:sz w:val="20"/>
                <w:szCs w:val="20"/>
                <w:color w:val="auto"/>
              </w:rPr>
            </w:pPr>
            <w:r>
              <w:rPr>
                <w:rFonts w:ascii="Arial" w:cs="Arial" w:eastAsia="Arial" w:hAnsi="Arial"/>
                <w:sz w:val="14"/>
                <w:szCs w:val="14"/>
                <w:b w:val="1"/>
                <w:bCs w:val="1"/>
                <w:color w:val="1252DE"/>
              </w:rPr>
              <w:t>Benefits, losses and expenses:</w:t>
            </w: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600" w:type="dxa"/>
            <w:vAlign w:val="bottom"/>
          </w:tcPr>
          <w:p>
            <w:pPr>
              <w:ind w:left="140"/>
              <w:spacing w:after="0"/>
              <w:rPr>
                <w:sz w:val="20"/>
                <w:szCs w:val="20"/>
                <w:color w:val="auto"/>
              </w:rPr>
            </w:pPr>
            <w:r>
              <w:rPr>
                <w:rFonts w:ascii="Arial" w:cs="Arial" w:eastAsia="Arial" w:hAnsi="Arial"/>
                <w:sz w:val="14"/>
                <w:szCs w:val="14"/>
                <w:color w:val="auto"/>
              </w:rPr>
              <w:t>Corporate and other general operating expenses</w:t>
            </w:r>
          </w:p>
        </w:tc>
        <w:tc>
          <w:tcPr>
            <w:tcW w:w="6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1252DE"/>
              </w:rPr>
              <w:t>85</w:t>
            </w:r>
          </w:p>
        </w:tc>
        <w:tc>
          <w:tcPr>
            <w:tcW w:w="60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1"/>
              <w:spacing w:after="0"/>
              <w:rPr>
                <w:sz w:val="20"/>
                <w:szCs w:val="20"/>
                <w:color w:val="auto"/>
              </w:rPr>
            </w:pPr>
            <w:r>
              <w:rPr>
                <w:rFonts w:ascii="Arial" w:cs="Arial" w:eastAsia="Arial" w:hAnsi="Arial"/>
                <w:sz w:val="13"/>
                <w:szCs w:val="13"/>
                <w:b w:val="1"/>
                <w:bCs w:val="1"/>
                <w:color w:val="1252DE"/>
              </w:rPr>
              <w:t>246</w:t>
            </w:r>
          </w:p>
        </w:tc>
        <w:tc>
          <w:tcPr>
            <w:tcW w:w="6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261</w:t>
            </w:r>
          </w:p>
        </w:tc>
        <w:tc>
          <w:tcPr>
            <w:tcW w:w="1000" w:type="dxa"/>
            <w:vAlign w:val="bottom"/>
          </w:tcPr>
          <w:p>
            <w:pPr>
              <w:jc w:val="right"/>
              <w:ind w:right="212"/>
              <w:spacing w:after="0"/>
              <w:rPr>
                <w:sz w:val="20"/>
                <w:szCs w:val="20"/>
                <w:color w:val="auto"/>
              </w:rPr>
            </w:pPr>
            <w:r>
              <w:rPr>
                <w:rFonts w:ascii="Arial" w:cs="Arial" w:eastAsia="Arial" w:hAnsi="Arial"/>
                <w:sz w:val="13"/>
                <w:szCs w:val="13"/>
                <w:color w:val="auto"/>
              </w:rPr>
              <w:t>(6)</w:t>
            </w:r>
          </w:p>
        </w:tc>
      </w:tr>
      <w:tr>
        <w:trPr>
          <w:trHeight w:val="203"/>
        </w:trPr>
        <w:tc>
          <w:tcPr>
            <w:tcW w:w="460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Interest expense</w:t>
            </w:r>
          </w:p>
        </w:tc>
        <w:tc>
          <w:tcPr>
            <w:tcW w:w="60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101</w:t>
            </w:r>
          </w:p>
        </w:tc>
        <w:tc>
          <w:tcPr>
            <w:tcW w:w="600" w:type="dxa"/>
            <w:vAlign w:val="bottom"/>
            <w:tcBorders>
              <w:bottom w:val="single" w:sz="8" w:color="1352DE"/>
            </w:tcBorders>
          </w:tcPr>
          <w:p>
            <w:pPr>
              <w:spacing w:after="0"/>
              <w:rPr>
                <w:sz w:val="17"/>
                <w:szCs w:val="17"/>
                <w:color w:val="auto"/>
              </w:rPr>
            </w:pPr>
          </w:p>
        </w:tc>
        <w:tc>
          <w:tcPr>
            <w:tcW w:w="4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51"/>
              <w:spacing w:after="0"/>
              <w:rPr>
                <w:sz w:val="20"/>
                <w:szCs w:val="20"/>
                <w:color w:val="auto"/>
              </w:rPr>
            </w:pPr>
            <w:r>
              <w:rPr>
                <w:rFonts w:ascii="Arial" w:cs="Arial" w:eastAsia="Arial" w:hAnsi="Arial"/>
                <w:sz w:val="13"/>
                <w:szCs w:val="13"/>
                <w:b w:val="1"/>
                <w:bCs w:val="1"/>
                <w:color w:val="1252DE"/>
              </w:rPr>
              <w:t>300</w:t>
            </w:r>
          </w:p>
        </w:tc>
        <w:tc>
          <w:tcPr>
            <w:tcW w:w="6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292</w:t>
            </w:r>
          </w:p>
        </w:tc>
        <w:tc>
          <w:tcPr>
            <w:tcW w:w="1000" w:type="dxa"/>
            <w:vAlign w:val="bottom"/>
            <w:tcBorders>
              <w:bottom w:val="single" w:sz="8" w:color="1352DE"/>
            </w:tcBorders>
          </w:tcPr>
          <w:p>
            <w:pPr>
              <w:jc w:val="right"/>
              <w:ind w:right="252"/>
              <w:spacing w:after="0"/>
              <w:rPr>
                <w:sz w:val="20"/>
                <w:szCs w:val="20"/>
                <w:color w:val="auto"/>
              </w:rPr>
            </w:pPr>
            <w:r>
              <w:rPr>
                <w:rFonts w:ascii="Arial" w:cs="Arial" w:eastAsia="Arial" w:hAnsi="Arial"/>
                <w:sz w:val="13"/>
                <w:szCs w:val="13"/>
                <w:color w:val="auto"/>
              </w:rPr>
              <w:t>3</w:t>
            </w:r>
          </w:p>
        </w:tc>
      </w:tr>
      <w:tr>
        <w:trPr>
          <w:trHeight w:val="196"/>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benefits, losses and expenses*</w:t>
            </w:r>
          </w:p>
        </w:tc>
        <w:tc>
          <w:tcPr>
            <w:tcW w:w="60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186</w:t>
            </w:r>
          </w:p>
        </w:tc>
        <w:tc>
          <w:tcPr>
            <w:tcW w:w="600" w:type="dxa"/>
            <w:vAlign w:val="bottom"/>
            <w:tcBorders>
              <w:bottom w:val="single" w:sz="8" w:color="1352DE"/>
            </w:tcBorders>
          </w:tcPr>
          <w:p>
            <w:pPr>
              <w:spacing w:after="0"/>
              <w:rPr>
                <w:sz w:val="17"/>
                <w:szCs w:val="17"/>
                <w:color w:val="auto"/>
              </w:rPr>
            </w:pPr>
          </w:p>
        </w:tc>
        <w:tc>
          <w:tcPr>
            <w:tcW w:w="4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186</w:t>
            </w:r>
          </w:p>
        </w:tc>
        <w:tc>
          <w:tcPr>
            <w:tcW w:w="7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51"/>
              <w:spacing w:after="0"/>
              <w:rPr>
                <w:sz w:val="20"/>
                <w:szCs w:val="20"/>
                <w:color w:val="auto"/>
              </w:rPr>
            </w:pPr>
            <w:r>
              <w:rPr>
                <w:rFonts w:ascii="Arial" w:cs="Arial" w:eastAsia="Arial" w:hAnsi="Arial"/>
                <w:sz w:val="13"/>
                <w:szCs w:val="13"/>
                <w:b w:val="1"/>
                <w:bCs w:val="1"/>
                <w:color w:val="1252DE"/>
              </w:rPr>
              <w:t>546</w:t>
            </w:r>
          </w:p>
        </w:tc>
        <w:tc>
          <w:tcPr>
            <w:tcW w:w="6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553</w:t>
            </w:r>
          </w:p>
        </w:tc>
        <w:tc>
          <w:tcPr>
            <w:tcW w:w="1000" w:type="dxa"/>
            <w:vAlign w:val="bottom"/>
            <w:tcBorders>
              <w:bottom w:val="single" w:sz="8" w:color="1352DE"/>
            </w:tcBorders>
          </w:tcPr>
          <w:p>
            <w:pPr>
              <w:jc w:val="right"/>
              <w:ind w:right="212"/>
              <w:spacing w:after="0"/>
              <w:rPr>
                <w:sz w:val="20"/>
                <w:szCs w:val="20"/>
                <w:color w:val="auto"/>
              </w:rPr>
            </w:pPr>
            <w:r>
              <w:rPr>
                <w:rFonts w:ascii="Arial" w:cs="Arial" w:eastAsia="Arial" w:hAnsi="Arial"/>
                <w:sz w:val="13"/>
                <w:szCs w:val="13"/>
                <w:color w:val="auto"/>
              </w:rPr>
              <w:t>(1)</w:t>
            </w:r>
          </w:p>
        </w:tc>
      </w:tr>
      <w:tr>
        <w:trPr>
          <w:trHeight w:val="195"/>
        </w:trPr>
        <w:tc>
          <w:tcPr>
            <w:tcW w:w="4600" w:type="dxa"/>
            <w:vAlign w:val="bottom"/>
          </w:tcPr>
          <w:p>
            <w:pPr>
              <w:ind w:left="20"/>
              <w:spacing w:after="0"/>
              <w:rPr>
                <w:sz w:val="20"/>
                <w:szCs w:val="20"/>
                <w:color w:val="auto"/>
              </w:rPr>
            </w:pPr>
            <w:r>
              <w:rPr>
                <w:rFonts w:ascii="Arial" w:cs="Arial" w:eastAsia="Arial" w:hAnsi="Arial"/>
                <w:sz w:val="14"/>
                <w:szCs w:val="14"/>
                <w:b w:val="1"/>
                <w:bCs w:val="1"/>
                <w:color w:val="1252DE"/>
              </w:rPr>
              <w:t>Adjusted pre-tax loss before consolidation and eliminations</w:t>
            </w:r>
          </w:p>
        </w:tc>
        <w:tc>
          <w:tcPr>
            <w:tcW w:w="600" w:type="dxa"/>
            <w:vAlign w:val="bottom"/>
          </w:tcPr>
          <w:p>
            <w:pPr>
              <w:spacing w:after="0"/>
              <w:rPr>
                <w:sz w:val="16"/>
                <w:szCs w:val="16"/>
                <w:color w:val="auto"/>
              </w:rPr>
            </w:pPr>
          </w:p>
        </w:tc>
        <w:tc>
          <w:tcPr>
            <w:tcW w:w="880" w:type="dxa"/>
            <w:vAlign w:val="bottom"/>
          </w:tcPr>
          <w:p>
            <w:pPr>
              <w:ind w:left="460"/>
              <w:spacing w:after="0"/>
              <w:rPr>
                <w:sz w:val="20"/>
                <w:szCs w:val="20"/>
                <w:color w:val="auto"/>
              </w:rPr>
            </w:pPr>
            <w:r>
              <w:rPr>
                <w:rFonts w:ascii="Arial" w:cs="Arial" w:eastAsia="Arial" w:hAnsi="Arial"/>
                <w:sz w:val="14"/>
                <w:szCs w:val="14"/>
                <w:b w:val="1"/>
                <w:bCs w:val="1"/>
                <w:color w:val="1252DE"/>
              </w:rPr>
              <w:t>(141)</w:t>
            </w:r>
          </w:p>
        </w:tc>
        <w:tc>
          <w:tcPr>
            <w:tcW w:w="6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(114)</w:t>
            </w: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ind w:left="500"/>
              <w:spacing w:after="0"/>
              <w:rPr>
                <w:sz w:val="20"/>
                <w:szCs w:val="20"/>
                <w:color w:val="auto"/>
              </w:rPr>
            </w:pPr>
            <w:r>
              <w:rPr>
                <w:rFonts w:ascii="Arial" w:cs="Arial" w:eastAsia="Arial" w:hAnsi="Arial"/>
                <w:sz w:val="13"/>
                <w:szCs w:val="13"/>
                <w:b w:val="1"/>
                <w:bCs w:val="1"/>
                <w:color w:val="1252DE"/>
              </w:rPr>
              <w:t>(408)</w:t>
            </w:r>
          </w:p>
        </w:tc>
        <w:tc>
          <w:tcPr>
            <w:tcW w:w="60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Arial" w:cs="Arial" w:eastAsia="Arial" w:hAnsi="Arial"/>
                <w:sz w:val="13"/>
                <w:szCs w:val="13"/>
                <w:color w:val="auto"/>
              </w:rPr>
              <w:t>(279)</w:t>
            </w:r>
          </w:p>
        </w:tc>
        <w:tc>
          <w:tcPr>
            <w:tcW w:w="1000" w:type="dxa"/>
            <w:vAlign w:val="bottom"/>
          </w:tcPr>
          <w:p>
            <w:pPr>
              <w:jc w:val="right"/>
              <w:ind w:right="212"/>
              <w:spacing w:after="0"/>
              <w:rPr>
                <w:sz w:val="20"/>
                <w:szCs w:val="20"/>
                <w:color w:val="auto"/>
              </w:rPr>
            </w:pPr>
            <w:r>
              <w:rPr>
                <w:rFonts w:ascii="Arial" w:cs="Arial" w:eastAsia="Arial" w:hAnsi="Arial"/>
                <w:sz w:val="13"/>
                <w:szCs w:val="13"/>
                <w:color w:val="auto"/>
              </w:rPr>
              <w:t>(46)</w:t>
            </w:r>
          </w:p>
        </w:tc>
      </w:tr>
      <w:tr>
        <w:trPr>
          <w:trHeight w:val="203"/>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Consolidation and eliminations</w:t>
            </w:r>
          </w:p>
        </w:tc>
        <w:tc>
          <w:tcPr>
            <w:tcW w:w="600" w:type="dxa"/>
            <w:vAlign w:val="bottom"/>
            <w:tcBorders>
              <w:bottom w:val="single" w:sz="8" w:color="1352DE"/>
            </w:tcBorders>
          </w:tcPr>
          <w:p>
            <w:pPr>
              <w:spacing w:after="0"/>
              <w:rPr>
                <w:sz w:val="17"/>
                <w:szCs w:val="17"/>
                <w:color w:val="auto"/>
              </w:rPr>
            </w:pPr>
          </w:p>
        </w:tc>
        <w:tc>
          <w:tcPr>
            <w:tcW w:w="8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600" w:type="dxa"/>
            <w:vAlign w:val="bottom"/>
            <w:tcBorders>
              <w:bottom w:val="single" w:sz="8" w:color="1352DE"/>
            </w:tcBorders>
          </w:tcPr>
          <w:p>
            <w:pPr>
              <w:spacing w:after="0"/>
              <w:rPr>
                <w:sz w:val="17"/>
                <w:szCs w:val="17"/>
                <w:color w:val="auto"/>
              </w:rPr>
            </w:pPr>
          </w:p>
        </w:tc>
        <w:tc>
          <w:tcPr>
            <w:tcW w:w="4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w:t>
            </w:r>
          </w:p>
        </w:tc>
        <w:tc>
          <w:tcPr>
            <w:tcW w:w="1060" w:type="dxa"/>
            <w:vAlign w:val="bottom"/>
            <w:tcBorders>
              <w:bottom w:val="single" w:sz="8" w:color="1352DE"/>
            </w:tcBorders>
            <w:gridSpan w:val="2"/>
          </w:tcPr>
          <w:p>
            <w:pPr>
              <w:jc w:val="right"/>
              <w:ind w:right="268"/>
              <w:spacing w:after="0"/>
              <w:rPr>
                <w:sz w:val="20"/>
                <w:szCs w:val="20"/>
                <w:color w:val="auto"/>
              </w:rPr>
            </w:pPr>
            <w:r>
              <w:rPr>
                <w:rFonts w:ascii="Arial" w:cs="Arial" w:eastAsia="Arial" w:hAnsi="Arial"/>
                <w:sz w:val="14"/>
                <w:szCs w:val="14"/>
                <w:color w:val="auto"/>
              </w:rPr>
              <w:t>NM</w:t>
            </w:r>
          </w:p>
        </w:tc>
        <w:tc>
          <w:tcPr>
            <w:tcW w:w="16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51"/>
              <w:spacing w:after="0"/>
              <w:rPr>
                <w:sz w:val="20"/>
                <w:szCs w:val="20"/>
                <w:color w:val="auto"/>
              </w:rPr>
            </w:pPr>
            <w:r>
              <w:rPr>
                <w:rFonts w:ascii="Arial" w:cs="Arial" w:eastAsia="Arial" w:hAnsi="Arial"/>
                <w:sz w:val="13"/>
                <w:szCs w:val="13"/>
                <w:b w:val="1"/>
                <w:bCs w:val="1"/>
                <w:color w:val="1252DE"/>
              </w:rPr>
              <w:t>—</w:t>
            </w:r>
          </w:p>
        </w:tc>
        <w:tc>
          <w:tcPr>
            <w:tcW w:w="600" w:type="dxa"/>
            <w:vAlign w:val="bottom"/>
            <w:tcBorders>
              <w:bottom w:val="single" w:sz="8" w:color="1352DE"/>
            </w:tcBorders>
          </w:tcPr>
          <w:p>
            <w:pPr>
              <w:spacing w:after="0"/>
              <w:rPr>
                <w:sz w:val="17"/>
                <w:szCs w:val="17"/>
                <w:color w:val="auto"/>
              </w:rPr>
            </w:pPr>
          </w:p>
        </w:tc>
        <w:tc>
          <w:tcPr>
            <w:tcW w:w="40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1352DE"/>
            </w:tcBorders>
          </w:tcPr>
          <w:p>
            <w:pPr>
              <w:jc w:val="right"/>
              <w:ind w:right="192"/>
              <w:spacing w:after="0"/>
              <w:rPr>
                <w:sz w:val="20"/>
                <w:szCs w:val="20"/>
                <w:color w:val="auto"/>
              </w:rPr>
            </w:pPr>
            <w:r>
              <w:rPr>
                <w:rFonts w:ascii="Arial" w:cs="Arial" w:eastAsia="Arial" w:hAnsi="Arial"/>
                <w:sz w:val="13"/>
                <w:szCs w:val="13"/>
                <w:color w:val="auto"/>
              </w:rPr>
              <w:t>NM</w:t>
            </w:r>
          </w:p>
        </w:tc>
      </w:tr>
      <w:tr>
        <w:trPr>
          <w:trHeight w:val="196"/>
        </w:trPr>
        <w:tc>
          <w:tcPr>
            <w:tcW w:w="46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Adjusted pre-tax loss</w:t>
            </w: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880" w:type="dxa"/>
            <w:vAlign w:val="bottom"/>
            <w:tcBorders>
              <w:bottom w:val="single" w:sz="8" w:color="1352DE"/>
            </w:tcBorders>
          </w:tcPr>
          <w:p>
            <w:pPr>
              <w:ind w:left="460"/>
              <w:spacing w:after="0"/>
              <w:rPr>
                <w:sz w:val="20"/>
                <w:szCs w:val="20"/>
                <w:color w:val="auto"/>
              </w:rPr>
            </w:pPr>
            <w:r>
              <w:rPr>
                <w:rFonts w:ascii="Arial" w:cs="Arial" w:eastAsia="Arial" w:hAnsi="Arial"/>
                <w:sz w:val="14"/>
                <w:szCs w:val="14"/>
                <w:b w:val="1"/>
                <w:bCs w:val="1"/>
                <w:color w:val="1252DE"/>
              </w:rPr>
              <w:t>(141)</w:t>
            </w:r>
          </w:p>
        </w:tc>
        <w:tc>
          <w:tcPr>
            <w:tcW w:w="600" w:type="dxa"/>
            <w:vAlign w:val="bottom"/>
            <w:tcBorders>
              <w:bottom w:val="single" w:sz="8" w:color="1352DE"/>
            </w:tcBorders>
          </w:tcPr>
          <w:p>
            <w:pPr>
              <w:jc w:val="right"/>
              <w:ind w:right="37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(112)</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(26)</w:t>
            </w:r>
          </w:p>
        </w:tc>
        <w:tc>
          <w:tcPr>
            <w:tcW w:w="2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900" w:type="dxa"/>
            <w:vAlign w:val="bottom"/>
            <w:tcBorders>
              <w:bottom w:val="single" w:sz="8" w:color="1352DE"/>
            </w:tcBorders>
          </w:tcPr>
          <w:p>
            <w:pPr>
              <w:ind w:left="500"/>
              <w:spacing w:after="0"/>
              <w:rPr>
                <w:sz w:val="20"/>
                <w:szCs w:val="20"/>
                <w:color w:val="auto"/>
              </w:rPr>
            </w:pPr>
            <w:r>
              <w:rPr>
                <w:rFonts w:ascii="Arial" w:cs="Arial" w:eastAsia="Arial" w:hAnsi="Arial"/>
                <w:sz w:val="13"/>
                <w:szCs w:val="13"/>
                <w:b w:val="1"/>
                <w:bCs w:val="1"/>
                <w:color w:val="1252DE"/>
              </w:rPr>
              <w:t>(408)</w:t>
            </w:r>
          </w:p>
        </w:tc>
        <w:tc>
          <w:tcPr>
            <w:tcW w:w="600" w:type="dxa"/>
            <w:vAlign w:val="bottom"/>
            <w:tcBorders>
              <w:bottom w:val="single" w:sz="8" w:color="1352DE"/>
            </w:tcBorders>
          </w:tcPr>
          <w:p>
            <w:pPr>
              <w:jc w:val="right"/>
              <w:ind w:right="37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1352DE"/>
            </w:tcBorders>
          </w:tcPr>
          <w:p>
            <w:pPr>
              <w:ind w:left="60"/>
              <w:spacing w:after="0"/>
              <w:rPr>
                <w:sz w:val="20"/>
                <w:szCs w:val="20"/>
                <w:color w:val="auto"/>
              </w:rPr>
            </w:pPr>
            <w:r>
              <w:rPr>
                <w:rFonts w:ascii="Arial" w:cs="Arial" w:eastAsia="Arial" w:hAnsi="Arial"/>
                <w:sz w:val="13"/>
                <w:szCs w:val="13"/>
                <w:color w:val="auto"/>
              </w:rPr>
              <w:t>(279)</w:t>
            </w:r>
          </w:p>
        </w:tc>
        <w:tc>
          <w:tcPr>
            <w:tcW w:w="1000" w:type="dxa"/>
            <w:vAlign w:val="bottom"/>
            <w:tcBorders>
              <w:bottom w:val="single" w:sz="8" w:color="1352DE"/>
            </w:tcBorders>
          </w:tcPr>
          <w:p>
            <w:pPr>
              <w:jc w:val="right"/>
              <w:ind w:right="52"/>
              <w:spacing w:after="0"/>
              <w:rPr>
                <w:sz w:val="20"/>
                <w:szCs w:val="20"/>
                <w:color w:val="auto"/>
              </w:rPr>
            </w:pPr>
            <w:r>
              <w:rPr>
                <w:rFonts w:ascii="Arial" w:cs="Arial" w:eastAsia="Arial" w:hAnsi="Arial"/>
                <w:sz w:val="13"/>
                <w:szCs w:val="13"/>
                <w:color w:val="auto"/>
              </w:rPr>
              <w:t>(46) %</w:t>
            </w:r>
          </w:p>
        </w:tc>
      </w:tr>
    </w:tbl>
    <w:p>
      <w:pPr>
        <w:spacing w:after="0" w:line="144" w:lineRule="exact"/>
        <w:rPr>
          <w:sz w:val="20"/>
          <w:szCs w:val="20"/>
          <w:color w:val="auto"/>
        </w:rPr>
      </w:pPr>
    </w:p>
    <w:p>
      <w:pPr>
        <w:ind w:left="220" w:right="400" w:hanging="212"/>
        <w:spacing w:after="0" w:line="264" w:lineRule="auto"/>
        <w:tabs>
          <w:tab w:leader="none" w:pos="211"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 the first quarter of 2026, AIG realigned and began reporting Amortization of intangible assets in General Insurance from Other Operations; historical results have been recast to reflect these changes.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ADJUSTED PRE-TAX LOSS BEFORE CONSOLIDATION AND ELIMINATIONS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Three Months Ended September 30, 2026 and 2025 Comparison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Adjusted pre-tax loss before consolidation and eliminations increased $27 million primarily due to the following:</w:t>
      </w:r>
    </w:p>
    <w:p>
      <w:pPr>
        <w:spacing w:after="0" w:line="86" w:lineRule="exact"/>
        <w:rPr>
          <w:sz w:val="20"/>
          <w:szCs w:val="20"/>
          <w:color w:val="auto"/>
        </w:rPr>
      </w:pPr>
    </w:p>
    <w:p>
      <w:pPr>
        <w:ind w:left="220" w:right="700" w:hanging="212"/>
        <w:spacing w:after="0" w:line="321" w:lineRule="auto"/>
        <w:tabs>
          <w:tab w:leader="none" w:pos="218" w:val="left"/>
        </w:tabs>
        <w:numPr>
          <w:ilvl w:val="0"/>
          <w:numId w:val="79"/>
        </w:numPr>
        <w:rPr>
          <w:rFonts w:ascii="Arial" w:cs="Arial" w:eastAsia="Arial" w:hAnsi="Arial"/>
          <w:sz w:val="16"/>
          <w:szCs w:val="16"/>
          <w:color w:val="auto"/>
        </w:rPr>
      </w:pPr>
      <w:r>
        <w:rPr>
          <w:rFonts w:ascii="Arial" w:cs="Arial" w:eastAsia="Arial" w:hAnsi="Arial"/>
          <w:sz w:val="16"/>
          <w:szCs w:val="16"/>
          <w:color w:val="auto"/>
        </w:rPr>
        <w:t>lower net investment income and other of $27 million primarily driven by the $20 million decline in Corebridge dividend income following the final disposition of our remaining interest in May 2026.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Nine Months Ended September 30, 2026 and 2025 Comparison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Adjusted pre-tax loss before consolidation and eliminations increased $129 million primarily due to the following:</w:t>
      </w:r>
    </w:p>
    <w:p>
      <w:pPr>
        <w:spacing w:after="0" w:line="86" w:lineRule="exact"/>
        <w:rPr>
          <w:sz w:val="20"/>
          <w:szCs w:val="20"/>
          <w:color w:val="auto"/>
        </w:rPr>
      </w:pPr>
    </w:p>
    <w:p>
      <w:pPr>
        <w:ind w:left="220" w:right="360" w:hanging="212"/>
        <w:spacing w:after="0" w:line="316" w:lineRule="auto"/>
        <w:tabs>
          <w:tab w:leader="none" w:pos="218" w:val="left"/>
        </w:tabs>
        <w:numPr>
          <w:ilvl w:val="0"/>
          <w:numId w:val="80"/>
        </w:numPr>
        <w:rPr>
          <w:rFonts w:ascii="Arial" w:cs="Arial" w:eastAsia="Arial" w:hAnsi="Arial"/>
          <w:sz w:val="16"/>
          <w:szCs w:val="16"/>
          <w:color w:val="auto"/>
        </w:rPr>
      </w:pPr>
      <w:r>
        <w:rPr>
          <w:rFonts w:ascii="Arial" w:cs="Arial" w:eastAsia="Arial" w:hAnsi="Arial"/>
          <w:sz w:val="16"/>
          <w:szCs w:val="16"/>
          <w:color w:val="auto"/>
        </w:rPr>
        <w:t>lower net investment income and other of $136 million due to lower average balance with lower yields as a result of declining interest rates and lower Corebridge dividend income of $72 million due to the final disposition of our remaining interest in May 2026; and</w:t>
      </w:r>
    </w:p>
    <w:p>
      <w:pPr>
        <w:spacing w:after="0" w:line="1" w:lineRule="exact"/>
        <w:rPr>
          <w:rFonts w:ascii="Arial" w:cs="Arial" w:eastAsia="Arial" w:hAnsi="Arial"/>
          <w:sz w:val="16"/>
          <w:szCs w:val="16"/>
          <w:color w:val="auto"/>
        </w:rPr>
      </w:pPr>
    </w:p>
    <w:p>
      <w:pPr>
        <w:ind w:left="220" w:right="200" w:hanging="212"/>
        <w:spacing w:after="0" w:line="301" w:lineRule="auto"/>
        <w:tabs>
          <w:tab w:leader="none" w:pos="218" w:val="left"/>
        </w:tabs>
        <w:numPr>
          <w:ilvl w:val="0"/>
          <w:numId w:val="80"/>
        </w:numPr>
        <w:rPr>
          <w:rFonts w:ascii="Arial" w:cs="Arial" w:eastAsia="Arial" w:hAnsi="Arial"/>
          <w:sz w:val="16"/>
          <w:szCs w:val="16"/>
          <w:color w:val="auto"/>
        </w:rPr>
      </w:pPr>
      <w:r>
        <w:rPr>
          <w:rFonts w:ascii="Arial" w:cs="Arial" w:eastAsia="Arial" w:hAnsi="Arial"/>
          <w:sz w:val="16"/>
          <w:szCs w:val="16"/>
          <w:color w:val="auto"/>
        </w:rPr>
        <w:t>higher interest expense of $8 million primarily driven by new debt issuances of €1.125 billion in the three months ended September 30, 2026 and $1.25 billion in 2025 partially offset by interest savings from $0.8 billion debt repurchases, through cash tender offers, debt redemption and debt maturity in 2025.</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This increase was partially offset by lower corporate and other general expenses of $15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24771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hanging="734"/>
        <w:spacing w:after="0"/>
        <w:tabs>
          <w:tab w:leader="none" w:pos="760" w:val="left"/>
        </w:tabs>
        <w:numPr>
          <w:ilvl w:val="0"/>
          <w:numId w:val="81"/>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Use of Non-GAAP Measures</w:t>
      </w:r>
    </w:p>
    <w:p>
      <w:pPr>
        <w:spacing w:after="0" w:line="22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Throughout this MD&amp;A, we present our financial condition and results of operations in the way we believe will be most meaningful and representative of our business results. Some of the measurements we use are “non-GAAP financial measures” under SEC rules and regulations. GAAP is the acronym for “generally accepted accounting principles” in the United States. The non-GAAP financial measures we present may not be comparable to similarly-named measures reported by other companies.</w:t>
      </w:r>
    </w:p>
    <w:p>
      <w:pPr>
        <w:spacing w:after="0" w:line="6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use the following operating performance measures because we believe they enhance the understanding of the underlying profitability of operations and trends of our segments. We believe they also allow for more meaningful comparisons with our insurance competitors. When we use these measures, reconciliations to the most comparable GAAP measure are provided on a consolidated basis in the Consolidated Results of Operations section of this MD&amp;A.</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01871"/>
        </w:rPr>
        <w:t xml:space="preserve">Adjusted pre-tax income (APTI) </w:t>
      </w:r>
      <w:r>
        <w:rPr>
          <w:rFonts w:ascii="Arial" w:cs="Arial" w:eastAsia="Arial" w:hAnsi="Arial"/>
          <w:sz w:val="16"/>
          <w:szCs w:val="16"/>
          <w:color w:val="000000"/>
        </w:rPr>
        <w:t>is derived by excluding the items set forth below from income before income tax:</w:t>
      </w:r>
    </w:p>
    <w:p>
      <w:pPr>
        <w:spacing w:after="0" w:line="140"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changes in the fair values of equity securities, AIG's investment in Corebridge and gain/loss on sale of shares;</w:t>
      </w:r>
    </w:p>
    <w:p>
      <w:pPr>
        <w:spacing w:after="0" w:line="86" w:lineRule="exact"/>
        <w:rPr>
          <w:rFonts w:ascii="Arial" w:cs="Arial" w:eastAsia="Arial" w:hAnsi="Arial"/>
          <w:sz w:val="16"/>
          <w:szCs w:val="16"/>
          <w:color w:val="auto"/>
        </w:rPr>
      </w:pPr>
    </w:p>
    <w:p>
      <w:pPr>
        <w:ind w:left="220" w:right="120" w:hanging="212"/>
        <w:spacing w:after="0" w:line="316" w:lineRule="auto"/>
        <w:tabs>
          <w:tab w:leader="none" w:pos="218"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net investment income on Fortitude Re funds withheld assets held by AIG in support of Fortitude Re’s reinsurance obligations to AIG (Fortitude Re funds withheld assets);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net realized gains and losses on Fortitude Re funds withheld assets;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loss (gain) on extinguishment of debt;</w:t>
      </w:r>
    </w:p>
    <w:p>
      <w:pPr>
        <w:spacing w:after="0" w:line="86" w:lineRule="exact"/>
        <w:rPr>
          <w:rFonts w:ascii="Arial" w:cs="Arial" w:eastAsia="Arial" w:hAnsi="Arial"/>
          <w:sz w:val="16"/>
          <w:szCs w:val="16"/>
          <w:color w:val="auto"/>
        </w:rPr>
      </w:pPr>
    </w:p>
    <w:p>
      <w:pPr>
        <w:ind w:left="220" w:right="60" w:hanging="212"/>
        <w:spacing w:after="0" w:line="301" w:lineRule="auto"/>
        <w:tabs>
          <w:tab w:leader="none" w:pos="218"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net realized gains and losses except earned income (periodic settlements and changes in settlement accruals) on derivative instruments used for non-qualifying (economic) hedging or for asset replication. Earned income on such economic hedges is reclassified from net realized gains and losses to specific APTI line items based on the economic risk being hedged (e.g. net investment income);</w:t>
      </w:r>
    </w:p>
    <w:p>
      <w:pPr>
        <w:spacing w:after="0" w:line="9"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income or loss from discontinued operations;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net loss reserve discount benefit (charge);</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net results of businesses in run-off;</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non-operating pension expenses;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net gain or loss on divestitures and other;</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non-operating litigation reserves and settlements;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restructuring and other costs related to initiatives designed to reduce operating expenses, improve efficiency and simplify our organization;</w:t>
      </w:r>
    </w:p>
    <w:p>
      <w:pPr>
        <w:spacing w:after="0" w:line="86" w:lineRule="exact"/>
        <w:rPr>
          <w:rFonts w:ascii="Arial" w:cs="Arial" w:eastAsia="Arial" w:hAnsi="Arial"/>
          <w:sz w:val="16"/>
          <w:szCs w:val="16"/>
          <w:color w:val="auto"/>
        </w:rPr>
      </w:pPr>
    </w:p>
    <w:p>
      <w:pPr>
        <w:ind w:left="220" w:right="220" w:hanging="212"/>
        <w:spacing w:after="0" w:line="316" w:lineRule="auto"/>
        <w:tabs>
          <w:tab w:leader="none" w:pos="218"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portion of favorable or unfavorable prior year reserve development for which we have ceded the risk under retroactive reinsurance agreements and related changes in amortization of the deferred gain;</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integration and transaction costs associated with acquiring or divesting businesses;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losses from the impairment of goodwill;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non-recurring costs associated with the implementation of non-ordinary course legal or regulatory changes or changes to accounting principles.</w:t>
      </w:r>
    </w:p>
    <w:p>
      <w:pPr>
        <w:spacing w:after="0" w:line="127" w:lineRule="exact"/>
        <w:rPr>
          <w:sz w:val="20"/>
          <w:szCs w:val="20"/>
          <w:color w:val="auto"/>
        </w:rPr>
      </w:pPr>
    </w:p>
    <w:p>
      <w:pPr>
        <w:ind w:right="560"/>
        <w:spacing w:after="0" w:line="316" w:lineRule="auto"/>
        <w:rPr>
          <w:sz w:val="20"/>
          <w:szCs w:val="20"/>
          <w:color w:val="auto"/>
        </w:rPr>
      </w:pPr>
      <w:r>
        <w:rPr>
          <w:rFonts w:ascii="Arial" w:cs="Arial" w:eastAsia="Arial" w:hAnsi="Arial"/>
          <w:sz w:val="16"/>
          <w:szCs w:val="16"/>
          <w:b w:val="1"/>
          <w:bCs w:val="1"/>
          <w:color w:val="001871"/>
        </w:rPr>
        <w:t xml:space="preserve">Adjusted after-tax income attributable to AIG common shareholders </w:t>
      </w:r>
      <w:r>
        <w:rPr>
          <w:rFonts w:ascii="Arial" w:cs="Arial" w:eastAsia="Arial" w:hAnsi="Arial"/>
          <w:sz w:val="16"/>
          <w:szCs w:val="16"/>
          <w:color w:val="000000"/>
        </w:rPr>
        <w:t>is derived by excluding the tax effected APTI adjustments described above,</w:t>
      </w:r>
      <w:r>
        <w:rPr>
          <w:rFonts w:ascii="Arial" w:cs="Arial" w:eastAsia="Arial" w:hAnsi="Arial"/>
          <w:sz w:val="16"/>
          <w:szCs w:val="16"/>
          <w:b w:val="1"/>
          <w:bCs w:val="1"/>
          <w:color w:val="001871"/>
        </w:rPr>
        <w:t xml:space="preserve"> </w:t>
      </w:r>
      <w:r>
        <w:rPr>
          <w:rFonts w:ascii="Arial" w:cs="Arial" w:eastAsia="Arial" w:hAnsi="Arial"/>
          <w:sz w:val="16"/>
          <w:szCs w:val="16"/>
          <w:color w:val="000000"/>
        </w:rPr>
        <w:t>noncontrolling interest on net realized gains (losses), other non-operating expenses and the following tax items from net income attributable to AIG:</w:t>
      </w:r>
    </w:p>
    <w:p>
      <w:pPr>
        <w:spacing w:after="0" w:line="2" w:lineRule="exact"/>
        <w:rPr>
          <w:sz w:val="20"/>
          <w:szCs w:val="20"/>
          <w:color w:val="auto"/>
        </w:rPr>
      </w:pPr>
    </w:p>
    <w:p>
      <w:pPr>
        <w:ind w:left="220" w:hanging="212"/>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deferred income tax valuation allowance releases and charges;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changes in uncertain tax positions and other tax items related to legacy matters having no relevance to our current businesses or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53</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Use of Non-GAAP Measures</w:t>
      </w:r>
    </w:p>
    <w:p>
      <w:pPr>
        <w:spacing w:after="0" w:line="200" w:lineRule="exact"/>
        <w:rPr>
          <w:sz w:val="20"/>
          <w:szCs w:val="20"/>
          <w:color w:val="auto"/>
        </w:rPr>
      </w:pPr>
    </w:p>
    <w:p>
      <w:pPr>
        <w:spacing w:after="0" w:line="299" w:lineRule="exact"/>
        <w:rPr>
          <w:sz w:val="20"/>
          <w:szCs w:val="20"/>
          <w:color w:val="auto"/>
        </w:rPr>
      </w:pPr>
    </w:p>
    <w:p>
      <w:pPr>
        <w:ind w:right="1000"/>
        <w:spacing w:after="0" w:line="349" w:lineRule="auto"/>
        <w:rPr>
          <w:sz w:val="20"/>
          <w:szCs w:val="20"/>
          <w:color w:val="auto"/>
        </w:rPr>
      </w:pPr>
      <w:r>
        <w:rPr>
          <w:rFonts w:ascii="Arial" w:cs="Arial" w:eastAsia="Arial" w:hAnsi="Arial"/>
          <w:sz w:val="16"/>
          <w:szCs w:val="16"/>
          <w:b w:val="1"/>
          <w:bCs w:val="1"/>
          <w:color w:val="1352DE"/>
        </w:rPr>
        <w:t>The following table presents a reconciliation of pre-tax income (loss)/net income (loss) attributable to AIG to adjusted pre-tax income (loss)/adjusted after-tax income (loss) attributable to AIG: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Borders>
              <w:top w:val="single" w:sz="8" w:color="3051F2"/>
            </w:tcBorders>
          </w:tcPr>
          <w:p>
            <w:pPr>
              <w:ind w:left="20"/>
              <w:spacing w:after="0"/>
              <w:rPr>
                <w:sz w:val="20"/>
                <w:szCs w:val="20"/>
                <w:color w:val="auto"/>
              </w:rPr>
            </w:pPr>
            <w:r>
              <w:rPr>
                <w:rFonts w:ascii="Arial" w:cs="Arial" w:eastAsia="Arial" w:hAnsi="Arial"/>
                <w:sz w:val="12"/>
                <w:szCs w:val="12"/>
                <w:b w:val="1"/>
                <w:bCs w:val="1"/>
                <w:color w:val="1252DE"/>
              </w:rPr>
              <w:t>Three Months Ended September 30,</w:t>
            </w:r>
          </w:p>
        </w:tc>
        <w:tc>
          <w:tcPr>
            <w:tcW w:w="200" w:type="dxa"/>
            <w:vAlign w:val="bottom"/>
            <w:tcBorders>
              <w:top w:val="single" w:sz="8" w:color="3051F2"/>
              <w:bottom w:val="single" w:sz="8" w:color="1352DE"/>
            </w:tcBorders>
          </w:tcPr>
          <w:p>
            <w:pPr>
              <w:spacing w:after="0"/>
              <w:rPr>
                <w:sz w:val="15"/>
                <w:szCs w:val="15"/>
                <w:color w:val="auto"/>
              </w:rPr>
            </w:pPr>
          </w:p>
        </w:tc>
        <w:tc>
          <w:tcPr>
            <w:tcW w:w="500" w:type="dxa"/>
            <w:vAlign w:val="bottom"/>
            <w:tcBorders>
              <w:top w:val="single" w:sz="8" w:color="3051F2"/>
              <w:bottom w:val="single" w:sz="8" w:color="1352DE"/>
            </w:tcBorders>
          </w:tcPr>
          <w:p>
            <w:pPr>
              <w:spacing w:after="0"/>
              <w:rPr>
                <w:sz w:val="15"/>
                <w:szCs w:val="15"/>
                <w:color w:val="auto"/>
              </w:rPr>
            </w:pPr>
          </w:p>
        </w:tc>
        <w:tc>
          <w:tcPr>
            <w:tcW w:w="160" w:type="dxa"/>
            <w:vAlign w:val="bottom"/>
            <w:tcBorders>
              <w:top w:val="single" w:sz="8" w:color="3051F2"/>
              <w:bottom w:val="single" w:sz="8" w:color="1352DE"/>
            </w:tcBorders>
          </w:tcPr>
          <w:p>
            <w:pPr>
              <w:spacing w:after="0"/>
              <w:rPr>
                <w:sz w:val="15"/>
                <w:szCs w:val="15"/>
                <w:color w:val="auto"/>
              </w:rPr>
            </w:pPr>
          </w:p>
        </w:tc>
        <w:tc>
          <w:tcPr>
            <w:tcW w:w="720" w:type="dxa"/>
            <w:vAlign w:val="bottom"/>
            <w:tcBorders>
              <w:top w:val="single" w:sz="8" w:color="3051F2"/>
              <w:bottom w:val="single" w:sz="8" w:color="1352DE"/>
            </w:tcBorders>
            <w:gridSpan w:val="2"/>
          </w:tcPr>
          <w:p>
            <w:pPr>
              <w:jc w:val="right"/>
              <w:spacing w:after="0"/>
              <w:rPr>
                <w:sz w:val="20"/>
                <w:szCs w:val="20"/>
                <w:color w:val="auto"/>
              </w:rPr>
            </w:pPr>
            <w:r>
              <w:rPr>
                <w:rFonts w:ascii="Arial" w:cs="Arial" w:eastAsia="Arial" w:hAnsi="Arial"/>
                <w:sz w:val="12"/>
                <w:szCs w:val="12"/>
                <w:b w:val="1"/>
                <w:bCs w:val="1"/>
                <w:color w:val="1252DE"/>
              </w:rPr>
              <w:t>2026</w:t>
            </w:r>
          </w:p>
        </w:tc>
        <w:tc>
          <w:tcPr>
            <w:tcW w:w="600" w:type="dxa"/>
            <w:vAlign w:val="bottom"/>
            <w:tcBorders>
              <w:top w:val="single" w:sz="8" w:color="3051F2"/>
              <w:bottom w:val="single" w:sz="8" w:color="1352DE"/>
            </w:tcBorders>
          </w:tcPr>
          <w:p>
            <w:pPr>
              <w:spacing w:after="0"/>
              <w:rPr>
                <w:sz w:val="15"/>
                <w:szCs w:val="15"/>
                <w:color w:val="auto"/>
              </w:rPr>
            </w:pPr>
          </w:p>
        </w:tc>
        <w:tc>
          <w:tcPr>
            <w:tcW w:w="200" w:type="dxa"/>
            <w:vAlign w:val="bottom"/>
            <w:tcBorders>
              <w:top w:val="single" w:sz="8" w:color="3051F2"/>
              <w:bottom w:val="single" w:sz="8" w:color="1352DE"/>
            </w:tcBorders>
          </w:tcPr>
          <w:p>
            <w:pPr>
              <w:spacing w:after="0"/>
              <w:rPr>
                <w:sz w:val="15"/>
                <w:szCs w:val="15"/>
                <w:color w:val="auto"/>
              </w:rPr>
            </w:pPr>
          </w:p>
        </w:tc>
        <w:tc>
          <w:tcPr>
            <w:tcW w:w="460" w:type="dxa"/>
            <w:vAlign w:val="bottom"/>
            <w:tcBorders>
              <w:top w:val="single" w:sz="8" w:color="3051F2"/>
              <w:bottom w:val="single" w:sz="8" w:color="1352DE"/>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200" w:type="dxa"/>
            <w:vAlign w:val="bottom"/>
            <w:tcBorders>
              <w:top w:val="single" w:sz="8" w:color="3051F2"/>
              <w:bottom w:val="single" w:sz="8" w:color="1352DE"/>
            </w:tcBorders>
          </w:tcPr>
          <w:p>
            <w:pPr>
              <w:spacing w:after="0"/>
              <w:rPr>
                <w:sz w:val="15"/>
                <w:szCs w:val="15"/>
                <w:color w:val="auto"/>
              </w:rPr>
            </w:pPr>
          </w:p>
        </w:tc>
        <w:tc>
          <w:tcPr>
            <w:tcW w:w="500" w:type="dxa"/>
            <w:vAlign w:val="bottom"/>
            <w:tcBorders>
              <w:top w:val="single" w:sz="8" w:color="3051F2"/>
              <w:bottom w:val="single" w:sz="8" w:color="1352DE"/>
            </w:tcBorders>
          </w:tcPr>
          <w:p>
            <w:pPr>
              <w:spacing w:after="0"/>
              <w:rPr>
                <w:sz w:val="15"/>
                <w:szCs w:val="15"/>
                <w:color w:val="auto"/>
              </w:rPr>
            </w:pPr>
          </w:p>
        </w:tc>
        <w:tc>
          <w:tcPr>
            <w:tcW w:w="140" w:type="dxa"/>
            <w:vAlign w:val="bottom"/>
            <w:tcBorders>
              <w:top w:val="single" w:sz="8" w:color="3051F2"/>
              <w:bottom w:val="single" w:sz="8" w:color="1352DE"/>
            </w:tcBorders>
          </w:tcPr>
          <w:p>
            <w:pPr>
              <w:spacing w:after="0"/>
              <w:rPr>
                <w:sz w:val="15"/>
                <w:szCs w:val="15"/>
                <w:color w:val="auto"/>
              </w:rPr>
            </w:pPr>
          </w:p>
        </w:tc>
        <w:tc>
          <w:tcPr>
            <w:tcW w:w="740" w:type="dxa"/>
            <w:vAlign w:val="bottom"/>
            <w:tcBorders>
              <w:top w:val="single" w:sz="8" w:color="3051F2"/>
              <w:bottom w:val="single" w:sz="8" w:color="1352DE"/>
            </w:tcBorders>
            <w:gridSpan w:val="2"/>
          </w:tcPr>
          <w:p>
            <w:pPr>
              <w:jc w:val="right"/>
              <w:spacing w:after="0"/>
              <w:rPr>
                <w:sz w:val="20"/>
                <w:szCs w:val="20"/>
                <w:color w:val="auto"/>
              </w:rPr>
            </w:pPr>
            <w:r>
              <w:rPr>
                <w:rFonts w:ascii="Arial" w:cs="Arial" w:eastAsia="Arial" w:hAnsi="Arial"/>
                <w:sz w:val="12"/>
                <w:szCs w:val="12"/>
                <w:color w:val="1252DE"/>
              </w:rPr>
              <w:t>2025</w:t>
            </w:r>
          </w:p>
        </w:tc>
        <w:tc>
          <w:tcPr>
            <w:tcW w:w="600" w:type="dxa"/>
            <w:vAlign w:val="bottom"/>
            <w:tcBorders>
              <w:top w:val="single" w:sz="8" w:color="3051F2"/>
              <w:bottom w:val="single" w:sz="8" w:color="1352DE"/>
            </w:tcBorders>
          </w:tcPr>
          <w:p>
            <w:pPr>
              <w:spacing w:after="0"/>
              <w:rPr>
                <w:sz w:val="15"/>
                <w:szCs w:val="15"/>
                <w:color w:val="auto"/>
              </w:rPr>
            </w:pPr>
          </w:p>
        </w:tc>
        <w:tc>
          <w:tcPr>
            <w:tcW w:w="200" w:type="dxa"/>
            <w:vAlign w:val="bottom"/>
            <w:tcBorders>
              <w:top w:val="single" w:sz="8" w:color="3051F2"/>
              <w:bottom w:val="single" w:sz="8" w:color="1352DE"/>
            </w:tcBorders>
          </w:tcPr>
          <w:p>
            <w:pPr>
              <w:spacing w:after="0"/>
              <w:rPr>
                <w:sz w:val="15"/>
                <w:szCs w:val="15"/>
                <w:color w:val="auto"/>
              </w:rPr>
            </w:pPr>
          </w:p>
        </w:tc>
        <w:tc>
          <w:tcPr>
            <w:tcW w:w="460" w:type="dxa"/>
            <w:vAlign w:val="bottom"/>
            <w:tcBorders>
              <w:top w:val="single" w:sz="8" w:color="3051F2"/>
              <w:bottom w:val="single" w:sz="8" w:color="1352DE"/>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1252DE"/>
                <w:w w:val="95"/>
              </w:rPr>
              <w:t>Total Tax</w:t>
            </w:r>
          </w:p>
        </w:tc>
        <w:tc>
          <w:tcPr>
            <w:tcW w:w="180" w:type="dxa"/>
            <w:vAlign w:val="bottom"/>
          </w:tcPr>
          <w:p>
            <w:pPr>
              <w:spacing w:after="0"/>
              <w:rPr>
                <w:sz w:val="11"/>
                <w:szCs w:val="11"/>
                <w:color w:val="auto"/>
              </w:rPr>
            </w:pP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1252DE"/>
              </w:rPr>
              <w:t>Non-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1252DE"/>
                <w:w w:val="99"/>
              </w:rPr>
              <w:t>Total Tax</w:t>
            </w:r>
          </w:p>
        </w:tc>
        <w:tc>
          <w:tcPr>
            <w:tcW w:w="180" w:type="dxa"/>
            <w:vAlign w:val="bottom"/>
          </w:tcPr>
          <w:p>
            <w:pPr>
              <w:spacing w:after="0"/>
              <w:rPr>
                <w:sz w:val="11"/>
                <w:szCs w:val="11"/>
                <w:color w:val="auto"/>
              </w:rPr>
            </w:pP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1252DE"/>
              </w:rPr>
              <w:t>Non-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380" w:type="dxa"/>
            <w:vAlign w:val="bottom"/>
            <w:vMerge w:val="restart"/>
          </w:tcPr>
          <w:p>
            <w:pPr>
              <w:ind w:left="20"/>
              <w:spacing w:after="0"/>
              <w:rPr>
                <w:sz w:val="20"/>
                <w:szCs w:val="20"/>
                <w:color w:val="auto"/>
              </w:rPr>
            </w:pPr>
            <w:r>
              <w:rPr>
                <w:rFonts w:ascii="Arial" w:cs="Arial" w:eastAsia="Arial" w:hAnsi="Arial"/>
                <w:sz w:val="12"/>
                <w:szCs w:val="12"/>
                <w:i w:val="1"/>
                <w:iCs w:val="1"/>
                <w:color w:val="1252DE"/>
              </w:rPr>
              <w:t>(in millions, except per common share data)</w:t>
            </w: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1252DE"/>
              </w:rPr>
              <w:t>Pre-tax</w:t>
            </w: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2"/>
                <w:szCs w:val="12"/>
                <w:color w:val="1252DE"/>
              </w:rPr>
              <w:t>(Benefit)</w:t>
            </w: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2"/>
                <w:szCs w:val="12"/>
                <w:color w:val="1252DE"/>
                <w:w w:val="98"/>
              </w:rPr>
              <w:t>controlling</w:t>
            </w:r>
          </w:p>
        </w:tc>
        <w:tc>
          <w:tcPr>
            <w:tcW w:w="20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rPr>
              <w:t>After</w:t>
            </w: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1252DE"/>
              </w:rPr>
              <w:t>Pre-tax</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2"/>
                <w:szCs w:val="12"/>
                <w:color w:val="1252DE"/>
              </w:rPr>
              <w:t>(Benefit)</w:t>
            </w: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2"/>
                <w:szCs w:val="12"/>
                <w:color w:val="1252DE"/>
                <w:w w:val="98"/>
              </w:rPr>
              <w:t>controlling</w:t>
            </w:r>
          </w:p>
        </w:tc>
        <w:tc>
          <w:tcPr>
            <w:tcW w:w="2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2"/>
                <w:szCs w:val="12"/>
                <w:color w:val="1252DE"/>
              </w:rPr>
              <w:t>After</w:t>
            </w:r>
          </w:p>
        </w:tc>
        <w:tc>
          <w:tcPr>
            <w:tcW w:w="0" w:type="dxa"/>
            <w:vAlign w:val="bottom"/>
          </w:tcPr>
          <w:p>
            <w:pPr>
              <w:spacing w:after="0"/>
              <w:rPr>
                <w:sz w:val="1"/>
                <w:szCs w:val="1"/>
                <w:color w:val="auto"/>
              </w:rPr>
            </w:pPr>
          </w:p>
        </w:tc>
      </w:tr>
      <w:tr>
        <w:trPr>
          <w:trHeight w:val="154"/>
        </w:trPr>
        <w:tc>
          <w:tcPr>
            <w:tcW w:w="5380" w:type="dxa"/>
            <w:vAlign w:val="bottom"/>
            <w:tcBorders>
              <w:bottom w:val="single" w:sz="8" w:color="1352DE"/>
            </w:tcBorders>
            <w:vMerge w:val="continue"/>
          </w:tcPr>
          <w:p>
            <w:pPr>
              <w:spacing w:after="0"/>
              <w:rPr>
                <w:sz w:val="13"/>
                <w:szCs w:val="13"/>
                <w:color w:val="auto"/>
              </w:rPr>
            </w:pPr>
          </w:p>
        </w:tc>
        <w:tc>
          <w:tcPr>
            <w:tcW w:w="200" w:type="dxa"/>
            <w:vAlign w:val="bottom"/>
            <w:tcBorders>
              <w:bottom w:val="single" w:sz="8" w:color="1352DE"/>
            </w:tcBorders>
          </w:tcPr>
          <w:p>
            <w:pPr>
              <w:spacing w:after="0"/>
              <w:rPr>
                <w:sz w:val="13"/>
                <w:szCs w:val="13"/>
                <w:color w:val="auto"/>
              </w:rPr>
            </w:pPr>
          </w:p>
        </w:tc>
        <w:tc>
          <w:tcPr>
            <w:tcW w:w="500" w:type="dxa"/>
            <w:vAlign w:val="bottom"/>
            <w:tcBorders>
              <w:bottom w:val="single" w:sz="8" w:color="1352DE"/>
            </w:tcBorders>
            <w:vMerge w:val="continue"/>
          </w:tcPr>
          <w:p>
            <w:pPr>
              <w:spacing w:after="0"/>
              <w:rPr>
                <w:sz w:val="13"/>
                <w:szCs w:val="13"/>
                <w:color w:val="auto"/>
              </w:rPr>
            </w:pPr>
          </w:p>
        </w:tc>
        <w:tc>
          <w:tcPr>
            <w:tcW w:w="160" w:type="dxa"/>
            <w:vAlign w:val="bottom"/>
            <w:tcBorders>
              <w:bottom w:val="single" w:sz="8" w:color="1352DE"/>
            </w:tcBorders>
          </w:tcPr>
          <w:p>
            <w:pPr>
              <w:spacing w:after="0"/>
              <w:rPr>
                <w:sz w:val="13"/>
                <w:szCs w:val="13"/>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Charge</w:t>
            </w:r>
          </w:p>
        </w:tc>
        <w:tc>
          <w:tcPr>
            <w:tcW w:w="180" w:type="dxa"/>
            <w:vAlign w:val="bottom"/>
            <w:tcBorders>
              <w:bottom w:val="single" w:sz="8" w:color="1352DE"/>
            </w:tcBorders>
          </w:tcPr>
          <w:p>
            <w:pPr>
              <w:spacing w:after="0"/>
              <w:rPr>
                <w:sz w:val="13"/>
                <w:szCs w:val="13"/>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Interests</w:t>
            </w:r>
          </w:p>
        </w:tc>
        <w:tc>
          <w:tcPr>
            <w:tcW w:w="200" w:type="dxa"/>
            <w:vAlign w:val="bottom"/>
            <w:tcBorders>
              <w:bottom w:val="single" w:sz="8" w:color="1352DE"/>
            </w:tcBorders>
          </w:tcPr>
          <w:p>
            <w:pPr>
              <w:spacing w:after="0"/>
              <w:rPr>
                <w:sz w:val="13"/>
                <w:szCs w:val="13"/>
                <w:color w:val="auto"/>
              </w:rPr>
            </w:pPr>
          </w:p>
        </w:tc>
        <w:tc>
          <w:tcPr>
            <w:tcW w:w="62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2"/>
                <w:szCs w:val="12"/>
                <w:color w:val="1252DE"/>
              </w:rPr>
              <w:t>Tax</w:t>
            </w:r>
          </w:p>
        </w:tc>
        <w:tc>
          <w:tcPr>
            <w:tcW w:w="200" w:type="dxa"/>
            <w:vAlign w:val="bottom"/>
            <w:tcBorders>
              <w:bottom w:val="single" w:sz="8" w:color="1352DE"/>
            </w:tcBorders>
          </w:tcPr>
          <w:p>
            <w:pPr>
              <w:spacing w:after="0"/>
              <w:rPr>
                <w:sz w:val="13"/>
                <w:szCs w:val="13"/>
                <w:color w:val="auto"/>
              </w:rPr>
            </w:pPr>
          </w:p>
        </w:tc>
        <w:tc>
          <w:tcPr>
            <w:tcW w:w="500" w:type="dxa"/>
            <w:vAlign w:val="bottom"/>
            <w:tcBorders>
              <w:bottom w:val="single" w:sz="8" w:color="1352DE"/>
            </w:tcBorders>
            <w:vMerge w:val="continue"/>
          </w:tcPr>
          <w:p>
            <w:pPr>
              <w:spacing w:after="0"/>
              <w:rPr>
                <w:sz w:val="13"/>
                <w:szCs w:val="13"/>
                <w:color w:val="auto"/>
              </w:rPr>
            </w:pPr>
          </w:p>
        </w:tc>
        <w:tc>
          <w:tcPr>
            <w:tcW w:w="140" w:type="dxa"/>
            <w:vAlign w:val="bottom"/>
            <w:tcBorders>
              <w:bottom w:val="single" w:sz="8" w:color="1352DE"/>
            </w:tcBorders>
          </w:tcPr>
          <w:p>
            <w:pPr>
              <w:spacing w:after="0"/>
              <w:rPr>
                <w:sz w:val="13"/>
                <w:szCs w:val="13"/>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Charge</w:t>
            </w:r>
          </w:p>
        </w:tc>
        <w:tc>
          <w:tcPr>
            <w:tcW w:w="180" w:type="dxa"/>
            <w:vAlign w:val="bottom"/>
            <w:tcBorders>
              <w:bottom w:val="single" w:sz="8" w:color="1352DE"/>
            </w:tcBorders>
          </w:tcPr>
          <w:p>
            <w:pPr>
              <w:spacing w:after="0"/>
              <w:rPr>
                <w:sz w:val="13"/>
                <w:szCs w:val="13"/>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Interests</w:t>
            </w:r>
          </w:p>
        </w:tc>
        <w:tc>
          <w:tcPr>
            <w:tcW w:w="200" w:type="dxa"/>
            <w:vAlign w:val="bottom"/>
            <w:tcBorders>
              <w:bottom w:val="single" w:sz="8" w:color="1352DE"/>
            </w:tcBorders>
          </w:tcPr>
          <w:p>
            <w:pPr>
              <w:spacing w:after="0"/>
              <w:rPr>
                <w:sz w:val="13"/>
                <w:szCs w:val="13"/>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Tax</w:t>
            </w:r>
          </w:p>
        </w:tc>
        <w:tc>
          <w:tcPr>
            <w:tcW w:w="0" w:type="dxa"/>
            <w:vAlign w:val="bottom"/>
          </w:tcPr>
          <w:p>
            <w:pPr>
              <w:spacing w:after="0"/>
              <w:rPr>
                <w:sz w:val="1"/>
                <w:szCs w:val="1"/>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b w:val="1"/>
                <w:bCs w:val="1"/>
                <w:color w:val="1352DE"/>
              </w:rPr>
              <w:t>Pre-tax income/Net income, including noncontrolling interests</w:t>
            </w:r>
          </w:p>
        </w:tc>
        <w:tc>
          <w:tcPr>
            <w:tcW w:w="20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1,119</w:t>
            </w:r>
          </w:p>
        </w:tc>
        <w:tc>
          <w:tcPr>
            <w:tcW w:w="16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270</w:t>
            </w:r>
          </w:p>
        </w:tc>
        <w:tc>
          <w:tcPr>
            <w:tcW w:w="18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849</w:t>
            </w:r>
          </w:p>
        </w:tc>
        <w:tc>
          <w:tcPr>
            <w:tcW w:w="160" w:type="dxa"/>
            <w:vAlign w:val="bottom"/>
          </w:tcPr>
          <w:p>
            <w:pPr>
              <w:spacing w:after="0"/>
              <w:rPr>
                <w:sz w:val="14"/>
                <w:szCs w:val="14"/>
                <w:color w:val="auto"/>
              </w:rPr>
            </w:pPr>
          </w:p>
        </w:tc>
        <w:tc>
          <w:tcPr>
            <w:tcW w:w="2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714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190</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524</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Noncontrolling interests</w:t>
            </w: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ind w:left="420"/>
              <w:spacing w:after="0"/>
              <w:rPr>
                <w:sz w:val="20"/>
                <w:szCs w:val="20"/>
                <w:color w:val="auto"/>
              </w:rPr>
            </w:pPr>
            <w:r>
              <w:rPr>
                <w:rFonts w:ascii="Arial" w:cs="Arial" w:eastAsia="Arial" w:hAnsi="Arial"/>
                <w:sz w:val="12"/>
                <w:szCs w:val="12"/>
                <w:b w:val="1"/>
                <w:bCs w:val="1"/>
                <w:color w:val="1252DE"/>
              </w:rPr>
              <w:t>(5)</w:t>
            </w:r>
          </w:p>
        </w:tc>
        <w:tc>
          <w:tcPr>
            <w:tcW w:w="20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(5)</w:t>
            </w:r>
          </w:p>
        </w:tc>
        <w:tc>
          <w:tcPr>
            <w:tcW w:w="16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ind w:left="400"/>
              <w:spacing w:after="0"/>
              <w:rPr>
                <w:sz w:val="20"/>
                <w:szCs w:val="20"/>
                <w:color w:val="auto"/>
              </w:rPr>
            </w:pPr>
            <w:r>
              <w:rPr>
                <w:rFonts w:ascii="Arial" w:cs="Arial" w:eastAsia="Arial" w:hAnsi="Arial"/>
                <w:sz w:val="12"/>
                <w:szCs w:val="12"/>
                <w:color w:val="auto"/>
              </w:rPr>
              <w:t>(5)</w:t>
            </w:r>
          </w:p>
        </w:tc>
        <w:tc>
          <w:tcPr>
            <w:tcW w:w="20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b w:val="1"/>
                <w:bCs w:val="1"/>
                <w:color w:val="1352DE"/>
              </w:rPr>
              <w:t>Pre-tax income/Net income attributable to AIG common shareholders</w:t>
            </w:r>
          </w:p>
        </w:tc>
        <w:tc>
          <w:tcPr>
            <w:tcW w:w="20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1,119</w:t>
            </w:r>
          </w:p>
        </w:tc>
        <w:tc>
          <w:tcPr>
            <w:tcW w:w="16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270</w:t>
            </w:r>
          </w:p>
        </w:tc>
        <w:tc>
          <w:tcPr>
            <w:tcW w:w="18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2"/>
                <w:szCs w:val="12"/>
                <w:b w:val="1"/>
                <w:bCs w:val="1"/>
                <w:color w:val="1252DE"/>
              </w:rPr>
              <w:t>(5)</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844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714</w:t>
            </w:r>
          </w:p>
        </w:tc>
        <w:tc>
          <w:tcPr>
            <w:tcW w:w="14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190</w:t>
            </w:r>
          </w:p>
        </w:tc>
        <w:tc>
          <w:tcPr>
            <w:tcW w:w="1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(5)</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519</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Changes in uncertain tax positions and other tax adjustments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5</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Deferred income tax valuation allowance releases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14</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Changes in the fair values of equity securities and AIG's investment in Corebridge</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3</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288</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60</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228</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Net investment income on Fortitude Re funds withheld assets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1252DE"/>
              </w:rPr>
              <w:t>(16)</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(4)</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Net realized losses on Fortitude Re funds withheld assets</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28</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6</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Net realized (gains) losses on Fortitude Re funds withheld embedded derivative</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1252DE"/>
              </w:rPr>
              <w:t>(85)</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(18)</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(67)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54</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86"/>
        </w:trPr>
        <w:tc>
          <w:tcPr>
            <w:tcW w:w="5380" w:type="dxa"/>
            <w:vAlign w:val="bottom"/>
          </w:tcPr>
          <w:p>
            <w:pPr>
              <w:ind w:left="20"/>
              <w:spacing w:after="0"/>
              <w:rPr>
                <w:sz w:val="20"/>
                <w:szCs w:val="20"/>
                <w:color w:val="auto"/>
              </w:rPr>
            </w:pPr>
            <w:r>
              <w:rPr>
                <w:rFonts w:ascii="Arial" w:cs="Arial" w:eastAsia="Arial" w:hAnsi="Arial"/>
                <w:sz w:val="12"/>
                <w:szCs w:val="12"/>
                <w:color w:val="auto"/>
              </w:rPr>
              <w:t>Net realized losses</w:t>
            </w:r>
            <w:r>
              <w:rPr>
                <w:rFonts w:ascii="Arial" w:cs="Arial" w:eastAsia="Arial" w:hAnsi="Arial"/>
                <w:sz w:val="15"/>
                <w:szCs w:val="15"/>
                <w:color w:val="auto"/>
                <w:vertAlign w:val="superscript"/>
              </w:rPr>
              <w:t>(a)</w:t>
            </w:r>
          </w:p>
        </w:tc>
        <w:tc>
          <w:tcPr>
            <w:tcW w:w="200" w:type="dxa"/>
            <w:vAlign w:val="bottom"/>
          </w:tcPr>
          <w:p>
            <w:pPr>
              <w:spacing w:after="0"/>
              <w:rPr>
                <w:sz w:val="16"/>
                <w:szCs w:val="16"/>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170</w:t>
            </w:r>
          </w:p>
        </w:tc>
        <w:tc>
          <w:tcPr>
            <w:tcW w:w="160" w:type="dxa"/>
            <w:vAlign w:val="bottom"/>
          </w:tcPr>
          <w:p>
            <w:pPr>
              <w:spacing w:after="0"/>
              <w:rPr>
                <w:sz w:val="16"/>
                <w:szCs w:val="16"/>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32</w:t>
            </w:r>
          </w:p>
        </w:tc>
        <w:tc>
          <w:tcPr>
            <w:tcW w:w="18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138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433</w:t>
            </w:r>
          </w:p>
        </w:tc>
        <w:tc>
          <w:tcPr>
            <w:tcW w:w="140" w:type="dxa"/>
            <w:vAlign w:val="bottom"/>
          </w:tcPr>
          <w:p>
            <w:pPr>
              <w:spacing w:after="0"/>
              <w:rPr>
                <w:sz w:val="16"/>
                <w:szCs w:val="16"/>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107</w:t>
            </w:r>
          </w:p>
        </w:tc>
        <w:tc>
          <w:tcPr>
            <w:tcW w:w="18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22"/>
        </w:trPr>
        <w:tc>
          <w:tcPr>
            <w:tcW w:w="5380" w:type="dxa"/>
            <w:vAlign w:val="bottom"/>
          </w:tcPr>
          <w:p>
            <w:pPr>
              <w:ind w:left="20"/>
              <w:spacing w:after="0" w:line="122" w:lineRule="exact"/>
              <w:rPr>
                <w:sz w:val="20"/>
                <w:szCs w:val="20"/>
                <w:color w:val="auto"/>
              </w:rPr>
            </w:pPr>
            <w:r>
              <w:rPr>
                <w:rFonts w:ascii="Arial" w:cs="Arial" w:eastAsia="Arial" w:hAnsi="Arial"/>
                <w:sz w:val="12"/>
                <w:szCs w:val="12"/>
                <w:color w:val="auto"/>
              </w:rPr>
              <w:t>Unfavorable (favorable) prior year development and related amortization changes ceded under</w:t>
            </w:r>
          </w:p>
        </w:tc>
        <w:tc>
          <w:tcPr>
            <w:tcW w:w="200" w:type="dxa"/>
            <w:vAlign w:val="bottom"/>
          </w:tcPr>
          <w:p>
            <w:pPr>
              <w:spacing w:after="0"/>
              <w:rPr>
                <w:sz w:val="10"/>
                <w:szCs w:val="10"/>
                <w:color w:val="auto"/>
              </w:rPr>
            </w:pPr>
          </w:p>
        </w:tc>
        <w:tc>
          <w:tcPr>
            <w:tcW w:w="50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0"/>
                <w:szCs w:val="10"/>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0"/>
                <w:szCs w:val="10"/>
                <w:color w:val="auto"/>
              </w:rPr>
            </w:pPr>
          </w:p>
        </w:tc>
        <w:tc>
          <w:tcPr>
            <w:tcW w:w="600" w:type="dxa"/>
            <w:vAlign w:val="bottom"/>
            <w:vMerge w:val="restart"/>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0"/>
                <w:szCs w:val="10"/>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5380" w:type="dxa"/>
            <w:vAlign w:val="bottom"/>
          </w:tcPr>
          <w:p>
            <w:pPr>
              <w:ind w:left="140"/>
              <w:spacing w:after="0"/>
              <w:rPr>
                <w:sz w:val="20"/>
                <w:szCs w:val="20"/>
                <w:color w:val="auto"/>
              </w:rPr>
            </w:pPr>
            <w:r>
              <w:rPr>
                <w:rFonts w:ascii="Arial" w:cs="Arial" w:eastAsia="Arial" w:hAnsi="Arial"/>
                <w:sz w:val="12"/>
                <w:szCs w:val="12"/>
                <w:color w:val="auto"/>
              </w:rPr>
              <w:t>retroactive reinsurance agreements</w:t>
            </w: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w:t>
            </w:r>
          </w:p>
        </w:tc>
        <w:tc>
          <w:tcPr>
            <w:tcW w:w="14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3"/>
                <w:szCs w:val="13"/>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Net loss reserve discount (benefit) charge</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91</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19</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72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84"/>
        </w:trPr>
        <w:tc>
          <w:tcPr>
            <w:tcW w:w="5380" w:type="dxa"/>
            <w:vAlign w:val="bottom"/>
          </w:tcPr>
          <w:p>
            <w:pPr>
              <w:ind w:left="20"/>
              <w:spacing w:after="0"/>
              <w:rPr>
                <w:sz w:val="20"/>
                <w:szCs w:val="20"/>
                <w:color w:val="auto"/>
              </w:rPr>
            </w:pPr>
            <w:r>
              <w:rPr>
                <w:rFonts w:ascii="Arial" w:cs="Arial" w:eastAsia="Arial" w:hAnsi="Arial"/>
                <w:sz w:val="12"/>
                <w:szCs w:val="12"/>
                <w:color w:val="auto"/>
              </w:rPr>
              <w:t>Net results of businesses in run-off</w:t>
            </w:r>
            <w:r>
              <w:rPr>
                <w:rFonts w:ascii="Arial" w:cs="Arial" w:eastAsia="Arial" w:hAnsi="Arial"/>
                <w:sz w:val="15"/>
                <w:szCs w:val="15"/>
                <w:color w:val="auto"/>
                <w:vertAlign w:val="superscript"/>
              </w:rPr>
              <w:t>(b)</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12</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3</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Non-operating pension expenses</w:t>
            </w:r>
          </w:p>
        </w:tc>
        <w:tc>
          <w:tcPr>
            <w:tcW w:w="20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6</w:t>
            </w:r>
          </w:p>
        </w:tc>
        <w:tc>
          <w:tcPr>
            <w:tcW w:w="14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Integration and transaction costs associated with acquiring or divesting businesses</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20</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4</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7</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Restructuring and other costs</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100</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21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79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153</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32</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Non-recurring costs related to regulatory or accounting changes</w:t>
            </w: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w:t>
            </w:r>
          </w:p>
        </w:tc>
        <w:tc>
          <w:tcPr>
            <w:tcW w:w="1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1</w:t>
            </w: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2</w:t>
            </w:r>
          </w:p>
        </w:tc>
        <w:tc>
          <w:tcPr>
            <w:tcW w:w="16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3</w:t>
            </w:r>
          </w:p>
        </w:tc>
        <w:tc>
          <w:tcPr>
            <w:tcW w:w="14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ind w:left="40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9"/>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352DE"/>
              </w:rPr>
              <w:t>Adjusted pre-tax income/Adjusted after-tax income attributable to AIG common shareholders</w:t>
            </w:r>
          </w:p>
        </w:tc>
        <w:tc>
          <w:tcPr>
            <w:tcW w:w="20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50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1,445</w:t>
            </w:r>
          </w:p>
        </w:tc>
        <w:tc>
          <w:tcPr>
            <w:tcW w:w="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w:t>
            </w:r>
          </w:p>
        </w:tc>
        <w:tc>
          <w:tcPr>
            <w:tcW w:w="5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354</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w:t>
            </w:r>
          </w:p>
        </w:tc>
        <w:tc>
          <w:tcPr>
            <w:tcW w:w="600" w:type="dxa"/>
            <w:vAlign w:val="bottom"/>
            <w:tcBorders>
              <w:bottom w:val="single" w:sz="8" w:color="1352DE"/>
            </w:tcBorders>
          </w:tcPr>
          <w:p>
            <w:pPr>
              <w:ind w:left="420"/>
              <w:spacing w:after="0"/>
              <w:rPr>
                <w:sz w:val="20"/>
                <w:szCs w:val="20"/>
                <w:color w:val="auto"/>
              </w:rPr>
            </w:pPr>
            <w:r>
              <w:rPr>
                <w:rFonts w:ascii="Arial" w:cs="Arial" w:eastAsia="Arial" w:hAnsi="Arial"/>
                <w:sz w:val="12"/>
                <w:szCs w:val="12"/>
                <w:b w:val="1"/>
                <w:bCs w:val="1"/>
                <w:color w:val="1252DE"/>
              </w:rPr>
              <w:t>(5)</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1,086</w:t>
            </w:r>
          </w:p>
        </w:tc>
        <w:tc>
          <w:tcPr>
            <w:tcW w:w="160" w:type="dxa"/>
            <w:vAlign w:val="bottom"/>
            <w:tcBorders>
              <w:bottom w:val="single" w:sz="8" w:color="1352DE"/>
            </w:tcBorders>
          </w:tcPr>
          <w:p>
            <w:pPr>
              <w:spacing w:after="0"/>
              <w:rPr>
                <w:sz w:val="14"/>
                <w:szCs w:val="14"/>
                <w:color w:val="auto"/>
              </w:rPr>
            </w:pPr>
          </w:p>
        </w:tc>
        <w:tc>
          <w:tcPr>
            <w:tcW w:w="20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1,622</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391</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1352DE"/>
            </w:tcBorders>
          </w:tcPr>
          <w:p>
            <w:pPr>
              <w:ind w:left="400"/>
              <w:spacing w:after="0"/>
              <w:rPr>
                <w:sz w:val="20"/>
                <w:szCs w:val="20"/>
                <w:color w:val="auto"/>
              </w:rPr>
            </w:pPr>
            <w:r>
              <w:rPr>
                <w:rFonts w:ascii="Arial" w:cs="Arial" w:eastAsia="Arial" w:hAnsi="Arial"/>
                <w:sz w:val="12"/>
                <w:szCs w:val="12"/>
                <w:color w:val="auto"/>
              </w:rPr>
              <w:t>(5)</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1,226</w:t>
            </w:r>
          </w:p>
        </w:tc>
        <w:tc>
          <w:tcPr>
            <w:tcW w:w="0" w:type="dxa"/>
            <w:vAlign w:val="bottom"/>
          </w:tcPr>
          <w:p>
            <w:pPr>
              <w:spacing w:after="0"/>
              <w:rPr>
                <w:sz w:val="1"/>
                <w:szCs w:val="1"/>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b w:val="1"/>
                <w:bCs w:val="1"/>
                <w:color w:val="1352DE"/>
              </w:rPr>
              <w:t>Weighted average diluted shares outstanding</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527.2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558.5</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b w:val="1"/>
                <w:bCs w:val="1"/>
                <w:color w:val="1352DE"/>
              </w:rPr>
              <w:t>Income per common share attributable to AIG common shareholders (diluted)</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1.60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0.93</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352DE"/>
                <w:w w:val="97"/>
              </w:rPr>
              <w:t>Adjusted after-tax income per common share attributable to AIG common shareholders (diluted)</w:t>
            </w: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2.06</w:t>
            </w:r>
          </w:p>
        </w:tc>
        <w:tc>
          <w:tcPr>
            <w:tcW w:w="16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17"/>
        </w:trPr>
        <w:tc>
          <w:tcPr>
            <w:tcW w:w="538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500" w:type="dxa"/>
            <w:vAlign w:val="bottom"/>
            <w:tcBorders>
              <w:bottom w:val="single" w:sz="8" w:color="1352DE"/>
            </w:tcBorders>
          </w:tcPr>
          <w:p>
            <w:pPr>
              <w:spacing w:after="0"/>
              <w:rPr>
                <w:sz w:val="10"/>
                <w:szCs w:val="10"/>
                <w:color w:val="auto"/>
              </w:rPr>
            </w:pPr>
          </w:p>
        </w:tc>
        <w:tc>
          <w:tcPr>
            <w:tcW w:w="160" w:type="dxa"/>
            <w:vAlign w:val="bottom"/>
            <w:tcBorders>
              <w:bottom w:val="single" w:sz="8" w:color="1352DE"/>
            </w:tcBorders>
          </w:tcPr>
          <w:p>
            <w:pPr>
              <w:spacing w:after="0"/>
              <w:rPr>
                <w:sz w:val="10"/>
                <w:szCs w:val="10"/>
                <w:color w:val="auto"/>
              </w:rPr>
            </w:pPr>
          </w:p>
        </w:tc>
        <w:tc>
          <w:tcPr>
            <w:tcW w:w="720" w:type="dxa"/>
            <w:vAlign w:val="bottom"/>
            <w:tcBorders>
              <w:bottom w:val="single" w:sz="8" w:color="1352DE"/>
            </w:tcBorders>
            <w:gridSpan w:val="2"/>
          </w:tcPr>
          <w:p>
            <w:pPr>
              <w:spacing w:after="0"/>
              <w:rPr>
                <w:sz w:val="10"/>
                <w:szCs w:val="10"/>
                <w:color w:val="auto"/>
              </w:rPr>
            </w:pPr>
          </w:p>
        </w:tc>
        <w:tc>
          <w:tcPr>
            <w:tcW w:w="60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460" w:type="dxa"/>
            <w:vAlign w:val="bottom"/>
            <w:tcBorders>
              <w:bottom w:val="single" w:sz="8" w:color="1352DE"/>
            </w:tcBorders>
          </w:tcPr>
          <w:p>
            <w:pPr>
              <w:spacing w:after="0"/>
              <w:rPr>
                <w:sz w:val="10"/>
                <w:szCs w:val="10"/>
                <w:color w:val="auto"/>
              </w:rPr>
            </w:pPr>
          </w:p>
        </w:tc>
        <w:tc>
          <w:tcPr>
            <w:tcW w:w="16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500" w:type="dxa"/>
            <w:vAlign w:val="bottom"/>
            <w:tcBorders>
              <w:bottom w:val="single" w:sz="8" w:color="1352DE"/>
            </w:tcBorders>
          </w:tcPr>
          <w:p>
            <w:pPr>
              <w:spacing w:after="0"/>
              <w:rPr>
                <w:sz w:val="10"/>
                <w:szCs w:val="10"/>
                <w:color w:val="auto"/>
              </w:rPr>
            </w:pPr>
          </w:p>
        </w:tc>
        <w:tc>
          <w:tcPr>
            <w:tcW w:w="140" w:type="dxa"/>
            <w:vAlign w:val="bottom"/>
            <w:tcBorders>
              <w:bottom w:val="single" w:sz="8" w:color="1352DE"/>
            </w:tcBorders>
          </w:tcPr>
          <w:p>
            <w:pPr>
              <w:spacing w:after="0"/>
              <w:rPr>
                <w:sz w:val="10"/>
                <w:szCs w:val="10"/>
                <w:color w:val="auto"/>
              </w:rPr>
            </w:pPr>
          </w:p>
        </w:tc>
        <w:tc>
          <w:tcPr>
            <w:tcW w:w="740" w:type="dxa"/>
            <w:vAlign w:val="bottom"/>
            <w:tcBorders>
              <w:bottom w:val="single" w:sz="8" w:color="1352DE"/>
            </w:tcBorders>
            <w:gridSpan w:val="2"/>
          </w:tcPr>
          <w:p>
            <w:pPr>
              <w:spacing w:after="0"/>
              <w:rPr>
                <w:sz w:val="10"/>
                <w:szCs w:val="10"/>
                <w:color w:val="auto"/>
              </w:rPr>
            </w:pPr>
          </w:p>
        </w:tc>
        <w:tc>
          <w:tcPr>
            <w:tcW w:w="600" w:type="dxa"/>
            <w:vAlign w:val="bottom"/>
            <w:tcBorders>
              <w:bottom w:val="single" w:sz="8" w:color="1352DE"/>
            </w:tcBorders>
          </w:tcPr>
          <w:p>
            <w:pPr>
              <w:spacing w:after="0"/>
              <w:rPr>
                <w:sz w:val="10"/>
                <w:szCs w:val="10"/>
                <w:color w:val="auto"/>
              </w:rPr>
            </w:pPr>
          </w:p>
        </w:tc>
        <w:tc>
          <w:tcPr>
            <w:tcW w:w="200" w:type="dxa"/>
            <w:vAlign w:val="bottom"/>
            <w:tcBorders>
              <w:bottom w:val="single" w:sz="8" w:color="1352DE"/>
            </w:tcBorders>
          </w:tcPr>
          <w:p>
            <w:pPr>
              <w:spacing w:after="0"/>
              <w:rPr>
                <w:sz w:val="10"/>
                <w:szCs w:val="10"/>
                <w:color w:val="auto"/>
              </w:rPr>
            </w:pPr>
          </w:p>
        </w:tc>
        <w:tc>
          <w:tcPr>
            <w:tcW w:w="460" w:type="dxa"/>
            <w:vAlign w:val="bottom"/>
            <w:tcBorders>
              <w:bottom w:val="single" w:sz="8" w:color="1352DE"/>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380" w:type="dxa"/>
            <w:vAlign w:val="bottom"/>
          </w:tcPr>
          <w:p>
            <w:pPr>
              <w:ind w:left="20"/>
              <w:spacing w:after="0"/>
              <w:rPr>
                <w:sz w:val="20"/>
                <w:szCs w:val="20"/>
                <w:color w:val="auto"/>
              </w:rPr>
            </w:pPr>
            <w:r>
              <w:rPr>
                <w:rFonts w:ascii="Arial" w:cs="Arial" w:eastAsia="Arial" w:hAnsi="Arial"/>
                <w:sz w:val="12"/>
                <w:szCs w:val="12"/>
                <w:b w:val="1"/>
                <w:bCs w:val="1"/>
                <w:color w:val="1252DE"/>
              </w:rPr>
              <w:t>Nine Months Ended September 30,</w:t>
            </w:r>
          </w:p>
        </w:tc>
        <w:tc>
          <w:tcPr>
            <w:tcW w:w="200" w:type="dxa"/>
            <w:vAlign w:val="bottom"/>
            <w:tcBorders>
              <w:bottom w:val="single" w:sz="8" w:color="1352DE"/>
            </w:tcBorders>
          </w:tcPr>
          <w:p>
            <w:pPr>
              <w:spacing w:after="0"/>
              <w:rPr>
                <w:sz w:val="14"/>
                <w:szCs w:val="14"/>
                <w:color w:val="auto"/>
              </w:rPr>
            </w:pPr>
          </w:p>
        </w:tc>
        <w:tc>
          <w:tcPr>
            <w:tcW w:w="500" w:type="dxa"/>
            <w:vAlign w:val="bottom"/>
            <w:tcBorders>
              <w:bottom w:val="single" w:sz="8" w:color="1352DE"/>
            </w:tcBorders>
          </w:tcPr>
          <w:p>
            <w:pPr>
              <w:spacing w:after="0"/>
              <w:rPr>
                <w:sz w:val="14"/>
                <w:szCs w:val="14"/>
                <w:color w:val="auto"/>
              </w:rPr>
            </w:pPr>
          </w:p>
        </w:tc>
        <w:tc>
          <w:tcPr>
            <w:tcW w:w="160" w:type="dxa"/>
            <w:vAlign w:val="bottom"/>
            <w:tcBorders>
              <w:bottom w:val="single" w:sz="8" w:color="1352DE"/>
            </w:tcBorders>
          </w:tcPr>
          <w:p>
            <w:pPr>
              <w:spacing w:after="0"/>
              <w:rPr>
                <w:sz w:val="14"/>
                <w:szCs w:val="14"/>
                <w:color w:val="auto"/>
              </w:rPr>
            </w:pPr>
          </w:p>
        </w:tc>
        <w:tc>
          <w:tcPr>
            <w:tcW w:w="720" w:type="dxa"/>
            <w:vAlign w:val="bottom"/>
            <w:tcBorders>
              <w:bottom w:val="single" w:sz="8" w:color="1352DE"/>
            </w:tcBorders>
            <w:gridSpan w:val="2"/>
          </w:tcPr>
          <w:p>
            <w:pPr>
              <w:jc w:val="right"/>
              <w:spacing w:after="0"/>
              <w:rPr>
                <w:sz w:val="20"/>
                <w:szCs w:val="20"/>
                <w:color w:val="auto"/>
              </w:rPr>
            </w:pPr>
            <w:r>
              <w:rPr>
                <w:rFonts w:ascii="Arial" w:cs="Arial" w:eastAsia="Arial" w:hAnsi="Arial"/>
                <w:sz w:val="12"/>
                <w:szCs w:val="12"/>
                <w:b w:val="1"/>
                <w:bCs w:val="1"/>
                <w:color w:val="1252DE"/>
              </w:rPr>
              <w:t>2026</w:t>
            </w:r>
          </w:p>
        </w:tc>
        <w:tc>
          <w:tcPr>
            <w:tcW w:w="600" w:type="dxa"/>
            <w:vAlign w:val="bottom"/>
            <w:tcBorders>
              <w:bottom w:val="single" w:sz="8" w:color="1352DE"/>
            </w:tcBorders>
          </w:tcPr>
          <w:p>
            <w:pPr>
              <w:spacing w:after="0"/>
              <w:rPr>
                <w:sz w:val="14"/>
                <w:szCs w:val="14"/>
                <w:color w:val="auto"/>
              </w:rPr>
            </w:pPr>
          </w:p>
        </w:tc>
        <w:tc>
          <w:tcPr>
            <w:tcW w:w="200" w:type="dxa"/>
            <w:vAlign w:val="bottom"/>
            <w:tcBorders>
              <w:bottom w:val="single" w:sz="8" w:color="1352DE"/>
            </w:tcBorders>
          </w:tcPr>
          <w:p>
            <w:pPr>
              <w:spacing w:after="0"/>
              <w:rPr>
                <w:sz w:val="14"/>
                <w:szCs w:val="14"/>
                <w:color w:val="auto"/>
              </w:rPr>
            </w:pPr>
          </w:p>
        </w:tc>
        <w:tc>
          <w:tcPr>
            <w:tcW w:w="460" w:type="dxa"/>
            <w:vAlign w:val="bottom"/>
            <w:tcBorders>
              <w:bottom w:val="single" w:sz="8" w:color="1352DE"/>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1352DE"/>
            </w:tcBorders>
          </w:tcPr>
          <w:p>
            <w:pPr>
              <w:spacing w:after="0"/>
              <w:rPr>
                <w:sz w:val="14"/>
                <w:szCs w:val="14"/>
                <w:color w:val="auto"/>
              </w:rPr>
            </w:pPr>
          </w:p>
        </w:tc>
        <w:tc>
          <w:tcPr>
            <w:tcW w:w="500" w:type="dxa"/>
            <w:vAlign w:val="bottom"/>
            <w:tcBorders>
              <w:bottom w:val="single" w:sz="8" w:color="1352DE"/>
            </w:tcBorders>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740" w:type="dxa"/>
            <w:vAlign w:val="bottom"/>
            <w:tcBorders>
              <w:bottom w:val="single" w:sz="8" w:color="1352DE"/>
            </w:tcBorders>
            <w:gridSpan w:val="2"/>
          </w:tcPr>
          <w:p>
            <w:pPr>
              <w:jc w:val="right"/>
              <w:spacing w:after="0"/>
              <w:rPr>
                <w:sz w:val="20"/>
                <w:szCs w:val="20"/>
                <w:color w:val="auto"/>
              </w:rPr>
            </w:pPr>
            <w:r>
              <w:rPr>
                <w:rFonts w:ascii="Arial" w:cs="Arial" w:eastAsia="Arial" w:hAnsi="Arial"/>
                <w:sz w:val="12"/>
                <w:szCs w:val="12"/>
                <w:color w:val="1252DE"/>
              </w:rPr>
              <w:t>2025</w:t>
            </w:r>
          </w:p>
        </w:tc>
        <w:tc>
          <w:tcPr>
            <w:tcW w:w="600" w:type="dxa"/>
            <w:vAlign w:val="bottom"/>
            <w:tcBorders>
              <w:bottom w:val="single" w:sz="8" w:color="1352DE"/>
            </w:tcBorders>
          </w:tcPr>
          <w:p>
            <w:pPr>
              <w:spacing w:after="0"/>
              <w:rPr>
                <w:sz w:val="14"/>
                <w:szCs w:val="14"/>
                <w:color w:val="auto"/>
              </w:rPr>
            </w:pPr>
          </w:p>
        </w:tc>
        <w:tc>
          <w:tcPr>
            <w:tcW w:w="200" w:type="dxa"/>
            <w:vAlign w:val="bottom"/>
            <w:tcBorders>
              <w:bottom w:val="single" w:sz="8" w:color="1352DE"/>
            </w:tcBorders>
          </w:tcPr>
          <w:p>
            <w:pPr>
              <w:spacing w:after="0"/>
              <w:rPr>
                <w:sz w:val="14"/>
                <w:szCs w:val="14"/>
                <w:color w:val="auto"/>
              </w:rPr>
            </w:pPr>
          </w:p>
        </w:tc>
        <w:tc>
          <w:tcPr>
            <w:tcW w:w="460" w:type="dxa"/>
            <w:vAlign w:val="bottom"/>
            <w:tcBorders>
              <w:bottom w:val="single" w:sz="8" w:color="1352DE"/>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1252DE"/>
                <w:w w:val="95"/>
              </w:rPr>
              <w:t>Total Tax</w:t>
            </w:r>
          </w:p>
        </w:tc>
        <w:tc>
          <w:tcPr>
            <w:tcW w:w="180" w:type="dxa"/>
            <w:vAlign w:val="bottom"/>
          </w:tcPr>
          <w:p>
            <w:pPr>
              <w:spacing w:after="0"/>
              <w:rPr>
                <w:sz w:val="11"/>
                <w:szCs w:val="11"/>
                <w:color w:val="auto"/>
              </w:rPr>
            </w:pP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1252DE"/>
              </w:rPr>
              <w:t>Non-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1252DE"/>
                <w:w w:val="99"/>
              </w:rPr>
              <w:t>Total Tax</w:t>
            </w:r>
          </w:p>
        </w:tc>
        <w:tc>
          <w:tcPr>
            <w:tcW w:w="180" w:type="dxa"/>
            <w:vAlign w:val="bottom"/>
          </w:tcPr>
          <w:p>
            <w:pPr>
              <w:spacing w:after="0"/>
              <w:rPr>
                <w:sz w:val="11"/>
                <w:szCs w:val="11"/>
                <w:color w:val="auto"/>
              </w:rPr>
            </w:pP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1252DE"/>
              </w:rPr>
              <w:t>Non-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Arial" w:cs="Arial" w:eastAsia="Arial" w:hAnsi="Arial"/>
                <w:sz w:val="12"/>
                <w:szCs w:val="12"/>
                <w:color w:val="1252DE"/>
              </w:rPr>
              <w:t>(Benefit)</w:t>
            </w:r>
          </w:p>
        </w:tc>
        <w:tc>
          <w:tcPr>
            <w:tcW w:w="1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Arial" w:cs="Arial" w:eastAsia="Arial" w:hAnsi="Arial"/>
                <w:sz w:val="12"/>
                <w:szCs w:val="12"/>
                <w:color w:val="1252DE"/>
                <w:w w:val="98"/>
              </w:rPr>
              <w:t>controlling</w:t>
            </w:r>
          </w:p>
        </w:tc>
        <w:tc>
          <w:tcPr>
            <w:tcW w:w="200" w:type="dxa"/>
            <w:vAlign w:val="bottom"/>
          </w:tcPr>
          <w:p>
            <w:pPr>
              <w:spacing w:after="0"/>
              <w:rPr>
                <w:sz w:val="10"/>
                <w:szCs w:val="10"/>
                <w:color w:val="auto"/>
              </w:rPr>
            </w:pPr>
          </w:p>
        </w:tc>
        <w:tc>
          <w:tcPr>
            <w:tcW w:w="62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rPr>
              <w:t>After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6" w:lineRule="exact"/>
              <w:rPr>
                <w:sz w:val="20"/>
                <w:szCs w:val="20"/>
                <w:color w:val="auto"/>
              </w:rPr>
            </w:pPr>
            <w:r>
              <w:rPr>
                <w:rFonts w:ascii="Arial" w:cs="Arial" w:eastAsia="Arial" w:hAnsi="Arial"/>
                <w:sz w:val="12"/>
                <w:szCs w:val="12"/>
                <w:color w:val="1252DE"/>
              </w:rPr>
              <w:t>(Benefit)</w:t>
            </w:r>
          </w:p>
        </w:tc>
        <w:tc>
          <w:tcPr>
            <w:tcW w:w="1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Arial" w:cs="Arial" w:eastAsia="Arial" w:hAnsi="Arial"/>
                <w:sz w:val="12"/>
                <w:szCs w:val="12"/>
                <w:color w:val="1252DE"/>
                <w:w w:val="98"/>
              </w:rPr>
              <w:t>controlling</w:t>
            </w:r>
          </w:p>
        </w:tc>
        <w:tc>
          <w:tcPr>
            <w:tcW w:w="20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Arial" w:cs="Arial" w:eastAsia="Arial" w:hAnsi="Arial"/>
                <w:sz w:val="12"/>
                <w:szCs w:val="12"/>
                <w:color w:val="1252DE"/>
              </w:rPr>
              <w:t>After</w:t>
            </w:r>
          </w:p>
        </w:tc>
        <w:tc>
          <w:tcPr>
            <w:tcW w:w="0" w:type="dxa"/>
            <w:vAlign w:val="bottom"/>
          </w:tcPr>
          <w:p>
            <w:pPr>
              <w:spacing w:after="0"/>
              <w:rPr>
                <w:sz w:val="1"/>
                <w:szCs w:val="1"/>
                <w:color w:val="auto"/>
              </w:rPr>
            </w:pPr>
          </w:p>
        </w:tc>
      </w:tr>
      <w:tr>
        <w:trPr>
          <w:trHeight w:val="160"/>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2"/>
                <w:szCs w:val="12"/>
                <w:i w:val="1"/>
                <w:iCs w:val="1"/>
                <w:color w:val="1252DE"/>
              </w:rPr>
              <w:t>(in millions, except per common share data)</w:t>
            </w:r>
          </w:p>
        </w:tc>
        <w:tc>
          <w:tcPr>
            <w:tcW w:w="200" w:type="dxa"/>
            <w:vAlign w:val="bottom"/>
            <w:tcBorders>
              <w:bottom w:val="single" w:sz="8" w:color="1352DE"/>
            </w:tcBorders>
          </w:tcPr>
          <w:p>
            <w:pPr>
              <w:spacing w:after="0"/>
              <w:rPr>
                <w:sz w:val="13"/>
                <w:szCs w:val="13"/>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Pre-tax</w:t>
            </w:r>
          </w:p>
        </w:tc>
        <w:tc>
          <w:tcPr>
            <w:tcW w:w="160" w:type="dxa"/>
            <w:vAlign w:val="bottom"/>
            <w:tcBorders>
              <w:bottom w:val="single" w:sz="8" w:color="1352DE"/>
            </w:tcBorders>
          </w:tcPr>
          <w:p>
            <w:pPr>
              <w:spacing w:after="0"/>
              <w:rPr>
                <w:sz w:val="13"/>
                <w:szCs w:val="13"/>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Charge</w:t>
            </w:r>
          </w:p>
        </w:tc>
        <w:tc>
          <w:tcPr>
            <w:tcW w:w="180" w:type="dxa"/>
            <w:vAlign w:val="bottom"/>
            <w:tcBorders>
              <w:bottom w:val="single" w:sz="8" w:color="1352DE"/>
            </w:tcBorders>
          </w:tcPr>
          <w:p>
            <w:pPr>
              <w:spacing w:after="0"/>
              <w:rPr>
                <w:sz w:val="13"/>
                <w:szCs w:val="13"/>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Interests</w:t>
            </w:r>
          </w:p>
        </w:tc>
        <w:tc>
          <w:tcPr>
            <w:tcW w:w="200" w:type="dxa"/>
            <w:vAlign w:val="bottom"/>
            <w:tcBorders>
              <w:bottom w:val="single" w:sz="8" w:color="1352DE"/>
            </w:tcBorders>
          </w:tcPr>
          <w:p>
            <w:pPr>
              <w:spacing w:after="0"/>
              <w:rPr>
                <w:sz w:val="13"/>
                <w:szCs w:val="13"/>
                <w:color w:val="auto"/>
              </w:rPr>
            </w:pPr>
          </w:p>
        </w:tc>
        <w:tc>
          <w:tcPr>
            <w:tcW w:w="62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2"/>
                <w:szCs w:val="12"/>
                <w:color w:val="1252DE"/>
              </w:rPr>
              <w:t>Tax</w:t>
            </w:r>
          </w:p>
        </w:tc>
        <w:tc>
          <w:tcPr>
            <w:tcW w:w="200" w:type="dxa"/>
            <w:vAlign w:val="bottom"/>
            <w:tcBorders>
              <w:bottom w:val="single" w:sz="8" w:color="1352DE"/>
            </w:tcBorders>
          </w:tcPr>
          <w:p>
            <w:pPr>
              <w:spacing w:after="0"/>
              <w:rPr>
                <w:sz w:val="13"/>
                <w:szCs w:val="13"/>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Pre-tax</w:t>
            </w:r>
          </w:p>
        </w:tc>
        <w:tc>
          <w:tcPr>
            <w:tcW w:w="140" w:type="dxa"/>
            <w:vAlign w:val="bottom"/>
            <w:tcBorders>
              <w:bottom w:val="single" w:sz="8" w:color="1352DE"/>
            </w:tcBorders>
          </w:tcPr>
          <w:p>
            <w:pPr>
              <w:spacing w:after="0"/>
              <w:rPr>
                <w:sz w:val="13"/>
                <w:szCs w:val="13"/>
                <w:color w:val="auto"/>
              </w:rPr>
            </w:pPr>
          </w:p>
        </w:tc>
        <w:tc>
          <w:tcPr>
            <w:tcW w:w="5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Charge</w:t>
            </w:r>
          </w:p>
        </w:tc>
        <w:tc>
          <w:tcPr>
            <w:tcW w:w="180" w:type="dxa"/>
            <w:vAlign w:val="bottom"/>
            <w:tcBorders>
              <w:bottom w:val="single" w:sz="8" w:color="1352DE"/>
            </w:tcBorders>
          </w:tcPr>
          <w:p>
            <w:pPr>
              <w:spacing w:after="0"/>
              <w:rPr>
                <w:sz w:val="13"/>
                <w:szCs w:val="13"/>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Interests</w:t>
            </w:r>
          </w:p>
        </w:tc>
        <w:tc>
          <w:tcPr>
            <w:tcW w:w="200" w:type="dxa"/>
            <w:vAlign w:val="bottom"/>
            <w:tcBorders>
              <w:bottom w:val="single" w:sz="8" w:color="1352DE"/>
            </w:tcBorders>
          </w:tcPr>
          <w:p>
            <w:pPr>
              <w:spacing w:after="0"/>
              <w:rPr>
                <w:sz w:val="13"/>
                <w:szCs w:val="13"/>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Tax</w:t>
            </w:r>
          </w:p>
        </w:tc>
        <w:tc>
          <w:tcPr>
            <w:tcW w:w="0" w:type="dxa"/>
            <w:vAlign w:val="bottom"/>
          </w:tcPr>
          <w:p>
            <w:pPr>
              <w:spacing w:after="0"/>
              <w:rPr>
                <w:sz w:val="1"/>
                <w:szCs w:val="1"/>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b w:val="1"/>
                <w:bCs w:val="1"/>
                <w:color w:val="1352DE"/>
              </w:rPr>
              <w:t>Pre-tax income/Net income, including noncontrolling interests</w:t>
            </w:r>
          </w:p>
        </w:tc>
        <w:tc>
          <w:tcPr>
            <w:tcW w:w="20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3,370</w:t>
            </w:r>
          </w:p>
        </w:tc>
        <w:tc>
          <w:tcPr>
            <w:tcW w:w="16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810</w:t>
            </w:r>
          </w:p>
        </w:tc>
        <w:tc>
          <w:tcPr>
            <w:tcW w:w="18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2,560</w:t>
            </w:r>
          </w:p>
        </w:tc>
        <w:tc>
          <w:tcPr>
            <w:tcW w:w="160" w:type="dxa"/>
            <w:vAlign w:val="bottom"/>
          </w:tcPr>
          <w:p>
            <w:pPr>
              <w:spacing w:after="0"/>
              <w:rPr>
                <w:sz w:val="14"/>
                <w:szCs w:val="14"/>
                <w:color w:val="auto"/>
              </w:rPr>
            </w:pPr>
          </w:p>
        </w:tc>
        <w:tc>
          <w:tcPr>
            <w:tcW w:w="2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3,218</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852</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2,366</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Noncontrolling interests</w:t>
            </w: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ind w:left="420"/>
              <w:spacing w:after="0"/>
              <w:rPr>
                <w:sz w:val="20"/>
                <w:szCs w:val="20"/>
                <w:color w:val="auto"/>
              </w:rPr>
            </w:pPr>
            <w:r>
              <w:rPr>
                <w:rFonts w:ascii="Arial" w:cs="Arial" w:eastAsia="Arial" w:hAnsi="Arial"/>
                <w:sz w:val="12"/>
                <w:szCs w:val="12"/>
                <w:b w:val="1"/>
                <w:bCs w:val="1"/>
                <w:color w:val="1252DE"/>
              </w:rPr>
              <w:t>(5)</w:t>
            </w:r>
          </w:p>
        </w:tc>
        <w:tc>
          <w:tcPr>
            <w:tcW w:w="20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(5)</w:t>
            </w:r>
          </w:p>
        </w:tc>
        <w:tc>
          <w:tcPr>
            <w:tcW w:w="16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ind w:left="400"/>
              <w:spacing w:after="0"/>
              <w:rPr>
                <w:sz w:val="20"/>
                <w:szCs w:val="20"/>
                <w:color w:val="auto"/>
              </w:rPr>
            </w:pPr>
            <w:r>
              <w:rPr>
                <w:rFonts w:ascii="Arial" w:cs="Arial" w:eastAsia="Arial" w:hAnsi="Arial"/>
                <w:sz w:val="12"/>
                <w:szCs w:val="12"/>
                <w:color w:val="auto"/>
              </w:rPr>
              <w:t>(5)</w:t>
            </w:r>
          </w:p>
        </w:tc>
        <w:tc>
          <w:tcPr>
            <w:tcW w:w="20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b w:val="1"/>
                <w:bCs w:val="1"/>
                <w:color w:val="1352DE"/>
              </w:rPr>
              <w:t>Pre-tax income/Net income attributable to AIG common shareholders</w:t>
            </w:r>
          </w:p>
        </w:tc>
        <w:tc>
          <w:tcPr>
            <w:tcW w:w="20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3,370</w:t>
            </w:r>
          </w:p>
        </w:tc>
        <w:tc>
          <w:tcPr>
            <w:tcW w:w="16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810</w:t>
            </w:r>
          </w:p>
        </w:tc>
        <w:tc>
          <w:tcPr>
            <w:tcW w:w="18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2"/>
                <w:szCs w:val="12"/>
                <w:b w:val="1"/>
                <w:bCs w:val="1"/>
                <w:color w:val="1252DE"/>
              </w:rPr>
              <w:t>(5)</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2,555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3,218</w:t>
            </w:r>
          </w:p>
        </w:tc>
        <w:tc>
          <w:tcPr>
            <w:tcW w:w="14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852</w:t>
            </w:r>
          </w:p>
        </w:tc>
        <w:tc>
          <w:tcPr>
            <w:tcW w:w="1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(5)</w:t>
            </w:r>
          </w:p>
        </w:tc>
        <w:tc>
          <w:tcPr>
            <w:tcW w:w="2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2,361</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Changes in uncertain tax positions and other tax adjustments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91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(91)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Deferred income tax valuation allowance charges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(67)</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67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(9)</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Changes in the fair values of equity securities and AIG's investment in Corebridge</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67</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14</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53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(393)</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(83)</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Gain on extinguishment of debt</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Net investment income on Fortitude Re funds withheld assets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1252DE"/>
              </w:rPr>
              <w:t>(75)</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(16)</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(59)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Net realized losses on Fortitude Re funds withheld assets</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47</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10</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37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59</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12</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Net realized (gains) losses on Fortitude Re funds withheld embedded derivative</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1252DE"/>
              </w:rPr>
              <w:t>(44)</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1252DE"/>
              </w:rPr>
              <w:t>(9)</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(35)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109</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84"/>
        </w:trPr>
        <w:tc>
          <w:tcPr>
            <w:tcW w:w="5380" w:type="dxa"/>
            <w:vAlign w:val="bottom"/>
          </w:tcPr>
          <w:p>
            <w:pPr>
              <w:ind w:left="20"/>
              <w:spacing w:after="0"/>
              <w:rPr>
                <w:sz w:val="20"/>
                <w:szCs w:val="20"/>
                <w:color w:val="auto"/>
              </w:rPr>
            </w:pPr>
            <w:r>
              <w:rPr>
                <w:rFonts w:ascii="Arial" w:cs="Arial" w:eastAsia="Arial" w:hAnsi="Arial"/>
                <w:sz w:val="12"/>
                <w:szCs w:val="12"/>
                <w:color w:val="auto"/>
              </w:rPr>
              <w:t>Net realized losses</w:t>
            </w:r>
            <w:r>
              <w:rPr>
                <w:rFonts w:ascii="Arial" w:cs="Arial" w:eastAsia="Arial" w:hAnsi="Arial"/>
                <w:sz w:val="15"/>
                <w:szCs w:val="15"/>
                <w:color w:val="auto"/>
                <w:vertAlign w:val="superscript"/>
              </w:rPr>
              <w:t>(a)</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514</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113</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401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690</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102</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588</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Net (gain) loss on divestitures and other</w:t>
            </w:r>
            <w:r>
              <w:rPr>
                <w:rFonts w:ascii="Arial" w:cs="Arial" w:eastAsia="Arial" w:hAnsi="Arial"/>
                <w:sz w:val="15"/>
                <w:szCs w:val="15"/>
                <w:color w:val="auto"/>
                <w:vertAlign w:val="superscript"/>
              </w:rPr>
              <w:t>(c)</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133</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28</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105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(53)</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(11)</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Non-operating litigation reserves and settlements</w:t>
            </w:r>
          </w:p>
        </w:tc>
        <w:tc>
          <w:tcPr>
            <w:tcW w:w="20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32"/>
        </w:trPr>
        <w:tc>
          <w:tcPr>
            <w:tcW w:w="5380" w:type="dxa"/>
            <w:vAlign w:val="bottom"/>
          </w:tcPr>
          <w:p>
            <w:pPr>
              <w:ind w:left="20"/>
              <w:spacing w:after="0" w:line="132" w:lineRule="exact"/>
              <w:rPr>
                <w:sz w:val="20"/>
                <w:szCs w:val="20"/>
                <w:color w:val="auto"/>
              </w:rPr>
            </w:pPr>
            <w:r>
              <w:rPr>
                <w:rFonts w:ascii="Arial" w:cs="Arial" w:eastAsia="Arial" w:hAnsi="Arial"/>
                <w:sz w:val="12"/>
                <w:szCs w:val="12"/>
                <w:color w:val="auto"/>
              </w:rPr>
              <w:t>Unfavorable (favorable) prior year development and related amortization changes ceded under</w:t>
            </w:r>
          </w:p>
        </w:tc>
        <w:tc>
          <w:tcPr>
            <w:tcW w:w="2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1252DE"/>
              </w:rPr>
              <w:t>(75)</w:t>
            </w:r>
          </w:p>
        </w:tc>
        <w:tc>
          <w:tcPr>
            <w:tcW w:w="1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1252DE"/>
              </w:rPr>
              <w:t>(16)</w:t>
            </w:r>
          </w:p>
        </w:tc>
        <w:tc>
          <w:tcPr>
            <w:tcW w:w="1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1252DE"/>
              </w:rPr>
              <w:t>(59)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380" w:type="dxa"/>
            <w:vAlign w:val="bottom"/>
          </w:tcPr>
          <w:p>
            <w:pPr>
              <w:ind w:left="140"/>
              <w:spacing w:after="0"/>
              <w:rPr>
                <w:sz w:val="20"/>
                <w:szCs w:val="20"/>
                <w:color w:val="auto"/>
              </w:rPr>
            </w:pPr>
            <w:r>
              <w:rPr>
                <w:rFonts w:ascii="Arial" w:cs="Arial" w:eastAsia="Arial" w:hAnsi="Arial"/>
                <w:sz w:val="12"/>
                <w:szCs w:val="12"/>
                <w:color w:val="auto"/>
              </w:rPr>
              <w:t>retroactive reinsurance agreements</w:t>
            </w: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53</w:t>
            </w:r>
          </w:p>
        </w:tc>
        <w:tc>
          <w:tcPr>
            <w:tcW w:w="140" w:type="dxa"/>
            <w:vAlign w:val="bottom"/>
          </w:tcPr>
          <w:p>
            <w:pPr>
              <w:spacing w:after="0"/>
              <w:rPr>
                <w:sz w:val="13"/>
                <w:szCs w:val="13"/>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11</w:t>
            </w:r>
          </w:p>
        </w:tc>
        <w:tc>
          <w:tcPr>
            <w:tcW w:w="180" w:type="dxa"/>
            <w:vAlign w:val="bottom"/>
          </w:tcPr>
          <w:p>
            <w:pPr>
              <w:spacing w:after="0"/>
              <w:rPr>
                <w:sz w:val="13"/>
                <w:szCs w:val="13"/>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Net loss reserve discount charge</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71</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15</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56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27</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6</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84"/>
        </w:trPr>
        <w:tc>
          <w:tcPr>
            <w:tcW w:w="5380" w:type="dxa"/>
            <w:vAlign w:val="bottom"/>
          </w:tcPr>
          <w:p>
            <w:pPr>
              <w:ind w:left="20"/>
              <w:spacing w:after="0"/>
              <w:rPr>
                <w:sz w:val="20"/>
                <w:szCs w:val="20"/>
                <w:color w:val="auto"/>
              </w:rPr>
            </w:pPr>
            <w:r>
              <w:rPr>
                <w:rFonts w:ascii="Arial" w:cs="Arial" w:eastAsia="Arial" w:hAnsi="Arial"/>
                <w:sz w:val="12"/>
                <w:szCs w:val="12"/>
                <w:color w:val="auto"/>
              </w:rPr>
              <w:t>Net results of businesses in run-off</w:t>
            </w:r>
            <w:r>
              <w:rPr>
                <w:rFonts w:ascii="Arial" w:cs="Arial" w:eastAsia="Arial" w:hAnsi="Arial"/>
                <w:sz w:val="15"/>
                <w:szCs w:val="15"/>
                <w:color w:val="auto"/>
                <w:vertAlign w:val="superscript"/>
              </w:rPr>
              <w:t>(b)</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18</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4</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Non-operating pension expenses</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1252DE"/>
              </w:rPr>
              <w:t>(2)</w:t>
            </w:r>
          </w:p>
        </w:tc>
        <w:tc>
          <w:tcPr>
            <w:tcW w:w="16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w:t>
            </w:r>
          </w:p>
        </w:tc>
        <w:tc>
          <w:tcPr>
            <w:tcW w:w="1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16</w:t>
            </w:r>
          </w:p>
        </w:tc>
        <w:tc>
          <w:tcPr>
            <w:tcW w:w="14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Integration and transaction costs associated with acquiring or divesting businesses</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68</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14</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54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color w:val="auto"/>
              </w:rPr>
              <w:t>Restructuring and other costs</w:t>
            </w:r>
          </w:p>
        </w:tc>
        <w:tc>
          <w:tcPr>
            <w:tcW w:w="20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b w:val="1"/>
                <w:bCs w:val="1"/>
                <w:color w:val="1252DE"/>
              </w:rPr>
              <w:t>247</w:t>
            </w:r>
          </w:p>
        </w:tc>
        <w:tc>
          <w:tcPr>
            <w:tcW w:w="16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b w:val="1"/>
                <w:bCs w:val="1"/>
                <w:color w:val="1252DE"/>
              </w:rPr>
              <w:t>52</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195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307</w:t>
            </w:r>
          </w:p>
        </w:tc>
        <w:tc>
          <w:tcPr>
            <w:tcW w:w="14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64</w:t>
            </w:r>
          </w:p>
        </w:tc>
        <w:tc>
          <w:tcPr>
            <w:tcW w:w="1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243</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Non-recurring costs related to regulatory or accounting changes</w:t>
            </w: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13</w:t>
            </w:r>
          </w:p>
        </w:tc>
        <w:tc>
          <w:tcPr>
            <w:tcW w:w="1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rPr>
              <w:t>3</w:t>
            </w: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ind w:left="400"/>
              <w:spacing w:after="0"/>
              <w:rPr>
                <w:sz w:val="20"/>
                <w:szCs w:val="20"/>
                <w:color w:val="auto"/>
              </w:rPr>
            </w:pPr>
            <w:r>
              <w:rPr>
                <w:rFonts w:ascii="Arial" w:cs="Arial" w:eastAsia="Arial" w:hAnsi="Arial"/>
                <w:sz w:val="12"/>
                <w:szCs w:val="12"/>
                <w:b w:val="1"/>
                <w:bCs w:val="1"/>
                <w:color w:val="1252DE"/>
              </w:rPr>
              <w:t>—</w:t>
            </w:r>
          </w:p>
        </w:tc>
        <w:tc>
          <w:tcPr>
            <w:tcW w:w="20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10</w:t>
            </w:r>
          </w:p>
        </w:tc>
        <w:tc>
          <w:tcPr>
            <w:tcW w:w="16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10</w:t>
            </w:r>
          </w:p>
        </w:tc>
        <w:tc>
          <w:tcPr>
            <w:tcW w:w="14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2</w:t>
            </w: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ind w:left="40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1"/>
        </w:trPr>
        <w:tc>
          <w:tcPr>
            <w:tcW w:w="5380" w:type="dxa"/>
            <w:vAlign w:val="bottom"/>
          </w:tcPr>
          <w:p>
            <w:pPr>
              <w:ind w:left="20"/>
              <w:spacing w:after="0" w:line="121" w:lineRule="exact"/>
              <w:rPr>
                <w:sz w:val="20"/>
                <w:szCs w:val="20"/>
                <w:color w:val="auto"/>
              </w:rPr>
            </w:pPr>
            <w:r>
              <w:rPr>
                <w:rFonts w:ascii="Arial" w:cs="Arial" w:eastAsia="Arial" w:hAnsi="Arial"/>
                <w:sz w:val="12"/>
                <w:szCs w:val="12"/>
                <w:b w:val="1"/>
                <w:bCs w:val="1"/>
                <w:color w:val="1352DE"/>
              </w:rPr>
              <w:t>Adjusted pre-tax income (loss)/Adjusted after-tax income (loss) attributable to AIG common</w:t>
            </w:r>
          </w:p>
        </w:tc>
        <w:tc>
          <w:tcPr>
            <w:tcW w:w="2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1252DE"/>
              </w:rPr>
              <w:t>$</w:t>
            </w:r>
          </w:p>
        </w:tc>
        <w:tc>
          <w:tcPr>
            <w:tcW w:w="50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1252DE"/>
              </w:rPr>
              <w:t>4,352</w:t>
            </w:r>
          </w:p>
        </w:tc>
        <w:tc>
          <w:tcPr>
            <w:tcW w:w="16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1252DE"/>
              </w:rPr>
              <w:t>$</w:t>
            </w: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1252DE"/>
              </w:rPr>
              <w:t>1,046</w:t>
            </w:r>
          </w:p>
        </w:tc>
        <w:tc>
          <w:tcPr>
            <w:tcW w:w="1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1252DE"/>
              </w:rPr>
              <w:t>$</w:t>
            </w:r>
          </w:p>
        </w:tc>
        <w:tc>
          <w:tcPr>
            <w:tcW w:w="600" w:type="dxa"/>
            <w:vAlign w:val="bottom"/>
            <w:vMerge w:val="restart"/>
          </w:tcPr>
          <w:p>
            <w:pPr>
              <w:ind w:left="420"/>
              <w:spacing w:after="0"/>
              <w:rPr>
                <w:sz w:val="20"/>
                <w:szCs w:val="20"/>
                <w:color w:val="auto"/>
              </w:rPr>
            </w:pPr>
            <w:r>
              <w:rPr>
                <w:rFonts w:ascii="Arial" w:cs="Arial" w:eastAsia="Arial" w:hAnsi="Arial"/>
                <w:sz w:val="12"/>
                <w:szCs w:val="12"/>
                <w:b w:val="1"/>
                <w:bCs w:val="1"/>
                <w:color w:val="1252DE"/>
              </w:rPr>
              <w:t>(5)</w:t>
            </w:r>
          </w:p>
        </w:tc>
        <w:tc>
          <w:tcPr>
            <w:tcW w:w="2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1252DE"/>
              </w:rPr>
              <w:t>3,301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380" w:type="dxa"/>
            <w:vAlign w:val="bottom"/>
            <w:tcBorders>
              <w:bottom w:val="single" w:sz="8" w:color="1352DE"/>
            </w:tcBorders>
          </w:tcPr>
          <w:p>
            <w:pPr>
              <w:ind w:left="140"/>
              <w:spacing w:after="0"/>
              <w:rPr>
                <w:sz w:val="20"/>
                <w:szCs w:val="20"/>
                <w:color w:val="auto"/>
              </w:rPr>
            </w:pPr>
            <w:r>
              <w:rPr>
                <w:rFonts w:ascii="Arial" w:cs="Arial" w:eastAsia="Arial" w:hAnsi="Arial"/>
                <w:sz w:val="12"/>
                <w:szCs w:val="12"/>
                <w:b w:val="1"/>
                <w:bCs w:val="1"/>
                <w:color w:val="1352DE"/>
              </w:rPr>
              <w:t>shareholders</w:t>
            </w:r>
          </w:p>
        </w:tc>
        <w:tc>
          <w:tcPr>
            <w:tcW w:w="200" w:type="dxa"/>
            <w:vAlign w:val="bottom"/>
            <w:tcBorders>
              <w:bottom w:val="single" w:sz="8" w:color="1352DE"/>
            </w:tcBorders>
            <w:vMerge w:val="continue"/>
          </w:tcPr>
          <w:p>
            <w:pPr>
              <w:spacing w:after="0"/>
              <w:rPr>
                <w:sz w:val="13"/>
                <w:szCs w:val="13"/>
                <w:color w:val="auto"/>
              </w:rPr>
            </w:pPr>
          </w:p>
        </w:tc>
        <w:tc>
          <w:tcPr>
            <w:tcW w:w="500" w:type="dxa"/>
            <w:vAlign w:val="bottom"/>
            <w:tcBorders>
              <w:bottom w:val="single" w:sz="8" w:color="1352DE"/>
            </w:tcBorders>
            <w:vMerge w:val="continue"/>
          </w:tcPr>
          <w:p>
            <w:pPr>
              <w:spacing w:after="0"/>
              <w:rPr>
                <w:sz w:val="13"/>
                <w:szCs w:val="13"/>
                <w:color w:val="auto"/>
              </w:rPr>
            </w:pPr>
          </w:p>
        </w:tc>
        <w:tc>
          <w:tcPr>
            <w:tcW w:w="160" w:type="dxa"/>
            <w:vAlign w:val="bottom"/>
            <w:tcBorders>
              <w:bottom w:val="single" w:sz="8" w:color="1352DE"/>
            </w:tcBorders>
            <w:vMerge w:val="continue"/>
          </w:tcPr>
          <w:p>
            <w:pPr>
              <w:spacing w:after="0"/>
              <w:rPr>
                <w:sz w:val="13"/>
                <w:szCs w:val="13"/>
                <w:color w:val="auto"/>
              </w:rPr>
            </w:pPr>
          </w:p>
        </w:tc>
        <w:tc>
          <w:tcPr>
            <w:tcW w:w="540" w:type="dxa"/>
            <w:vAlign w:val="bottom"/>
            <w:tcBorders>
              <w:bottom w:val="single" w:sz="8" w:color="1352DE"/>
            </w:tcBorders>
            <w:vMerge w:val="continue"/>
          </w:tcPr>
          <w:p>
            <w:pPr>
              <w:spacing w:after="0"/>
              <w:rPr>
                <w:sz w:val="13"/>
                <w:szCs w:val="13"/>
                <w:color w:val="auto"/>
              </w:rPr>
            </w:pPr>
          </w:p>
        </w:tc>
        <w:tc>
          <w:tcPr>
            <w:tcW w:w="180" w:type="dxa"/>
            <w:vAlign w:val="bottom"/>
            <w:tcBorders>
              <w:bottom w:val="single" w:sz="8" w:color="1352DE"/>
            </w:tcBorders>
            <w:vMerge w:val="continue"/>
          </w:tcPr>
          <w:p>
            <w:pPr>
              <w:spacing w:after="0"/>
              <w:rPr>
                <w:sz w:val="13"/>
                <w:szCs w:val="13"/>
                <w:color w:val="auto"/>
              </w:rPr>
            </w:pPr>
          </w:p>
        </w:tc>
        <w:tc>
          <w:tcPr>
            <w:tcW w:w="600" w:type="dxa"/>
            <w:vAlign w:val="bottom"/>
            <w:tcBorders>
              <w:bottom w:val="single" w:sz="8" w:color="1352DE"/>
            </w:tcBorders>
            <w:vMerge w:val="continue"/>
          </w:tcPr>
          <w:p>
            <w:pPr>
              <w:spacing w:after="0"/>
              <w:rPr>
                <w:sz w:val="13"/>
                <w:szCs w:val="13"/>
                <w:color w:val="auto"/>
              </w:rPr>
            </w:pPr>
          </w:p>
        </w:tc>
        <w:tc>
          <w:tcPr>
            <w:tcW w:w="200" w:type="dxa"/>
            <w:vAlign w:val="bottom"/>
            <w:tcBorders>
              <w:bottom w:val="single" w:sz="8" w:color="1352DE"/>
            </w:tcBorders>
            <w:vMerge w:val="continue"/>
          </w:tcPr>
          <w:p>
            <w:pPr>
              <w:spacing w:after="0"/>
              <w:rPr>
                <w:sz w:val="13"/>
                <w:szCs w:val="13"/>
                <w:color w:val="auto"/>
              </w:rPr>
            </w:pPr>
          </w:p>
        </w:tc>
        <w:tc>
          <w:tcPr>
            <w:tcW w:w="460" w:type="dxa"/>
            <w:vAlign w:val="bottom"/>
            <w:tcBorders>
              <w:bottom w:val="single" w:sz="8" w:color="1352DE"/>
            </w:tcBorders>
            <w:vMerge w:val="continue"/>
          </w:tcPr>
          <w:p>
            <w:pPr>
              <w:spacing w:after="0"/>
              <w:rPr>
                <w:sz w:val="13"/>
                <w:szCs w:val="13"/>
                <w:color w:val="auto"/>
              </w:rPr>
            </w:pPr>
          </w:p>
        </w:tc>
        <w:tc>
          <w:tcPr>
            <w:tcW w:w="160" w:type="dxa"/>
            <w:vAlign w:val="bottom"/>
            <w:tcBorders>
              <w:bottom w:val="single" w:sz="8" w:color="1352DE"/>
            </w:tcBorders>
          </w:tcPr>
          <w:p>
            <w:pPr>
              <w:spacing w:after="0"/>
              <w:rPr>
                <w:sz w:val="13"/>
                <w:szCs w:val="13"/>
                <w:color w:val="auto"/>
              </w:rPr>
            </w:pPr>
          </w:p>
        </w:tc>
        <w:tc>
          <w:tcPr>
            <w:tcW w:w="20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3,922</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945</w:t>
            </w:r>
          </w:p>
        </w:tc>
        <w:tc>
          <w:tcPr>
            <w:tcW w:w="18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1352DE"/>
            </w:tcBorders>
          </w:tcPr>
          <w:p>
            <w:pPr>
              <w:ind w:left="400"/>
              <w:spacing w:after="0"/>
              <w:rPr>
                <w:sz w:val="20"/>
                <w:szCs w:val="20"/>
                <w:color w:val="auto"/>
              </w:rPr>
            </w:pPr>
            <w:r>
              <w:rPr>
                <w:rFonts w:ascii="Arial" w:cs="Arial" w:eastAsia="Arial" w:hAnsi="Arial"/>
                <w:sz w:val="12"/>
                <w:szCs w:val="12"/>
                <w:color w:val="auto"/>
              </w:rPr>
              <w:t>(5)</w:t>
            </w: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2,972</w:t>
            </w:r>
          </w:p>
        </w:tc>
        <w:tc>
          <w:tcPr>
            <w:tcW w:w="0" w:type="dxa"/>
            <w:vAlign w:val="bottom"/>
          </w:tcPr>
          <w:p>
            <w:pPr>
              <w:spacing w:after="0"/>
              <w:rPr>
                <w:sz w:val="1"/>
                <w:szCs w:val="1"/>
                <w:color w:val="auto"/>
              </w:rPr>
            </w:pPr>
          </w:p>
        </w:tc>
      </w:tr>
      <w:tr>
        <w:trPr>
          <w:trHeight w:val="165"/>
        </w:trPr>
        <w:tc>
          <w:tcPr>
            <w:tcW w:w="5380" w:type="dxa"/>
            <w:vAlign w:val="bottom"/>
          </w:tcPr>
          <w:p>
            <w:pPr>
              <w:ind w:left="20"/>
              <w:spacing w:after="0"/>
              <w:rPr>
                <w:sz w:val="20"/>
                <w:szCs w:val="20"/>
                <w:color w:val="auto"/>
              </w:rPr>
            </w:pPr>
            <w:r>
              <w:rPr>
                <w:rFonts w:ascii="Arial" w:cs="Arial" w:eastAsia="Arial" w:hAnsi="Arial"/>
                <w:sz w:val="12"/>
                <w:szCs w:val="12"/>
                <w:b w:val="1"/>
                <w:bCs w:val="1"/>
                <w:color w:val="1352DE"/>
              </w:rPr>
              <w:t>Weighted average diluted shares outstanding</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534.3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578.4</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2"/>
                <w:szCs w:val="12"/>
                <w:b w:val="1"/>
                <w:bCs w:val="1"/>
                <w:color w:val="1352DE"/>
              </w:rPr>
              <w:t>Income per common share attributable to AIG common shareholders (diluted)</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4.78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4.08</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352DE"/>
                <w:w w:val="97"/>
              </w:rPr>
              <w:t>Adjusted after-tax income per common share attributable to AIG common shareholders (diluted)</w:t>
            </w: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54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b w:val="1"/>
                <w:bCs w:val="1"/>
                <w:color w:val="1252DE"/>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6.18</w:t>
            </w:r>
          </w:p>
        </w:tc>
        <w:tc>
          <w:tcPr>
            <w:tcW w:w="16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spacing w:after="0"/>
              <w:rPr>
                <w:sz w:val="15"/>
                <w:szCs w:val="15"/>
                <w:color w:val="auto"/>
              </w:rPr>
            </w:pPr>
          </w:p>
        </w:tc>
        <w:tc>
          <w:tcPr>
            <w:tcW w:w="50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560" w:type="dxa"/>
            <w:vAlign w:val="bottom"/>
            <w:tcBorders>
              <w:bottom w:val="single" w:sz="8" w:color="1352DE"/>
            </w:tcBorders>
          </w:tcPr>
          <w:p>
            <w:pPr>
              <w:spacing w:after="0"/>
              <w:rPr>
                <w:sz w:val="15"/>
                <w:szCs w:val="15"/>
                <w:color w:val="auto"/>
              </w:rPr>
            </w:pPr>
          </w:p>
        </w:tc>
        <w:tc>
          <w:tcPr>
            <w:tcW w:w="180" w:type="dxa"/>
            <w:vAlign w:val="bottom"/>
            <w:tcBorders>
              <w:bottom w:val="single" w:sz="8" w:color="1352DE"/>
            </w:tcBorders>
          </w:tcPr>
          <w:p>
            <w:pPr>
              <w:spacing w:after="0"/>
              <w:rPr>
                <w:sz w:val="15"/>
                <w:szCs w:val="15"/>
                <w:color w:val="auto"/>
              </w:rPr>
            </w:pPr>
          </w:p>
        </w:tc>
        <w:tc>
          <w:tcPr>
            <w:tcW w:w="600" w:type="dxa"/>
            <w:vAlign w:val="bottom"/>
            <w:tcBorders>
              <w:bottom w:val="single" w:sz="8" w:color="1352DE"/>
            </w:tcBorders>
          </w:tcPr>
          <w:p>
            <w:pPr>
              <w:spacing w:after="0"/>
              <w:rPr>
                <w:sz w:val="15"/>
                <w:szCs w:val="15"/>
                <w:color w:val="auto"/>
              </w:rPr>
            </w:pPr>
          </w:p>
        </w:tc>
        <w:tc>
          <w:tcPr>
            <w:tcW w:w="200" w:type="dxa"/>
            <w:vAlign w:val="bottom"/>
            <w:tcBorders>
              <w:bottom w:val="single" w:sz="8" w:color="1352DE"/>
            </w:tcBorders>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5.14</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180" w:hanging="212"/>
        <w:spacing w:after="0" w:line="286" w:lineRule="auto"/>
        <w:tabs>
          <w:tab w:leader="none" w:pos="208"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Includes all net realized gains and losses except earned income (periodic settlements and changes in settlement accruals) on derivative instruments used for non-qualifying (economic) hedging or for asset replication and net realized gains and losses on Fortitude Re funds withheld assets.</w:t>
      </w:r>
    </w:p>
    <w:p>
      <w:pPr>
        <w:spacing w:after="0" w:line="35" w:lineRule="exact"/>
        <w:rPr>
          <w:rFonts w:ascii="Arial" w:cs="Arial" w:eastAsia="Arial" w:hAnsi="Arial"/>
          <w:sz w:val="13"/>
          <w:szCs w:val="13"/>
          <w:color w:val="auto"/>
        </w:rPr>
      </w:pPr>
    </w:p>
    <w:p>
      <w:pPr>
        <w:ind w:left="220" w:hanging="212"/>
        <w:spacing w:after="0"/>
        <w:tabs>
          <w:tab w:leader="none" w:pos="2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 the third quarter of 2025, AIG began excluding the net results of run-off businesses previously reported in General Insurance from Adjusted pre-tax income.</w:t>
      </w:r>
    </w:p>
    <w:p>
      <w:pPr>
        <w:spacing w:after="0" w:line="80" w:lineRule="exact"/>
        <w:rPr>
          <w:rFonts w:ascii="Arial" w:cs="Arial" w:eastAsia="Arial" w:hAnsi="Arial"/>
          <w:sz w:val="13"/>
          <w:szCs w:val="13"/>
          <w:color w:val="auto"/>
        </w:rPr>
      </w:pPr>
    </w:p>
    <w:p>
      <w:pPr>
        <w:ind w:left="220" w:right="400" w:hanging="212"/>
        <w:spacing w:after="0" w:line="264" w:lineRule="auto"/>
        <w:tabs>
          <w:tab w:leader="none" w:pos="214"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 the nine months ended September 30, 2026, Net (gain) loss on divestitures and other primarily relates to a change in estimate for earn-out considerations associated with the dispositions of Validus Reinsurance, Ltd. and the global personal travel and assistance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24771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760" w:hanging="734"/>
        <w:spacing w:after="0"/>
        <w:tabs>
          <w:tab w:leader="none" w:pos="760" w:val="left"/>
        </w:tabs>
        <w:numPr>
          <w:ilvl w:val="0"/>
          <w:numId w:val="85"/>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Use of Non-GAAP Measures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a reconciliation of General Insurance and Other Operations Net investment income and other/pre-tax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to Net investment income and other, APTI basis/adjusted pre-tax income (loss):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Borders>
              <w:top w:val="single" w:sz="8" w:color="1352DE"/>
            </w:tcBorders>
          </w:tcPr>
          <w:p>
            <w:pPr>
              <w:ind w:left="20"/>
              <w:spacing w:after="0"/>
              <w:rPr>
                <w:sz w:val="20"/>
                <w:szCs w:val="20"/>
                <w:color w:val="auto"/>
              </w:rPr>
            </w:pPr>
            <w:r>
              <w:rPr>
                <w:rFonts w:ascii="Arial" w:cs="Arial" w:eastAsia="Arial" w:hAnsi="Arial"/>
                <w:sz w:val="12"/>
                <w:szCs w:val="12"/>
                <w:b w:val="1"/>
                <w:bCs w:val="1"/>
                <w:color w:val="1252DE"/>
              </w:rPr>
              <w:t>General Insurance</w:t>
            </w:r>
          </w:p>
        </w:tc>
        <w:tc>
          <w:tcPr>
            <w:tcW w:w="160" w:type="dxa"/>
            <w:vAlign w:val="bottom"/>
            <w:tcBorders>
              <w:top w:val="single" w:sz="8" w:color="1352DE"/>
              <w:bottom w:val="single" w:sz="8" w:color="1352DE"/>
            </w:tcBorders>
          </w:tcPr>
          <w:p>
            <w:pPr>
              <w:spacing w:after="0"/>
              <w:rPr>
                <w:sz w:val="17"/>
                <w:szCs w:val="17"/>
                <w:color w:val="auto"/>
              </w:rPr>
            </w:pPr>
          </w:p>
        </w:tc>
        <w:tc>
          <w:tcPr>
            <w:tcW w:w="2340" w:type="dxa"/>
            <w:vAlign w:val="bottom"/>
            <w:tcBorders>
              <w:top w:val="single" w:sz="8" w:color="1352DE"/>
              <w:bottom w:val="single" w:sz="8" w:color="1352DE"/>
            </w:tcBorders>
            <w:gridSpan w:val="7"/>
          </w:tcPr>
          <w:p>
            <w:pPr>
              <w:jc w:val="right"/>
              <w:ind w:right="2"/>
              <w:spacing w:after="0"/>
              <w:rPr>
                <w:sz w:val="20"/>
                <w:szCs w:val="20"/>
                <w:color w:val="auto"/>
              </w:rPr>
            </w:pPr>
            <w:r>
              <w:rPr>
                <w:rFonts w:ascii="Arial" w:cs="Arial" w:eastAsia="Arial" w:hAnsi="Arial"/>
                <w:sz w:val="12"/>
                <w:szCs w:val="12"/>
                <w:color w:val="1252DE"/>
              </w:rPr>
              <w:t>Three Months Ended September 30,</w:t>
            </w:r>
          </w:p>
        </w:tc>
        <w:tc>
          <w:tcPr>
            <w:tcW w:w="480" w:type="dxa"/>
            <w:vAlign w:val="bottom"/>
            <w:tcBorders>
              <w:top w:val="single" w:sz="8" w:color="1352DE"/>
              <w:bottom w:val="single" w:sz="8" w:color="1352DE"/>
            </w:tcBorders>
          </w:tcPr>
          <w:p>
            <w:pPr>
              <w:spacing w:after="0"/>
              <w:rPr>
                <w:sz w:val="17"/>
                <w:szCs w:val="17"/>
                <w:color w:val="auto"/>
              </w:rPr>
            </w:pPr>
          </w:p>
        </w:tc>
        <w:tc>
          <w:tcPr>
            <w:tcW w:w="440" w:type="dxa"/>
            <w:vAlign w:val="bottom"/>
            <w:tcBorders>
              <w:top w:val="single" w:sz="8" w:color="1352DE"/>
            </w:tcBorders>
          </w:tcPr>
          <w:p>
            <w:pPr>
              <w:spacing w:after="0"/>
              <w:rPr>
                <w:sz w:val="17"/>
                <w:szCs w:val="17"/>
                <w:color w:val="auto"/>
              </w:rPr>
            </w:pPr>
          </w:p>
        </w:tc>
        <w:tc>
          <w:tcPr>
            <w:tcW w:w="20" w:type="dxa"/>
            <w:vAlign w:val="bottom"/>
            <w:tcBorders>
              <w:top w:val="single" w:sz="8" w:color="1352DE"/>
              <w:bottom w:val="single" w:sz="8" w:color="1352DE"/>
            </w:tcBorders>
          </w:tcPr>
          <w:p>
            <w:pPr>
              <w:spacing w:after="0"/>
              <w:rPr>
                <w:sz w:val="17"/>
                <w:szCs w:val="17"/>
                <w:color w:val="auto"/>
              </w:rPr>
            </w:pPr>
          </w:p>
        </w:tc>
        <w:tc>
          <w:tcPr>
            <w:tcW w:w="140" w:type="dxa"/>
            <w:vAlign w:val="bottom"/>
            <w:tcBorders>
              <w:top w:val="single" w:sz="8" w:color="1352DE"/>
              <w:bottom w:val="single" w:sz="8" w:color="1352DE"/>
            </w:tcBorders>
          </w:tcPr>
          <w:p>
            <w:pPr>
              <w:spacing w:after="0"/>
              <w:rPr>
                <w:sz w:val="17"/>
                <w:szCs w:val="17"/>
                <w:color w:val="auto"/>
              </w:rPr>
            </w:pPr>
          </w:p>
        </w:tc>
        <w:tc>
          <w:tcPr>
            <w:tcW w:w="2400" w:type="dxa"/>
            <w:vAlign w:val="bottom"/>
            <w:tcBorders>
              <w:top w:val="single" w:sz="8" w:color="1352DE"/>
              <w:bottom w:val="single" w:sz="8" w:color="1352DE"/>
            </w:tcBorders>
            <w:gridSpan w:val="7"/>
          </w:tcPr>
          <w:p>
            <w:pPr>
              <w:ind w:left="440"/>
              <w:spacing w:after="0"/>
              <w:rPr>
                <w:sz w:val="20"/>
                <w:szCs w:val="20"/>
                <w:color w:val="auto"/>
              </w:rPr>
            </w:pPr>
            <w:r>
              <w:rPr>
                <w:rFonts w:ascii="Arial" w:cs="Arial" w:eastAsia="Arial" w:hAnsi="Arial"/>
                <w:sz w:val="12"/>
                <w:szCs w:val="12"/>
                <w:color w:val="1252DE"/>
              </w:rPr>
              <w:t>Nine Months Ended September 30,</w:t>
            </w:r>
          </w:p>
        </w:tc>
        <w:tc>
          <w:tcPr>
            <w:tcW w:w="460" w:type="dxa"/>
            <w:vAlign w:val="bottom"/>
            <w:tcBorders>
              <w:top w:val="single" w:sz="8" w:color="1352DE"/>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60" w:type="dxa"/>
            <w:vAlign w:val="bottom"/>
            <w:tcBorders>
              <w:bottom w:val="single" w:sz="8" w:color="1352DE"/>
            </w:tcBorders>
          </w:tcPr>
          <w:p>
            <w:pPr>
              <w:spacing w:after="0"/>
              <w:rPr>
                <w:sz w:val="14"/>
                <w:szCs w:val="14"/>
                <w:color w:val="auto"/>
              </w:rPr>
            </w:pPr>
          </w:p>
        </w:tc>
        <w:tc>
          <w:tcPr>
            <w:tcW w:w="800" w:type="dxa"/>
            <w:vAlign w:val="bottom"/>
            <w:tcBorders>
              <w:bottom w:val="single" w:sz="8" w:color="1352DE"/>
            </w:tcBorders>
            <w:gridSpan w:val="2"/>
          </w:tcPr>
          <w:p>
            <w:pPr>
              <w:jc w:val="right"/>
              <w:ind w:right="62"/>
              <w:spacing w:after="0"/>
              <w:rPr>
                <w:sz w:val="20"/>
                <w:szCs w:val="20"/>
                <w:color w:val="auto"/>
              </w:rPr>
            </w:pPr>
            <w:r>
              <w:rPr>
                <w:rFonts w:ascii="Arial" w:cs="Arial" w:eastAsia="Arial" w:hAnsi="Arial"/>
                <w:sz w:val="12"/>
                <w:szCs w:val="12"/>
                <w:b w:val="1"/>
                <w:bCs w:val="1"/>
                <w:color w:val="1252DE"/>
              </w:rPr>
              <w:t>2026</w:t>
            </w:r>
          </w:p>
        </w:tc>
        <w:tc>
          <w:tcPr>
            <w:tcW w:w="460" w:type="dxa"/>
            <w:vAlign w:val="bottom"/>
            <w:tcBorders>
              <w:bottom w:val="single" w:sz="8" w:color="1352DE"/>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800" w:type="dxa"/>
            <w:vAlign w:val="bottom"/>
            <w:tcBorders>
              <w:bottom w:val="single" w:sz="8" w:color="1352DE"/>
            </w:tcBorders>
            <w:gridSpan w:val="2"/>
          </w:tcPr>
          <w:p>
            <w:pPr>
              <w:jc w:val="right"/>
              <w:ind w:right="42"/>
              <w:spacing w:after="0"/>
              <w:rPr>
                <w:sz w:val="20"/>
                <w:szCs w:val="20"/>
                <w:color w:val="auto"/>
              </w:rPr>
            </w:pPr>
            <w:r>
              <w:rPr>
                <w:rFonts w:ascii="Arial" w:cs="Arial" w:eastAsia="Arial" w:hAnsi="Arial"/>
                <w:sz w:val="12"/>
                <w:szCs w:val="12"/>
                <w:color w:val="1252DE"/>
              </w:rPr>
              <w:t>2025</w:t>
            </w:r>
          </w:p>
        </w:tc>
        <w:tc>
          <w:tcPr>
            <w:tcW w:w="480" w:type="dxa"/>
            <w:vAlign w:val="bottom"/>
            <w:tcBorders>
              <w:bottom w:val="single" w:sz="8" w:color="1352DE"/>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1352DE"/>
            </w:tcBorders>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820" w:type="dxa"/>
            <w:vAlign w:val="bottom"/>
            <w:tcBorders>
              <w:bottom w:val="single" w:sz="8" w:color="1352DE"/>
            </w:tcBorders>
            <w:gridSpan w:val="2"/>
          </w:tcPr>
          <w:p>
            <w:pPr>
              <w:ind w:left="440"/>
              <w:spacing w:after="0"/>
              <w:rPr>
                <w:sz w:val="20"/>
                <w:szCs w:val="20"/>
                <w:color w:val="auto"/>
              </w:rPr>
            </w:pPr>
            <w:r>
              <w:rPr>
                <w:rFonts w:ascii="Arial" w:cs="Arial" w:eastAsia="Arial" w:hAnsi="Arial"/>
                <w:sz w:val="12"/>
                <w:szCs w:val="12"/>
                <w:b w:val="1"/>
                <w:bCs w:val="1"/>
                <w:color w:val="1252DE"/>
              </w:rPr>
              <w:t>2026</w:t>
            </w:r>
          </w:p>
        </w:tc>
        <w:tc>
          <w:tcPr>
            <w:tcW w:w="460" w:type="dxa"/>
            <w:vAlign w:val="bottom"/>
            <w:tcBorders>
              <w:bottom w:val="single" w:sz="8" w:color="1352DE"/>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1352DE"/>
            </w:tcBorders>
          </w:tcPr>
          <w:p>
            <w:pPr>
              <w:spacing w:after="0"/>
              <w:rPr>
                <w:sz w:val="14"/>
                <w:szCs w:val="14"/>
                <w:color w:val="auto"/>
              </w:rPr>
            </w:pPr>
          </w:p>
        </w:tc>
        <w:tc>
          <w:tcPr>
            <w:tcW w:w="820" w:type="dxa"/>
            <w:vAlign w:val="bottom"/>
            <w:tcBorders>
              <w:bottom w:val="single" w:sz="8" w:color="1352DE"/>
            </w:tcBorders>
            <w:gridSpan w:val="2"/>
          </w:tcPr>
          <w:p>
            <w:pPr>
              <w:jc w:val="right"/>
              <w:ind w:right="62"/>
              <w:spacing w:after="0"/>
              <w:rPr>
                <w:sz w:val="20"/>
                <w:szCs w:val="20"/>
                <w:color w:val="auto"/>
              </w:rPr>
            </w:pPr>
            <w:r>
              <w:rPr>
                <w:rFonts w:ascii="Arial" w:cs="Arial" w:eastAsia="Arial" w:hAnsi="Arial"/>
                <w:sz w:val="12"/>
                <w:szCs w:val="12"/>
                <w:color w:val="1252DE"/>
              </w:rPr>
              <w:t>2025</w:t>
            </w:r>
          </w:p>
        </w:tc>
        <w:tc>
          <w:tcPr>
            <w:tcW w:w="460" w:type="dxa"/>
            <w:vAlign w:val="bottom"/>
            <w:tcBorders>
              <w:bottom w:val="single" w:sz="8" w:color="1352DE"/>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1252DE"/>
              </w:rPr>
              <w:t>Net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1252DE"/>
              </w:rPr>
              <w:t>Net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ind w:left="460"/>
              <w:spacing w:after="0" w:line="127" w:lineRule="exact"/>
              <w:rPr>
                <w:sz w:val="20"/>
                <w:szCs w:val="20"/>
                <w:color w:val="auto"/>
              </w:rPr>
            </w:pPr>
            <w:r>
              <w:rPr>
                <w:rFonts w:ascii="Arial" w:cs="Arial" w:eastAsia="Arial" w:hAnsi="Arial"/>
                <w:sz w:val="12"/>
                <w:szCs w:val="12"/>
                <w:color w:val="1252DE"/>
                <w:w w:val="96"/>
              </w:rPr>
              <w:t>Net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1252DE"/>
              </w:rPr>
              <w:t>Net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2"/>
                <w:szCs w:val="12"/>
                <w:color w:val="1252DE"/>
              </w:rPr>
              <w:t>Investment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rPr>
              <w:t>Pre-tax</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2"/>
                <w:szCs w:val="12"/>
                <w:color w:val="1252DE"/>
              </w:rPr>
              <w:t>Investment</w:t>
            </w:r>
          </w:p>
        </w:tc>
        <w:tc>
          <w:tcPr>
            <w:tcW w:w="140" w:type="dxa"/>
            <w:vAlign w:val="bottom"/>
          </w:tcPr>
          <w:p>
            <w:pPr>
              <w:spacing w:after="0"/>
              <w:rPr>
                <w:sz w:val="10"/>
                <w:szCs w:val="10"/>
                <w:color w:val="auto"/>
              </w:rPr>
            </w:pPr>
          </w:p>
        </w:tc>
        <w:tc>
          <w:tcPr>
            <w:tcW w:w="920" w:type="dxa"/>
            <w:vAlign w:val="bottom"/>
            <w:gridSpan w:val="2"/>
          </w:tcPr>
          <w:p>
            <w:pPr>
              <w:jc w:val="right"/>
              <w:ind w:right="460"/>
              <w:spacing w:after="0" w:line="122" w:lineRule="exact"/>
              <w:rPr>
                <w:sz w:val="20"/>
                <w:szCs w:val="20"/>
                <w:color w:val="auto"/>
              </w:rPr>
            </w:pPr>
            <w:r>
              <w:rPr>
                <w:rFonts w:ascii="Arial" w:cs="Arial" w:eastAsia="Arial" w:hAnsi="Arial"/>
                <w:sz w:val="12"/>
                <w:szCs w:val="12"/>
                <w:color w:val="1252DE"/>
              </w:rPr>
              <w:t>Pre-tax</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2"/>
                <w:szCs w:val="12"/>
                <w:color w:val="1252DE"/>
              </w:rPr>
              <w:t>Investment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rPr>
              <w:t>Pre-tax</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2"/>
                <w:szCs w:val="12"/>
                <w:color w:val="1252DE"/>
              </w:rPr>
              <w:t>Investment</w:t>
            </w:r>
          </w:p>
        </w:tc>
        <w:tc>
          <w:tcPr>
            <w:tcW w:w="1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2"/>
                <w:szCs w:val="12"/>
                <w:color w:val="1252DE"/>
              </w:rPr>
              <w:t>Pre-tax</w:t>
            </w:r>
          </w:p>
        </w:tc>
        <w:tc>
          <w:tcPr>
            <w:tcW w:w="0" w:type="dxa"/>
            <w:vAlign w:val="bottom"/>
          </w:tcPr>
          <w:p>
            <w:pPr>
              <w:spacing w:after="0"/>
              <w:rPr>
                <w:sz w:val="1"/>
                <w:szCs w:val="1"/>
                <w:color w:val="auto"/>
              </w:rPr>
            </w:pPr>
          </w:p>
        </w:tc>
      </w:tr>
      <w:tr>
        <w:trPr>
          <w:trHeight w:val="116"/>
        </w:trPr>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Arial" w:cs="Arial" w:eastAsia="Arial" w:hAnsi="Arial"/>
                <w:sz w:val="12"/>
                <w:szCs w:val="12"/>
                <w:color w:val="1252DE"/>
              </w:rPr>
              <w:t>Income</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rPr>
              <w:t>Income</w:t>
            </w:r>
          </w:p>
        </w:tc>
        <w:tc>
          <w:tcPr>
            <w:tcW w:w="14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2"/>
                <w:szCs w:val="12"/>
                <w:color w:val="1252DE"/>
              </w:rPr>
              <w:t>Income</w:t>
            </w:r>
          </w:p>
        </w:tc>
        <w:tc>
          <w:tcPr>
            <w:tcW w:w="140" w:type="dxa"/>
            <w:vAlign w:val="bottom"/>
          </w:tcPr>
          <w:p>
            <w:pPr>
              <w:spacing w:after="0"/>
              <w:rPr>
                <w:sz w:val="10"/>
                <w:szCs w:val="10"/>
                <w:color w:val="auto"/>
              </w:rPr>
            </w:pPr>
          </w:p>
        </w:tc>
        <w:tc>
          <w:tcPr>
            <w:tcW w:w="920" w:type="dxa"/>
            <w:vAlign w:val="bottom"/>
            <w:gridSpan w:val="2"/>
          </w:tcPr>
          <w:p>
            <w:pPr>
              <w:jc w:val="right"/>
              <w:ind w:right="460"/>
              <w:spacing w:after="0" w:line="116" w:lineRule="exact"/>
              <w:rPr>
                <w:sz w:val="20"/>
                <w:szCs w:val="20"/>
                <w:color w:val="auto"/>
              </w:rPr>
            </w:pPr>
            <w:r>
              <w:rPr>
                <w:rFonts w:ascii="Arial" w:cs="Arial" w:eastAsia="Arial" w:hAnsi="Arial"/>
                <w:sz w:val="12"/>
                <w:szCs w:val="12"/>
                <w:color w:val="1252DE"/>
              </w:rPr>
              <w:t>Income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2"/>
                <w:szCs w:val="12"/>
                <w:color w:val="1252DE"/>
              </w:rPr>
              <w:t>Income</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rPr>
              <w:t>Income</w:t>
            </w:r>
          </w:p>
        </w:tc>
        <w:tc>
          <w:tcPr>
            <w:tcW w:w="16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2"/>
                <w:szCs w:val="12"/>
                <w:color w:val="1252DE"/>
              </w:rPr>
              <w:t>Income</w:t>
            </w:r>
          </w:p>
        </w:tc>
        <w:tc>
          <w:tcPr>
            <w:tcW w:w="16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Arial" w:cs="Arial" w:eastAsia="Arial" w:hAnsi="Arial"/>
                <w:sz w:val="12"/>
                <w:szCs w:val="12"/>
                <w:color w:val="1252DE"/>
              </w:rPr>
              <w:t>Income</w:t>
            </w:r>
          </w:p>
        </w:tc>
        <w:tc>
          <w:tcPr>
            <w:tcW w:w="0" w:type="dxa"/>
            <w:vAlign w:val="bottom"/>
          </w:tcPr>
          <w:p>
            <w:pPr>
              <w:spacing w:after="0"/>
              <w:rPr>
                <w:sz w:val="1"/>
                <w:szCs w:val="1"/>
                <w:color w:val="auto"/>
              </w:rPr>
            </w:pPr>
          </w:p>
        </w:tc>
      </w:tr>
      <w:tr>
        <w:trPr>
          <w:trHeight w:val="160"/>
        </w:trPr>
        <w:tc>
          <w:tcPr>
            <w:tcW w:w="4780" w:type="dxa"/>
            <w:vAlign w:val="bottom"/>
            <w:tcBorders>
              <w:bottom w:val="single" w:sz="8" w:color="1352DE"/>
            </w:tcBorders>
          </w:tcPr>
          <w:p>
            <w:pPr>
              <w:ind w:left="20"/>
              <w:spacing w:after="0"/>
              <w:rPr>
                <w:sz w:val="20"/>
                <w:szCs w:val="20"/>
                <w:color w:val="auto"/>
              </w:rPr>
            </w:pPr>
            <w:r>
              <w:rPr>
                <w:rFonts w:ascii="Arial" w:cs="Arial" w:eastAsia="Arial" w:hAnsi="Arial"/>
                <w:sz w:val="12"/>
                <w:szCs w:val="12"/>
                <w:i w:val="1"/>
                <w:iCs w:val="1"/>
                <w:color w:val="1252DE"/>
              </w:rPr>
              <w:t>(in millions)</w:t>
            </w:r>
          </w:p>
        </w:tc>
        <w:tc>
          <w:tcPr>
            <w:tcW w:w="160" w:type="dxa"/>
            <w:vAlign w:val="bottom"/>
            <w:tcBorders>
              <w:bottom w:val="single" w:sz="8" w:color="1352DE"/>
            </w:tcBorders>
          </w:tcPr>
          <w:p>
            <w:pPr>
              <w:spacing w:after="0"/>
              <w:rPr>
                <w:sz w:val="13"/>
                <w:szCs w:val="13"/>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and Other</w:t>
            </w:r>
          </w:p>
        </w:tc>
        <w:tc>
          <w:tcPr>
            <w:tcW w:w="160" w:type="dxa"/>
            <w:vAlign w:val="bottom"/>
            <w:tcBorders>
              <w:bottom w:val="single" w:sz="8" w:color="1352DE"/>
            </w:tcBorders>
          </w:tcPr>
          <w:p>
            <w:pPr>
              <w:spacing w:after="0"/>
              <w:rPr>
                <w:sz w:val="13"/>
                <w:szCs w:val="13"/>
                <w:color w:val="auto"/>
              </w:rPr>
            </w:pPr>
          </w:p>
        </w:tc>
        <w:tc>
          <w:tcPr>
            <w:tcW w:w="60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2"/>
                <w:szCs w:val="12"/>
                <w:color w:val="1252DE"/>
              </w:rPr>
              <w:t>(Loss)</w:t>
            </w:r>
          </w:p>
        </w:tc>
        <w:tc>
          <w:tcPr>
            <w:tcW w:w="140" w:type="dxa"/>
            <w:vAlign w:val="bottom"/>
            <w:tcBorders>
              <w:bottom w:val="single" w:sz="8" w:color="1352DE"/>
            </w:tcBorders>
          </w:tcPr>
          <w:p>
            <w:pPr>
              <w:spacing w:after="0"/>
              <w:rPr>
                <w:sz w:val="13"/>
                <w:szCs w:val="13"/>
                <w:color w:val="auto"/>
              </w:rPr>
            </w:pPr>
          </w:p>
        </w:tc>
        <w:tc>
          <w:tcPr>
            <w:tcW w:w="6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and Other</w:t>
            </w:r>
          </w:p>
        </w:tc>
        <w:tc>
          <w:tcPr>
            <w:tcW w:w="140" w:type="dxa"/>
            <w:vAlign w:val="bottom"/>
            <w:tcBorders>
              <w:bottom w:val="single" w:sz="8" w:color="1352DE"/>
            </w:tcBorders>
          </w:tcPr>
          <w:p>
            <w:pPr>
              <w:spacing w:after="0"/>
              <w:rPr>
                <w:sz w:val="13"/>
                <w:szCs w:val="13"/>
                <w:color w:val="auto"/>
              </w:rPr>
            </w:pPr>
          </w:p>
        </w:tc>
        <w:tc>
          <w:tcPr>
            <w:tcW w:w="920" w:type="dxa"/>
            <w:vAlign w:val="bottom"/>
            <w:tcBorders>
              <w:bottom w:val="single" w:sz="8" w:color="1352DE"/>
            </w:tcBorders>
            <w:gridSpan w:val="2"/>
          </w:tcPr>
          <w:p>
            <w:pPr>
              <w:jc w:val="right"/>
              <w:ind w:right="460"/>
              <w:spacing w:after="0"/>
              <w:rPr>
                <w:sz w:val="20"/>
                <w:szCs w:val="20"/>
                <w:color w:val="auto"/>
              </w:rPr>
            </w:pPr>
            <w:r>
              <w:rPr>
                <w:rFonts w:ascii="Arial" w:cs="Arial" w:eastAsia="Arial" w:hAnsi="Arial"/>
                <w:sz w:val="12"/>
                <w:szCs w:val="12"/>
                <w:color w:val="1252DE"/>
              </w:rPr>
              <w:t>(Loss)</w:t>
            </w:r>
          </w:p>
        </w:tc>
        <w:tc>
          <w:tcPr>
            <w:tcW w:w="20" w:type="dxa"/>
            <w:vAlign w:val="bottom"/>
            <w:tcBorders>
              <w:bottom w:val="single" w:sz="8" w:color="1352DE"/>
            </w:tcBorders>
          </w:tcPr>
          <w:p>
            <w:pPr>
              <w:spacing w:after="0"/>
              <w:rPr>
                <w:sz w:val="13"/>
                <w:szCs w:val="13"/>
                <w:color w:val="auto"/>
              </w:rPr>
            </w:pPr>
          </w:p>
        </w:tc>
        <w:tc>
          <w:tcPr>
            <w:tcW w:w="140" w:type="dxa"/>
            <w:vAlign w:val="bottom"/>
            <w:tcBorders>
              <w:bottom w:val="single" w:sz="8" w:color="1352DE"/>
            </w:tcBorders>
          </w:tcPr>
          <w:p>
            <w:pPr>
              <w:spacing w:after="0"/>
              <w:rPr>
                <w:sz w:val="13"/>
                <w:szCs w:val="13"/>
                <w:color w:val="auto"/>
              </w:rPr>
            </w:pPr>
          </w:p>
        </w:tc>
        <w:tc>
          <w:tcPr>
            <w:tcW w:w="6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and Other</w:t>
            </w:r>
          </w:p>
        </w:tc>
        <w:tc>
          <w:tcPr>
            <w:tcW w:w="160" w:type="dxa"/>
            <w:vAlign w:val="bottom"/>
            <w:tcBorders>
              <w:bottom w:val="single" w:sz="8" w:color="1352DE"/>
            </w:tcBorders>
          </w:tcPr>
          <w:p>
            <w:pPr>
              <w:spacing w:after="0"/>
              <w:rPr>
                <w:sz w:val="13"/>
                <w:szCs w:val="13"/>
                <w:color w:val="auto"/>
              </w:rPr>
            </w:pPr>
          </w:p>
        </w:tc>
        <w:tc>
          <w:tcPr>
            <w:tcW w:w="60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2"/>
                <w:szCs w:val="12"/>
                <w:color w:val="1252DE"/>
              </w:rPr>
              <w:t>(Loss)</w:t>
            </w:r>
          </w:p>
        </w:tc>
        <w:tc>
          <w:tcPr>
            <w:tcW w:w="160" w:type="dxa"/>
            <w:vAlign w:val="bottom"/>
            <w:tcBorders>
              <w:bottom w:val="single" w:sz="8" w:color="1352DE"/>
            </w:tcBorders>
          </w:tcPr>
          <w:p>
            <w:pPr>
              <w:spacing w:after="0"/>
              <w:rPr>
                <w:sz w:val="13"/>
                <w:szCs w:val="13"/>
                <w:color w:val="auto"/>
              </w:rPr>
            </w:pPr>
          </w:p>
        </w:tc>
        <w:tc>
          <w:tcPr>
            <w:tcW w:w="6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and Other</w:t>
            </w:r>
          </w:p>
        </w:tc>
        <w:tc>
          <w:tcPr>
            <w:tcW w:w="160" w:type="dxa"/>
            <w:vAlign w:val="bottom"/>
            <w:tcBorders>
              <w:bottom w:val="single" w:sz="8" w:color="1352DE"/>
            </w:tcBorders>
          </w:tcPr>
          <w:p>
            <w:pPr>
              <w:spacing w:after="0"/>
              <w:rPr>
                <w:sz w:val="13"/>
                <w:szCs w:val="13"/>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(Loss)</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b w:val="1"/>
                <w:bCs w:val="1"/>
                <w:color w:val="1352DE"/>
              </w:rPr>
              <w:t>Net investment income and other/Pre-tax income (loss)</w:t>
            </w:r>
            <w:r>
              <w:rPr>
                <w:rFonts w:ascii="Arial" w:cs="Arial" w:eastAsia="Arial" w:hAnsi="Arial"/>
                <w:sz w:val="15"/>
                <w:szCs w:val="15"/>
                <w:b w:val="1"/>
                <w:bCs w:val="1"/>
                <w:color w:val="1352DE"/>
                <w:vertAlign w:val="superscript"/>
              </w:rPr>
              <w:t>(a)</w:t>
            </w:r>
          </w:p>
        </w:tc>
        <w:tc>
          <w:tcPr>
            <w:tcW w:w="16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1,029</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1252DE"/>
                <w:w w:val="89"/>
              </w:rPr>
              <w:t>$</w:t>
            </w: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1,198</w:t>
            </w:r>
          </w:p>
        </w:tc>
        <w:tc>
          <w:tcPr>
            <w:tcW w:w="140" w:type="dxa"/>
            <w:vAlign w:val="bottom"/>
          </w:tcPr>
          <w:p>
            <w:pPr>
              <w:spacing w:after="0"/>
              <w:rPr>
                <w:sz w:val="15"/>
                <w:szCs w:val="15"/>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991</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1,184</w:t>
            </w:r>
          </w:p>
        </w:tc>
        <w:tc>
          <w:tcPr>
            <w:tcW w:w="440" w:type="dxa"/>
            <w:vAlign w:val="bottom"/>
          </w:tcPr>
          <w:p>
            <w:pPr>
              <w:spacing w:after="0"/>
              <w:rPr>
                <w:sz w:val="15"/>
                <w:szCs w:val="15"/>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1352DE"/>
                <w:w w:val="89"/>
              </w:rPr>
              <w:t>$</w:t>
            </w: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2,755</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1352DE"/>
                <w:w w:val="89"/>
              </w:rPr>
              <w:t>$</w:t>
            </w: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3,882</w:t>
            </w:r>
          </w:p>
        </w:tc>
        <w:tc>
          <w:tcPr>
            <w:tcW w:w="140" w:type="dxa"/>
            <w:vAlign w:val="bottom"/>
          </w:tcPr>
          <w:p>
            <w:pPr>
              <w:spacing w:after="0"/>
              <w:rPr>
                <w:sz w:val="15"/>
                <w:szCs w:val="15"/>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2,619</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3,170</w:t>
            </w: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Arial" w:cs="Arial" w:eastAsia="Arial" w:hAnsi="Arial"/>
                <w:sz w:val="12"/>
                <w:szCs w:val="12"/>
                <w:color w:val="auto"/>
              </w:rPr>
              <w:t>Other income (expense) - net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1252DE"/>
              </w:rPr>
              <w:t>(2)</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1352DE"/>
              </w:rPr>
              <w:t>(5)</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rPr>
                <w:sz w:val="20"/>
                <w:szCs w:val="20"/>
                <w:color w:val="auto"/>
              </w:rPr>
            </w:pPr>
            <w:r>
              <w:rPr>
                <w:rFonts w:ascii="Arial" w:cs="Arial" w:eastAsia="Arial" w:hAnsi="Arial"/>
                <w:sz w:val="12"/>
                <w:szCs w:val="12"/>
                <w:color w:val="auto"/>
              </w:rPr>
              <w:t>Changes in the fair values of equity securities and AIG's investment in Corebridge</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5</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(46)</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17</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17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Net investment income on Fortitude Re funds withheld assets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rPr>
                <w:sz w:val="20"/>
                <w:szCs w:val="20"/>
                <w:color w:val="auto"/>
              </w:rPr>
            </w:pPr>
            <w:r>
              <w:rPr>
                <w:rFonts w:ascii="Arial" w:cs="Arial" w:eastAsia="Arial" w:hAnsi="Arial"/>
                <w:sz w:val="12"/>
                <w:szCs w:val="12"/>
                <w:color w:val="auto"/>
              </w:rPr>
              <w:t>Net realized (gains) losses on Fortitude Re funds withheld assets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352DE"/>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Net realized losses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176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456</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534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779</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rPr>
                <w:sz w:val="20"/>
                <w:szCs w:val="20"/>
                <w:color w:val="auto"/>
              </w:rPr>
            </w:pPr>
            <w:r>
              <w:rPr>
                <w:rFonts w:ascii="Arial" w:cs="Arial" w:eastAsia="Arial" w:hAnsi="Arial"/>
                <w:sz w:val="12"/>
                <w:szCs w:val="12"/>
                <w:color w:val="auto"/>
              </w:rPr>
              <w:t>Net (gain) loss on divestitures and other</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26"/>
        </w:trPr>
        <w:tc>
          <w:tcPr>
            <w:tcW w:w="4780" w:type="dxa"/>
            <w:vAlign w:val="bottom"/>
          </w:tcPr>
          <w:p>
            <w:pPr>
              <w:ind w:left="20"/>
              <w:spacing w:after="0" w:line="126" w:lineRule="exact"/>
              <w:rPr>
                <w:sz w:val="20"/>
                <w:szCs w:val="20"/>
                <w:color w:val="auto"/>
              </w:rPr>
            </w:pPr>
            <w:r>
              <w:rPr>
                <w:rFonts w:ascii="Arial" w:cs="Arial" w:eastAsia="Arial" w:hAnsi="Arial"/>
                <w:sz w:val="12"/>
                <w:szCs w:val="12"/>
                <w:color w:val="auto"/>
              </w:rPr>
              <w:t>Unfavorable (favorable) prior year development and related amortization changes ceded</w:t>
            </w:r>
          </w:p>
        </w:tc>
        <w:tc>
          <w:tcPr>
            <w:tcW w:w="16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0"/>
                <w:szCs w:val="10"/>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1252DE"/>
              </w:rPr>
              <w:t>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480" w:type="dxa"/>
            <w:vAlign w:val="bottom"/>
            <w:vMerge w:val="restart"/>
          </w:tcPr>
          <w:p>
            <w:pPr>
              <w:jc w:val="right"/>
              <w:ind w:right="2"/>
              <w:spacing w:after="0"/>
              <w:rPr>
                <w:sz w:val="20"/>
                <w:szCs w:val="20"/>
                <w:color w:val="auto"/>
              </w:rPr>
            </w:pPr>
            <w:r>
              <w:rPr>
                <w:rFonts w:ascii="Arial" w:cs="Arial" w:eastAsia="Arial" w:hAnsi="Arial"/>
                <w:sz w:val="12"/>
                <w:szCs w:val="12"/>
                <w:color w:val="auto"/>
              </w:rPr>
              <w:t>7</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1352DE"/>
              </w:rPr>
              <w:t>(44)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80" w:type="dxa"/>
            <w:vAlign w:val="bottom"/>
          </w:tcPr>
          <w:p>
            <w:pPr>
              <w:ind w:left="140"/>
              <w:spacing w:after="0"/>
              <w:rPr>
                <w:sz w:val="20"/>
                <w:szCs w:val="20"/>
                <w:color w:val="auto"/>
              </w:rPr>
            </w:pPr>
            <w:r>
              <w:rPr>
                <w:rFonts w:ascii="Arial" w:cs="Arial" w:eastAsia="Arial" w:hAnsi="Arial"/>
                <w:sz w:val="12"/>
                <w:szCs w:val="12"/>
                <w:color w:val="auto"/>
              </w:rPr>
              <w:t>under retroactive reinsurance agreements</w:t>
            </w: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rPr>
                <w:sz w:val="20"/>
                <w:szCs w:val="20"/>
                <w:color w:val="auto"/>
              </w:rPr>
            </w:pPr>
            <w:r>
              <w:rPr>
                <w:rFonts w:ascii="Arial" w:cs="Arial" w:eastAsia="Arial" w:hAnsi="Arial"/>
                <w:sz w:val="12"/>
                <w:szCs w:val="12"/>
                <w:color w:val="auto"/>
              </w:rPr>
              <w:t>Net loss reserve discount (benefit) charge</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71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Non-operating pension expenses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4</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rPr>
                <w:sz w:val="20"/>
                <w:szCs w:val="20"/>
                <w:color w:val="auto"/>
              </w:rPr>
            </w:pPr>
            <w:r>
              <w:rPr>
                <w:rFonts w:ascii="Arial" w:cs="Arial" w:eastAsia="Arial" w:hAnsi="Arial"/>
                <w:sz w:val="12"/>
                <w:szCs w:val="12"/>
                <w:color w:val="auto"/>
              </w:rPr>
              <w:t>Integration and transaction costs associated with acquiring or divesting businesses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35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100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Restructuring and other costs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71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130</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176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74"/>
        </w:trPr>
        <w:tc>
          <w:tcPr>
            <w:tcW w:w="478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Non-recurring costs related to regulatory or accounting changes</w:t>
            </w:r>
          </w:p>
        </w:tc>
        <w:tc>
          <w:tcPr>
            <w:tcW w:w="16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3</w:t>
            </w:r>
          </w:p>
        </w:tc>
        <w:tc>
          <w:tcPr>
            <w:tcW w:w="14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1352DE"/>
            </w:tcBorders>
          </w:tcPr>
          <w:p>
            <w:pPr>
              <w:spacing w:after="0"/>
              <w:rPr>
                <w:sz w:val="15"/>
                <w:szCs w:val="15"/>
                <w:color w:val="auto"/>
              </w:rPr>
            </w:pPr>
          </w:p>
        </w:tc>
        <w:tc>
          <w:tcPr>
            <w:tcW w:w="48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3</w:t>
            </w:r>
          </w:p>
        </w:tc>
        <w:tc>
          <w:tcPr>
            <w:tcW w:w="440" w:type="dxa"/>
            <w:vAlign w:val="bottom"/>
            <w:tcBorders>
              <w:bottom w:val="single" w:sz="8" w:color="1352DE"/>
            </w:tcBorders>
          </w:tcPr>
          <w:p>
            <w:pPr>
              <w:spacing w:after="0"/>
              <w:rPr>
                <w:sz w:val="15"/>
                <w:szCs w:val="15"/>
                <w:color w:val="auto"/>
              </w:rPr>
            </w:pPr>
          </w:p>
        </w:tc>
        <w:tc>
          <w:tcPr>
            <w:tcW w:w="2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13</w:t>
            </w:r>
          </w:p>
        </w:tc>
        <w:tc>
          <w:tcPr>
            <w:tcW w:w="14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9"/>
        </w:trPr>
        <w:tc>
          <w:tcPr>
            <w:tcW w:w="478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352DE"/>
              </w:rPr>
              <w:t>Net investment income and other, APTI basis/Adjusted pre-tax income (loss)</w:t>
            </w:r>
          </w:p>
        </w:tc>
        <w:tc>
          <w:tcPr>
            <w:tcW w:w="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w:t>
            </w:r>
          </w:p>
        </w:tc>
        <w:tc>
          <w:tcPr>
            <w:tcW w:w="6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1,032</w:t>
            </w:r>
          </w:p>
        </w:tc>
        <w:tc>
          <w:tcPr>
            <w:tcW w:w="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w w:val="89"/>
              </w:rPr>
              <w:t>$</w:t>
            </w: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1,586</w:t>
            </w:r>
          </w:p>
        </w:tc>
        <w:tc>
          <w:tcPr>
            <w:tcW w:w="140" w:type="dxa"/>
            <w:vAlign w:val="bottom"/>
            <w:tcBorders>
              <w:bottom w:val="single" w:sz="8" w:color="1352DE"/>
            </w:tcBorders>
          </w:tcPr>
          <w:p>
            <w:pPr>
              <w:spacing w:after="0"/>
              <w:rPr>
                <w:sz w:val="14"/>
                <w:szCs w:val="14"/>
                <w:color w:val="auto"/>
              </w:rPr>
            </w:pPr>
          </w:p>
        </w:tc>
        <w:tc>
          <w:tcPr>
            <w:tcW w:w="1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945</w:t>
            </w:r>
          </w:p>
        </w:tc>
        <w:tc>
          <w:tcPr>
            <w:tcW w:w="1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1,734</w:t>
            </w:r>
          </w:p>
        </w:tc>
        <w:tc>
          <w:tcPr>
            <w:tcW w:w="440" w:type="dxa"/>
            <w:vAlign w:val="bottom"/>
            <w:tcBorders>
              <w:bottom w:val="single" w:sz="8" w:color="1352DE"/>
            </w:tcBorders>
          </w:tcPr>
          <w:p>
            <w:pPr>
              <w:spacing w:after="0"/>
              <w:rPr>
                <w:sz w:val="14"/>
                <w:szCs w:val="14"/>
                <w:color w:val="auto"/>
              </w:rPr>
            </w:pPr>
          </w:p>
        </w:tc>
        <w:tc>
          <w:tcPr>
            <w:tcW w:w="160" w:type="dxa"/>
            <w:vAlign w:val="bottom"/>
            <w:tcBorders>
              <w:bottom w:val="single" w:sz="8" w:color="1352DE"/>
            </w:tcBorders>
            <w:gridSpan w:val="2"/>
          </w:tcPr>
          <w:p>
            <w:pPr>
              <w:jc w:val="right"/>
              <w:ind w:right="80"/>
              <w:spacing w:after="0"/>
              <w:rPr>
                <w:sz w:val="20"/>
                <w:szCs w:val="20"/>
                <w:color w:val="auto"/>
              </w:rPr>
            </w:pPr>
            <w:r>
              <w:rPr>
                <w:rFonts w:ascii="Arial" w:cs="Arial" w:eastAsia="Arial" w:hAnsi="Arial"/>
                <w:sz w:val="12"/>
                <w:szCs w:val="12"/>
                <w:b w:val="1"/>
                <w:bCs w:val="1"/>
                <w:color w:val="1352DE"/>
                <w:w w:val="89"/>
              </w:rPr>
              <w:t>$</w:t>
            </w: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2,767</w:t>
            </w:r>
          </w:p>
        </w:tc>
        <w:tc>
          <w:tcPr>
            <w:tcW w:w="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352DE"/>
                <w:w w:val="89"/>
              </w:rPr>
              <w:t>$</w:t>
            </w: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4,760</w:t>
            </w:r>
          </w:p>
        </w:tc>
        <w:tc>
          <w:tcPr>
            <w:tcW w:w="140" w:type="dxa"/>
            <w:vAlign w:val="bottom"/>
            <w:tcBorders>
              <w:bottom w:val="single" w:sz="8" w:color="1352DE"/>
            </w:tcBorders>
          </w:tcPr>
          <w:p>
            <w:pPr>
              <w:spacing w:after="0"/>
              <w:rPr>
                <w:sz w:val="14"/>
                <w:szCs w:val="14"/>
                <w:color w:val="auto"/>
              </w:rPr>
            </w:pPr>
          </w:p>
        </w:tc>
        <w:tc>
          <w:tcPr>
            <w:tcW w:w="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2,552</w:t>
            </w:r>
          </w:p>
        </w:tc>
        <w:tc>
          <w:tcPr>
            <w:tcW w:w="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4,201</w:t>
            </w:r>
          </w:p>
        </w:tc>
        <w:tc>
          <w:tcPr>
            <w:tcW w:w="0" w:type="dxa"/>
            <w:vAlign w:val="bottom"/>
          </w:tcPr>
          <w:p>
            <w:pPr>
              <w:spacing w:after="0"/>
              <w:rPr>
                <w:sz w:val="1"/>
                <w:szCs w:val="1"/>
                <w:color w:val="auto"/>
              </w:rPr>
            </w:pPr>
          </w:p>
        </w:tc>
      </w:tr>
      <w:tr>
        <w:trPr>
          <w:trHeight w:val="115"/>
        </w:trPr>
        <w:tc>
          <w:tcPr>
            <w:tcW w:w="4780" w:type="dxa"/>
            <w:vAlign w:val="bottom"/>
            <w:tcBorders>
              <w:bottom w:val="single" w:sz="8" w:color="1352DE"/>
            </w:tcBorders>
          </w:tcPr>
          <w:p>
            <w:pPr>
              <w:spacing w:after="0"/>
              <w:rPr>
                <w:sz w:val="10"/>
                <w:szCs w:val="10"/>
                <w:color w:val="auto"/>
              </w:rPr>
            </w:pPr>
          </w:p>
        </w:tc>
        <w:tc>
          <w:tcPr>
            <w:tcW w:w="160" w:type="dxa"/>
            <w:vAlign w:val="bottom"/>
            <w:tcBorders>
              <w:bottom w:val="single" w:sz="8" w:color="1352DE"/>
            </w:tcBorders>
          </w:tcPr>
          <w:p>
            <w:pPr>
              <w:spacing w:after="0"/>
              <w:rPr>
                <w:sz w:val="10"/>
                <w:szCs w:val="10"/>
                <w:color w:val="auto"/>
              </w:rPr>
            </w:pPr>
          </w:p>
        </w:tc>
        <w:tc>
          <w:tcPr>
            <w:tcW w:w="2340" w:type="dxa"/>
            <w:vAlign w:val="bottom"/>
            <w:tcBorders>
              <w:bottom w:val="single" w:sz="8" w:color="1352DE"/>
            </w:tcBorders>
            <w:gridSpan w:val="7"/>
          </w:tcPr>
          <w:p>
            <w:pPr>
              <w:spacing w:after="0"/>
              <w:rPr>
                <w:sz w:val="10"/>
                <w:szCs w:val="10"/>
                <w:color w:val="auto"/>
              </w:rPr>
            </w:pPr>
          </w:p>
        </w:tc>
        <w:tc>
          <w:tcPr>
            <w:tcW w:w="480" w:type="dxa"/>
            <w:vAlign w:val="bottom"/>
            <w:tcBorders>
              <w:bottom w:val="single" w:sz="8" w:color="1352DE"/>
            </w:tcBorders>
          </w:tcPr>
          <w:p>
            <w:pPr>
              <w:spacing w:after="0"/>
              <w:rPr>
                <w:sz w:val="10"/>
                <w:szCs w:val="10"/>
                <w:color w:val="auto"/>
              </w:rPr>
            </w:pPr>
          </w:p>
        </w:tc>
        <w:tc>
          <w:tcPr>
            <w:tcW w:w="440" w:type="dxa"/>
            <w:vAlign w:val="bottom"/>
            <w:tcBorders>
              <w:bottom w:val="single" w:sz="8" w:color="1352DE"/>
            </w:tcBorders>
          </w:tcPr>
          <w:p>
            <w:pPr>
              <w:spacing w:after="0"/>
              <w:rPr>
                <w:sz w:val="10"/>
                <w:szCs w:val="10"/>
                <w:color w:val="auto"/>
              </w:rPr>
            </w:pPr>
          </w:p>
        </w:tc>
        <w:tc>
          <w:tcPr>
            <w:tcW w:w="20" w:type="dxa"/>
            <w:vAlign w:val="bottom"/>
            <w:tcBorders>
              <w:bottom w:val="single" w:sz="8" w:color="1352DE"/>
            </w:tcBorders>
          </w:tcPr>
          <w:p>
            <w:pPr>
              <w:spacing w:after="0"/>
              <w:rPr>
                <w:sz w:val="10"/>
                <w:szCs w:val="10"/>
                <w:color w:val="auto"/>
              </w:rPr>
            </w:pPr>
          </w:p>
        </w:tc>
        <w:tc>
          <w:tcPr>
            <w:tcW w:w="140" w:type="dxa"/>
            <w:vAlign w:val="bottom"/>
            <w:tcBorders>
              <w:bottom w:val="single" w:sz="8" w:color="1352DE"/>
            </w:tcBorders>
          </w:tcPr>
          <w:p>
            <w:pPr>
              <w:spacing w:after="0"/>
              <w:rPr>
                <w:sz w:val="10"/>
                <w:szCs w:val="10"/>
                <w:color w:val="auto"/>
              </w:rPr>
            </w:pPr>
          </w:p>
        </w:tc>
        <w:tc>
          <w:tcPr>
            <w:tcW w:w="2400" w:type="dxa"/>
            <w:vAlign w:val="bottom"/>
            <w:tcBorders>
              <w:bottom w:val="single" w:sz="8" w:color="1352DE"/>
            </w:tcBorders>
            <w:gridSpan w:val="7"/>
          </w:tcPr>
          <w:p>
            <w:pPr>
              <w:spacing w:after="0"/>
              <w:rPr>
                <w:sz w:val="10"/>
                <w:szCs w:val="10"/>
                <w:color w:val="auto"/>
              </w:rPr>
            </w:pPr>
          </w:p>
        </w:tc>
        <w:tc>
          <w:tcPr>
            <w:tcW w:w="460" w:type="dxa"/>
            <w:vAlign w:val="bottom"/>
            <w:tcBorders>
              <w:bottom w:val="single" w:sz="8" w:color="1352DE"/>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rPr>
                <w:sz w:val="20"/>
                <w:szCs w:val="20"/>
                <w:color w:val="auto"/>
              </w:rPr>
            </w:pPr>
            <w:r>
              <w:rPr>
                <w:rFonts w:ascii="Arial" w:cs="Arial" w:eastAsia="Arial" w:hAnsi="Arial"/>
                <w:sz w:val="12"/>
                <w:szCs w:val="12"/>
                <w:b w:val="1"/>
                <w:bCs w:val="1"/>
                <w:color w:val="1252DE"/>
              </w:rPr>
              <w:t>Other Operations</w:t>
            </w:r>
          </w:p>
        </w:tc>
        <w:tc>
          <w:tcPr>
            <w:tcW w:w="160" w:type="dxa"/>
            <w:vAlign w:val="bottom"/>
            <w:tcBorders>
              <w:bottom w:val="single" w:sz="8" w:color="1352DE"/>
            </w:tcBorders>
          </w:tcPr>
          <w:p>
            <w:pPr>
              <w:spacing w:after="0"/>
              <w:rPr>
                <w:sz w:val="15"/>
                <w:szCs w:val="15"/>
                <w:color w:val="auto"/>
              </w:rPr>
            </w:pPr>
          </w:p>
        </w:tc>
        <w:tc>
          <w:tcPr>
            <w:tcW w:w="2340" w:type="dxa"/>
            <w:vAlign w:val="bottom"/>
            <w:tcBorders>
              <w:bottom w:val="single" w:sz="8" w:color="1352DE"/>
            </w:tcBorders>
            <w:gridSpan w:val="7"/>
          </w:tcPr>
          <w:p>
            <w:pPr>
              <w:jc w:val="right"/>
              <w:ind w:right="2"/>
              <w:spacing w:after="0"/>
              <w:rPr>
                <w:sz w:val="20"/>
                <w:szCs w:val="20"/>
                <w:color w:val="auto"/>
              </w:rPr>
            </w:pPr>
            <w:r>
              <w:rPr>
                <w:rFonts w:ascii="Arial" w:cs="Arial" w:eastAsia="Arial" w:hAnsi="Arial"/>
                <w:sz w:val="12"/>
                <w:szCs w:val="12"/>
                <w:color w:val="1252DE"/>
              </w:rPr>
              <w:t>Three Months Ended September 30,</w:t>
            </w:r>
          </w:p>
        </w:tc>
        <w:tc>
          <w:tcPr>
            <w:tcW w:w="480" w:type="dxa"/>
            <w:vAlign w:val="bottom"/>
            <w:tcBorders>
              <w:bottom w:val="single" w:sz="8" w:color="1352DE"/>
            </w:tcBorders>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2400" w:type="dxa"/>
            <w:vAlign w:val="bottom"/>
            <w:tcBorders>
              <w:bottom w:val="single" w:sz="8" w:color="1352DE"/>
            </w:tcBorders>
            <w:gridSpan w:val="7"/>
          </w:tcPr>
          <w:p>
            <w:pPr>
              <w:ind w:left="460"/>
              <w:spacing w:after="0"/>
              <w:rPr>
                <w:sz w:val="20"/>
                <w:szCs w:val="20"/>
                <w:color w:val="auto"/>
              </w:rPr>
            </w:pPr>
            <w:r>
              <w:rPr>
                <w:rFonts w:ascii="Arial" w:cs="Arial" w:eastAsia="Arial" w:hAnsi="Arial"/>
                <w:sz w:val="12"/>
                <w:szCs w:val="12"/>
                <w:color w:val="1252DE"/>
              </w:rPr>
              <w:t>Nine Months Ended September 30,</w:t>
            </w:r>
          </w:p>
        </w:tc>
        <w:tc>
          <w:tcPr>
            <w:tcW w:w="460" w:type="dxa"/>
            <w:vAlign w:val="bottom"/>
            <w:tcBorders>
              <w:bottom w:val="single" w:sz="8" w:color="1352DE"/>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60" w:type="dxa"/>
            <w:vAlign w:val="bottom"/>
            <w:tcBorders>
              <w:bottom w:val="single" w:sz="8" w:color="1352DE"/>
            </w:tcBorders>
          </w:tcPr>
          <w:p>
            <w:pPr>
              <w:spacing w:after="0"/>
              <w:rPr>
                <w:sz w:val="14"/>
                <w:szCs w:val="14"/>
                <w:color w:val="auto"/>
              </w:rPr>
            </w:pPr>
          </w:p>
        </w:tc>
        <w:tc>
          <w:tcPr>
            <w:tcW w:w="800" w:type="dxa"/>
            <w:vAlign w:val="bottom"/>
            <w:tcBorders>
              <w:bottom w:val="single" w:sz="8" w:color="1352DE"/>
            </w:tcBorders>
            <w:gridSpan w:val="2"/>
          </w:tcPr>
          <w:p>
            <w:pPr>
              <w:jc w:val="right"/>
              <w:ind w:right="62"/>
              <w:spacing w:after="0"/>
              <w:rPr>
                <w:sz w:val="20"/>
                <w:szCs w:val="20"/>
                <w:color w:val="auto"/>
              </w:rPr>
            </w:pPr>
            <w:r>
              <w:rPr>
                <w:rFonts w:ascii="Arial" w:cs="Arial" w:eastAsia="Arial" w:hAnsi="Arial"/>
                <w:sz w:val="12"/>
                <w:szCs w:val="12"/>
                <w:b w:val="1"/>
                <w:bCs w:val="1"/>
                <w:color w:val="1252DE"/>
              </w:rPr>
              <w:t>2026</w:t>
            </w:r>
          </w:p>
        </w:tc>
        <w:tc>
          <w:tcPr>
            <w:tcW w:w="460" w:type="dxa"/>
            <w:vAlign w:val="bottom"/>
            <w:tcBorders>
              <w:bottom w:val="single" w:sz="8" w:color="1352DE"/>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800" w:type="dxa"/>
            <w:vAlign w:val="bottom"/>
            <w:tcBorders>
              <w:bottom w:val="single" w:sz="8" w:color="1352DE"/>
            </w:tcBorders>
            <w:gridSpan w:val="2"/>
          </w:tcPr>
          <w:p>
            <w:pPr>
              <w:jc w:val="right"/>
              <w:ind w:right="42"/>
              <w:spacing w:after="0"/>
              <w:rPr>
                <w:sz w:val="20"/>
                <w:szCs w:val="20"/>
                <w:color w:val="auto"/>
              </w:rPr>
            </w:pPr>
            <w:r>
              <w:rPr>
                <w:rFonts w:ascii="Arial" w:cs="Arial" w:eastAsia="Arial" w:hAnsi="Arial"/>
                <w:sz w:val="12"/>
                <w:szCs w:val="12"/>
                <w:color w:val="1252DE"/>
              </w:rPr>
              <w:t>2025</w:t>
            </w:r>
          </w:p>
        </w:tc>
        <w:tc>
          <w:tcPr>
            <w:tcW w:w="480" w:type="dxa"/>
            <w:vAlign w:val="bottom"/>
            <w:tcBorders>
              <w:bottom w:val="single" w:sz="8" w:color="1352DE"/>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1352DE"/>
            </w:tcBorders>
          </w:tcPr>
          <w:p>
            <w:pPr>
              <w:spacing w:after="0"/>
              <w:rPr>
                <w:sz w:val="14"/>
                <w:szCs w:val="14"/>
                <w:color w:val="auto"/>
              </w:rPr>
            </w:pPr>
          </w:p>
        </w:tc>
        <w:tc>
          <w:tcPr>
            <w:tcW w:w="820" w:type="dxa"/>
            <w:vAlign w:val="bottom"/>
            <w:tcBorders>
              <w:bottom w:val="single" w:sz="8" w:color="1352DE"/>
            </w:tcBorders>
            <w:gridSpan w:val="2"/>
          </w:tcPr>
          <w:p>
            <w:pPr>
              <w:ind w:left="440"/>
              <w:spacing w:after="0"/>
              <w:rPr>
                <w:sz w:val="20"/>
                <w:szCs w:val="20"/>
                <w:color w:val="auto"/>
              </w:rPr>
            </w:pPr>
            <w:r>
              <w:rPr>
                <w:rFonts w:ascii="Arial" w:cs="Arial" w:eastAsia="Arial" w:hAnsi="Arial"/>
                <w:sz w:val="12"/>
                <w:szCs w:val="12"/>
                <w:b w:val="1"/>
                <w:bCs w:val="1"/>
                <w:color w:val="1252DE"/>
              </w:rPr>
              <w:t>2026</w:t>
            </w:r>
          </w:p>
        </w:tc>
        <w:tc>
          <w:tcPr>
            <w:tcW w:w="460" w:type="dxa"/>
            <w:vAlign w:val="bottom"/>
            <w:tcBorders>
              <w:bottom w:val="single" w:sz="8" w:color="1352DE"/>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1352DE"/>
            </w:tcBorders>
          </w:tcPr>
          <w:p>
            <w:pPr>
              <w:spacing w:after="0"/>
              <w:rPr>
                <w:sz w:val="14"/>
                <w:szCs w:val="14"/>
                <w:color w:val="auto"/>
              </w:rPr>
            </w:pPr>
          </w:p>
        </w:tc>
        <w:tc>
          <w:tcPr>
            <w:tcW w:w="820" w:type="dxa"/>
            <w:vAlign w:val="bottom"/>
            <w:tcBorders>
              <w:bottom w:val="single" w:sz="8" w:color="1352DE"/>
            </w:tcBorders>
            <w:gridSpan w:val="2"/>
          </w:tcPr>
          <w:p>
            <w:pPr>
              <w:jc w:val="right"/>
              <w:ind w:right="62"/>
              <w:spacing w:after="0"/>
              <w:rPr>
                <w:sz w:val="20"/>
                <w:szCs w:val="20"/>
                <w:color w:val="auto"/>
              </w:rPr>
            </w:pPr>
            <w:r>
              <w:rPr>
                <w:rFonts w:ascii="Arial" w:cs="Arial" w:eastAsia="Arial" w:hAnsi="Arial"/>
                <w:sz w:val="12"/>
                <w:szCs w:val="12"/>
                <w:color w:val="1252DE"/>
              </w:rPr>
              <w:t>2025</w:t>
            </w:r>
          </w:p>
        </w:tc>
        <w:tc>
          <w:tcPr>
            <w:tcW w:w="460" w:type="dxa"/>
            <w:vAlign w:val="bottom"/>
            <w:tcBorders>
              <w:bottom w:val="single" w:sz="8" w:color="1352DE"/>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1252DE"/>
              </w:rPr>
              <w:t>Net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1252DE"/>
              </w:rPr>
              <w:t>Net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1252DE"/>
              </w:rPr>
              <w:t>Net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1252DE"/>
              </w:rPr>
              <w:t>Net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Arial" w:cs="Arial" w:eastAsia="Arial" w:hAnsi="Arial"/>
                <w:sz w:val="12"/>
                <w:szCs w:val="12"/>
                <w:color w:val="1252DE"/>
              </w:rPr>
              <w:t>Investment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rPr>
              <w:t>Pre-tax</w:t>
            </w:r>
          </w:p>
        </w:tc>
        <w:tc>
          <w:tcPr>
            <w:tcW w:w="14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2"/>
                <w:szCs w:val="12"/>
                <w:color w:val="1252DE"/>
              </w:rPr>
              <w:t>Investment</w:t>
            </w:r>
          </w:p>
        </w:tc>
        <w:tc>
          <w:tcPr>
            <w:tcW w:w="140" w:type="dxa"/>
            <w:vAlign w:val="bottom"/>
          </w:tcPr>
          <w:p>
            <w:pPr>
              <w:spacing w:after="0"/>
              <w:rPr>
                <w:sz w:val="10"/>
                <w:szCs w:val="10"/>
                <w:color w:val="auto"/>
              </w:rPr>
            </w:pPr>
          </w:p>
        </w:tc>
        <w:tc>
          <w:tcPr>
            <w:tcW w:w="920" w:type="dxa"/>
            <w:vAlign w:val="bottom"/>
            <w:gridSpan w:val="2"/>
          </w:tcPr>
          <w:p>
            <w:pPr>
              <w:jc w:val="right"/>
              <w:ind w:right="460"/>
              <w:spacing w:after="0" w:line="116" w:lineRule="exact"/>
              <w:rPr>
                <w:sz w:val="20"/>
                <w:szCs w:val="20"/>
                <w:color w:val="auto"/>
              </w:rPr>
            </w:pPr>
            <w:r>
              <w:rPr>
                <w:rFonts w:ascii="Arial" w:cs="Arial" w:eastAsia="Arial" w:hAnsi="Arial"/>
                <w:sz w:val="12"/>
                <w:szCs w:val="12"/>
                <w:color w:val="1252DE"/>
              </w:rPr>
              <w:t>Pre-tax</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2"/>
                <w:szCs w:val="12"/>
                <w:color w:val="1252DE"/>
              </w:rPr>
              <w:t>Investment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16" w:lineRule="exact"/>
              <w:rPr>
                <w:sz w:val="20"/>
                <w:szCs w:val="20"/>
                <w:color w:val="auto"/>
              </w:rPr>
            </w:pPr>
            <w:r>
              <w:rPr>
                <w:rFonts w:ascii="Arial" w:cs="Arial" w:eastAsia="Arial" w:hAnsi="Arial"/>
                <w:sz w:val="12"/>
                <w:szCs w:val="12"/>
                <w:color w:val="1252DE"/>
              </w:rPr>
              <w:t>Pre-tax</w:t>
            </w:r>
          </w:p>
        </w:tc>
        <w:tc>
          <w:tcPr>
            <w:tcW w:w="16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2"/>
                <w:szCs w:val="12"/>
                <w:color w:val="1252DE"/>
              </w:rPr>
              <w:t>Investment</w:t>
            </w:r>
          </w:p>
        </w:tc>
        <w:tc>
          <w:tcPr>
            <w:tcW w:w="16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Arial" w:cs="Arial" w:eastAsia="Arial" w:hAnsi="Arial"/>
                <w:sz w:val="12"/>
                <w:szCs w:val="12"/>
                <w:color w:val="1252DE"/>
              </w:rPr>
              <w:t>Pre-tax</w:t>
            </w:r>
          </w:p>
        </w:tc>
        <w:tc>
          <w:tcPr>
            <w:tcW w:w="0" w:type="dxa"/>
            <w:vAlign w:val="bottom"/>
          </w:tcPr>
          <w:p>
            <w:pPr>
              <w:spacing w:after="0"/>
              <w:rPr>
                <w:sz w:val="1"/>
                <w:szCs w:val="1"/>
                <w:color w:val="auto"/>
              </w:rPr>
            </w:pPr>
          </w:p>
        </w:tc>
      </w:tr>
      <w:tr>
        <w:trPr>
          <w:trHeight w:val="122"/>
        </w:trPr>
        <w:tc>
          <w:tcPr>
            <w:tcW w:w="4780" w:type="dxa"/>
            <w:vAlign w:val="bottom"/>
            <w:vMerge w:val="restart"/>
          </w:tcPr>
          <w:p>
            <w:pPr>
              <w:ind w:left="20"/>
              <w:spacing w:after="0"/>
              <w:rPr>
                <w:sz w:val="20"/>
                <w:szCs w:val="20"/>
                <w:color w:val="auto"/>
              </w:rPr>
            </w:pPr>
            <w:r>
              <w:rPr>
                <w:rFonts w:ascii="Arial" w:cs="Arial" w:eastAsia="Arial" w:hAnsi="Arial"/>
                <w:sz w:val="12"/>
                <w:szCs w:val="12"/>
                <w:i w:val="1"/>
                <w:iCs w:val="1"/>
                <w:color w:val="1252DE"/>
              </w:rPr>
              <w:t>(in millions)</w:t>
            </w:r>
          </w:p>
        </w:tc>
        <w:tc>
          <w:tcPr>
            <w:tcW w:w="1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2"/>
                <w:szCs w:val="12"/>
                <w:color w:val="1252DE"/>
              </w:rPr>
              <w:t>Income</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rPr>
              <w:t>Income</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2"/>
                <w:szCs w:val="12"/>
                <w:color w:val="1252DE"/>
              </w:rPr>
              <w:t>Income</w:t>
            </w:r>
          </w:p>
        </w:tc>
        <w:tc>
          <w:tcPr>
            <w:tcW w:w="140" w:type="dxa"/>
            <w:vAlign w:val="bottom"/>
          </w:tcPr>
          <w:p>
            <w:pPr>
              <w:spacing w:after="0"/>
              <w:rPr>
                <w:sz w:val="10"/>
                <w:szCs w:val="10"/>
                <w:color w:val="auto"/>
              </w:rPr>
            </w:pPr>
          </w:p>
        </w:tc>
        <w:tc>
          <w:tcPr>
            <w:tcW w:w="920" w:type="dxa"/>
            <w:vAlign w:val="bottom"/>
            <w:gridSpan w:val="2"/>
          </w:tcPr>
          <w:p>
            <w:pPr>
              <w:jc w:val="right"/>
              <w:ind w:right="460"/>
              <w:spacing w:after="0" w:line="122" w:lineRule="exact"/>
              <w:rPr>
                <w:sz w:val="20"/>
                <w:szCs w:val="20"/>
                <w:color w:val="auto"/>
              </w:rPr>
            </w:pPr>
            <w:r>
              <w:rPr>
                <w:rFonts w:ascii="Arial" w:cs="Arial" w:eastAsia="Arial" w:hAnsi="Arial"/>
                <w:sz w:val="12"/>
                <w:szCs w:val="12"/>
                <w:color w:val="1252DE"/>
              </w:rPr>
              <w:t>Income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2"/>
                <w:szCs w:val="12"/>
                <w:color w:val="1252DE"/>
              </w:rPr>
              <w:t>Income</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1252DE"/>
              </w:rPr>
              <w:t>Income</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2"/>
                <w:szCs w:val="12"/>
                <w:color w:val="1252DE"/>
              </w:rPr>
              <w:t>Income</w:t>
            </w:r>
          </w:p>
        </w:tc>
        <w:tc>
          <w:tcPr>
            <w:tcW w:w="1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2"/>
                <w:szCs w:val="12"/>
                <w:color w:val="1252DE"/>
              </w:rPr>
              <w:t>Income</w:t>
            </w:r>
          </w:p>
        </w:tc>
        <w:tc>
          <w:tcPr>
            <w:tcW w:w="0" w:type="dxa"/>
            <w:vAlign w:val="bottom"/>
          </w:tcPr>
          <w:p>
            <w:pPr>
              <w:spacing w:after="0"/>
              <w:rPr>
                <w:sz w:val="1"/>
                <w:szCs w:val="1"/>
                <w:color w:val="auto"/>
              </w:rPr>
            </w:pPr>
          </w:p>
        </w:tc>
      </w:tr>
      <w:tr>
        <w:trPr>
          <w:trHeight w:val="157"/>
        </w:trPr>
        <w:tc>
          <w:tcPr>
            <w:tcW w:w="4780" w:type="dxa"/>
            <w:vAlign w:val="bottom"/>
            <w:tcBorders>
              <w:bottom w:val="single" w:sz="8" w:color="1352DE"/>
            </w:tcBorders>
            <w:vMerge w:val="continue"/>
          </w:tcPr>
          <w:p>
            <w:pPr>
              <w:spacing w:after="0"/>
              <w:rPr>
                <w:sz w:val="13"/>
                <w:szCs w:val="13"/>
                <w:color w:val="auto"/>
              </w:rPr>
            </w:pPr>
          </w:p>
        </w:tc>
        <w:tc>
          <w:tcPr>
            <w:tcW w:w="160" w:type="dxa"/>
            <w:vAlign w:val="bottom"/>
            <w:tcBorders>
              <w:bottom w:val="single" w:sz="8" w:color="1352DE"/>
            </w:tcBorders>
          </w:tcPr>
          <w:p>
            <w:pPr>
              <w:spacing w:after="0"/>
              <w:rPr>
                <w:sz w:val="13"/>
                <w:szCs w:val="13"/>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and Other</w:t>
            </w:r>
          </w:p>
        </w:tc>
        <w:tc>
          <w:tcPr>
            <w:tcW w:w="160" w:type="dxa"/>
            <w:vAlign w:val="bottom"/>
            <w:tcBorders>
              <w:bottom w:val="single" w:sz="8" w:color="1352DE"/>
            </w:tcBorders>
          </w:tcPr>
          <w:p>
            <w:pPr>
              <w:spacing w:after="0"/>
              <w:rPr>
                <w:sz w:val="13"/>
                <w:szCs w:val="13"/>
                <w:color w:val="auto"/>
              </w:rPr>
            </w:pPr>
          </w:p>
        </w:tc>
        <w:tc>
          <w:tcPr>
            <w:tcW w:w="60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2"/>
                <w:szCs w:val="12"/>
                <w:color w:val="1252DE"/>
              </w:rPr>
              <w:t>(Loss)</w:t>
            </w:r>
          </w:p>
        </w:tc>
        <w:tc>
          <w:tcPr>
            <w:tcW w:w="140" w:type="dxa"/>
            <w:vAlign w:val="bottom"/>
            <w:tcBorders>
              <w:bottom w:val="single" w:sz="8" w:color="1352DE"/>
            </w:tcBorders>
          </w:tcPr>
          <w:p>
            <w:pPr>
              <w:spacing w:after="0"/>
              <w:rPr>
                <w:sz w:val="13"/>
                <w:szCs w:val="13"/>
                <w:color w:val="auto"/>
              </w:rPr>
            </w:pPr>
          </w:p>
        </w:tc>
        <w:tc>
          <w:tcPr>
            <w:tcW w:w="6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and Other</w:t>
            </w:r>
          </w:p>
        </w:tc>
        <w:tc>
          <w:tcPr>
            <w:tcW w:w="140" w:type="dxa"/>
            <w:vAlign w:val="bottom"/>
            <w:tcBorders>
              <w:bottom w:val="single" w:sz="8" w:color="1352DE"/>
            </w:tcBorders>
          </w:tcPr>
          <w:p>
            <w:pPr>
              <w:spacing w:after="0"/>
              <w:rPr>
                <w:sz w:val="13"/>
                <w:szCs w:val="13"/>
                <w:color w:val="auto"/>
              </w:rPr>
            </w:pPr>
          </w:p>
        </w:tc>
        <w:tc>
          <w:tcPr>
            <w:tcW w:w="920" w:type="dxa"/>
            <w:vAlign w:val="bottom"/>
            <w:tcBorders>
              <w:bottom w:val="single" w:sz="8" w:color="1352DE"/>
            </w:tcBorders>
            <w:gridSpan w:val="2"/>
          </w:tcPr>
          <w:p>
            <w:pPr>
              <w:jc w:val="right"/>
              <w:ind w:right="460"/>
              <w:spacing w:after="0"/>
              <w:rPr>
                <w:sz w:val="20"/>
                <w:szCs w:val="20"/>
                <w:color w:val="auto"/>
              </w:rPr>
            </w:pPr>
            <w:r>
              <w:rPr>
                <w:rFonts w:ascii="Arial" w:cs="Arial" w:eastAsia="Arial" w:hAnsi="Arial"/>
                <w:sz w:val="12"/>
                <w:szCs w:val="12"/>
                <w:color w:val="1252DE"/>
              </w:rPr>
              <w:t>(Loss)</w:t>
            </w:r>
          </w:p>
        </w:tc>
        <w:tc>
          <w:tcPr>
            <w:tcW w:w="20" w:type="dxa"/>
            <w:vAlign w:val="bottom"/>
            <w:tcBorders>
              <w:bottom w:val="single" w:sz="8" w:color="1352DE"/>
            </w:tcBorders>
          </w:tcPr>
          <w:p>
            <w:pPr>
              <w:spacing w:after="0"/>
              <w:rPr>
                <w:sz w:val="13"/>
                <w:szCs w:val="13"/>
                <w:color w:val="auto"/>
              </w:rPr>
            </w:pPr>
          </w:p>
        </w:tc>
        <w:tc>
          <w:tcPr>
            <w:tcW w:w="140" w:type="dxa"/>
            <w:vAlign w:val="bottom"/>
            <w:tcBorders>
              <w:bottom w:val="single" w:sz="8" w:color="1352DE"/>
            </w:tcBorders>
          </w:tcPr>
          <w:p>
            <w:pPr>
              <w:spacing w:after="0"/>
              <w:rPr>
                <w:sz w:val="13"/>
                <w:szCs w:val="13"/>
                <w:color w:val="auto"/>
              </w:rPr>
            </w:pPr>
          </w:p>
        </w:tc>
        <w:tc>
          <w:tcPr>
            <w:tcW w:w="6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and Other</w:t>
            </w:r>
          </w:p>
        </w:tc>
        <w:tc>
          <w:tcPr>
            <w:tcW w:w="160" w:type="dxa"/>
            <w:vAlign w:val="bottom"/>
            <w:tcBorders>
              <w:bottom w:val="single" w:sz="8" w:color="1352DE"/>
            </w:tcBorders>
          </w:tcPr>
          <w:p>
            <w:pPr>
              <w:spacing w:after="0"/>
              <w:rPr>
                <w:sz w:val="13"/>
                <w:szCs w:val="13"/>
                <w:color w:val="auto"/>
              </w:rPr>
            </w:pPr>
          </w:p>
        </w:tc>
        <w:tc>
          <w:tcPr>
            <w:tcW w:w="60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2"/>
                <w:szCs w:val="12"/>
                <w:color w:val="1252DE"/>
              </w:rPr>
              <w:t>(Loss)</w:t>
            </w:r>
          </w:p>
        </w:tc>
        <w:tc>
          <w:tcPr>
            <w:tcW w:w="160" w:type="dxa"/>
            <w:vAlign w:val="bottom"/>
            <w:tcBorders>
              <w:bottom w:val="single" w:sz="8" w:color="1352DE"/>
            </w:tcBorders>
          </w:tcPr>
          <w:p>
            <w:pPr>
              <w:spacing w:after="0"/>
              <w:rPr>
                <w:sz w:val="13"/>
                <w:szCs w:val="13"/>
                <w:color w:val="auto"/>
              </w:rPr>
            </w:pPr>
          </w:p>
        </w:tc>
        <w:tc>
          <w:tcPr>
            <w:tcW w:w="6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and Other</w:t>
            </w:r>
          </w:p>
        </w:tc>
        <w:tc>
          <w:tcPr>
            <w:tcW w:w="160" w:type="dxa"/>
            <w:vAlign w:val="bottom"/>
            <w:tcBorders>
              <w:bottom w:val="single" w:sz="8" w:color="1352DE"/>
            </w:tcBorders>
          </w:tcPr>
          <w:p>
            <w:pPr>
              <w:spacing w:after="0"/>
              <w:rPr>
                <w:sz w:val="13"/>
                <w:szCs w:val="13"/>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1252DE"/>
              </w:rPr>
              <w:t>(Loss)</w:t>
            </w:r>
          </w:p>
        </w:tc>
        <w:tc>
          <w:tcPr>
            <w:tcW w:w="0" w:type="dxa"/>
            <w:vAlign w:val="bottom"/>
          </w:tcPr>
          <w:p>
            <w:pPr>
              <w:spacing w:after="0"/>
              <w:rPr>
                <w:sz w:val="1"/>
                <w:szCs w:val="1"/>
                <w:color w:val="auto"/>
              </w:rPr>
            </w:pPr>
          </w:p>
        </w:tc>
      </w:tr>
      <w:tr>
        <w:trPr>
          <w:trHeight w:val="178"/>
        </w:trPr>
        <w:tc>
          <w:tcPr>
            <w:tcW w:w="4780" w:type="dxa"/>
            <w:vAlign w:val="bottom"/>
          </w:tcPr>
          <w:p>
            <w:pPr>
              <w:ind w:left="20"/>
              <w:spacing w:after="0"/>
              <w:rPr>
                <w:sz w:val="20"/>
                <w:szCs w:val="20"/>
                <w:color w:val="auto"/>
              </w:rPr>
            </w:pPr>
            <w:r>
              <w:rPr>
                <w:rFonts w:ascii="Arial" w:cs="Arial" w:eastAsia="Arial" w:hAnsi="Arial"/>
                <w:sz w:val="12"/>
                <w:szCs w:val="12"/>
                <w:b w:val="1"/>
                <w:bCs w:val="1"/>
                <w:color w:val="1352DE"/>
              </w:rPr>
              <w:t>Net investment income and other/Pre-tax income (loss)</w:t>
            </w:r>
            <w:r>
              <w:rPr>
                <w:rFonts w:ascii="Arial" w:cs="Arial" w:eastAsia="Arial" w:hAnsi="Arial"/>
                <w:sz w:val="15"/>
                <w:szCs w:val="15"/>
                <w:b w:val="1"/>
                <w:bCs w:val="1"/>
                <w:color w:val="1352DE"/>
                <w:vertAlign w:val="superscript"/>
              </w:rPr>
              <w:t>(a)</w:t>
            </w:r>
          </w:p>
        </w:tc>
        <w:tc>
          <w:tcPr>
            <w:tcW w:w="16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70</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1252DE"/>
                <w:w w:val="89"/>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(79)</w:t>
            </w:r>
          </w:p>
        </w:tc>
        <w:tc>
          <w:tcPr>
            <w:tcW w:w="140" w:type="dxa"/>
            <w:vAlign w:val="bottom"/>
          </w:tcPr>
          <w:p>
            <w:pPr>
              <w:spacing w:after="0"/>
              <w:rPr>
                <w:sz w:val="15"/>
                <w:szCs w:val="15"/>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(226)</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(470)</w:t>
            </w:r>
          </w:p>
        </w:tc>
        <w:tc>
          <w:tcPr>
            <w:tcW w:w="44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1352DE"/>
              </w:rPr>
              <w:t>$</w:t>
            </w: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185</w:t>
            </w: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1352DE"/>
                <w:w w:val="89"/>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1352DE"/>
              </w:rPr>
              <w:t>(512)</w:t>
            </w:r>
          </w:p>
        </w:tc>
        <w:tc>
          <w:tcPr>
            <w:tcW w:w="140" w:type="dxa"/>
            <w:vAlign w:val="bottom"/>
          </w:tcPr>
          <w:p>
            <w:pPr>
              <w:spacing w:after="0"/>
              <w:rPr>
                <w:sz w:val="15"/>
                <w:szCs w:val="15"/>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734</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Arial" w:cs="Arial" w:eastAsia="Arial" w:hAnsi="Arial"/>
                <w:sz w:val="12"/>
                <w:szCs w:val="12"/>
                <w:color w:val="auto"/>
              </w:rPr>
              <w:t>Consolidation and Eliminations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2</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2</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rPr>
                <w:sz w:val="20"/>
                <w:szCs w:val="20"/>
                <w:color w:val="auto"/>
              </w:rPr>
            </w:pPr>
            <w:r>
              <w:rPr>
                <w:rFonts w:ascii="Arial" w:cs="Arial" w:eastAsia="Arial" w:hAnsi="Arial"/>
                <w:sz w:val="12"/>
                <w:szCs w:val="12"/>
                <w:color w:val="auto"/>
              </w:rPr>
              <w:t>Other income (expense) - net</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1</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4</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Changes in the fair values of equity securities and AIG's investment in Corebridge</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1252DE"/>
              </w:rPr>
              <w:t>(2)</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334</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334</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50</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50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(323)</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Gain on extinguishment of debt</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Net investment income on Fortitude Re funds withheld assets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1252DE"/>
              </w:rPr>
              <w:t>(16)</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(29)</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440"/>
              <w:spacing w:after="0"/>
              <w:rPr>
                <w:sz w:val="20"/>
                <w:szCs w:val="20"/>
                <w:color w:val="auto"/>
              </w:rPr>
            </w:pPr>
            <w:r>
              <w:rPr>
                <w:rFonts w:ascii="Arial" w:cs="Arial" w:eastAsia="Arial" w:hAnsi="Arial"/>
                <w:sz w:val="12"/>
                <w:szCs w:val="12"/>
                <w:b w:val="1"/>
                <w:bCs w:val="1"/>
                <w:color w:val="1352DE"/>
                <w:w w:val="93"/>
              </w:rPr>
              <w:t>(75)</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352DE"/>
              </w:rPr>
              <w:t>(75)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(109)</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rPr>
                <w:sz w:val="20"/>
                <w:szCs w:val="20"/>
                <w:color w:val="auto"/>
              </w:rPr>
            </w:pPr>
            <w:r>
              <w:rPr>
                <w:rFonts w:ascii="Arial" w:cs="Arial" w:eastAsia="Arial" w:hAnsi="Arial"/>
                <w:sz w:val="12"/>
                <w:szCs w:val="12"/>
                <w:color w:val="auto"/>
              </w:rPr>
              <w:t>Net realized (gains) losses on Fortitude Re funds withheld assets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28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6</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48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Net realized (gains) losses on Fortitude Re funds withheld embedded derivative</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(85)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54</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352DE"/>
              </w:rPr>
              <w:t>(44)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Net realized (gains) losses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352DE"/>
              </w:rPr>
              <w:t>(20)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Net (gain) loss on divestitures and other</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124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Non-operating litigation reserves and settlements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252DE"/>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26"/>
        </w:trPr>
        <w:tc>
          <w:tcPr>
            <w:tcW w:w="4780" w:type="dxa"/>
            <w:vAlign w:val="bottom"/>
          </w:tcPr>
          <w:p>
            <w:pPr>
              <w:ind w:left="20"/>
              <w:spacing w:after="0" w:line="126" w:lineRule="exact"/>
              <w:rPr>
                <w:sz w:val="20"/>
                <w:szCs w:val="20"/>
                <w:color w:val="auto"/>
              </w:rPr>
            </w:pPr>
            <w:r>
              <w:rPr>
                <w:rFonts w:ascii="Arial" w:cs="Arial" w:eastAsia="Arial" w:hAnsi="Arial"/>
                <w:sz w:val="12"/>
                <w:szCs w:val="12"/>
                <w:color w:val="auto"/>
              </w:rPr>
              <w:t>Unfavorable (favorable) prior year development and related amortization changes ceded</w:t>
            </w:r>
          </w:p>
        </w:tc>
        <w:tc>
          <w:tcPr>
            <w:tcW w:w="16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1252DE"/>
              </w:rPr>
              <w:t>(8)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(16)</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1352DE"/>
              </w:rPr>
              <w:t>(31)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80" w:type="dxa"/>
            <w:vAlign w:val="bottom"/>
          </w:tcPr>
          <w:p>
            <w:pPr>
              <w:ind w:left="140"/>
              <w:spacing w:after="0"/>
              <w:rPr>
                <w:sz w:val="20"/>
                <w:szCs w:val="20"/>
                <w:color w:val="auto"/>
              </w:rPr>
            </w:pPr>
            <w:r>
              <w:rPr>
                <w:rFonts w:ascii="Arial" w:cs="Arial" w:eastAsia="Arial" w:hAnsi="Arial"/>
                <w:sz w:val="12"/>
                <w:szCs w:val="12"/>
                <w:color w:val="auto"/>
              </w:rPr>
              <w:t>under retroactive reinsurance agreements</w:t>
            </w: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Net results of businesses in run-off</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1252DE"/>
              </w:rPr>
              <w:t>(10)</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252DE"/>
              </w:rPr>
              <w:t>12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440"/>
              <w:spacing w:after="0"/>
              <w:rPr>
                <w:sz w:val="20"/>
                <w:szCs w:val="20"/>
                <w:color w:val="auto"/>
              </w:rPr>
            </w:pPr>
            <w:r>
              <w:rPr>
                <w:rFonts w:ascii="Arial" w:cs="Arial" w:eastAsia="Arial" w:hAnsi="Arial"/>
                <w:sz w:val="12"/>
                <w:szCs w:val="12"/>
                <w:b w:val="1"/>
                <w:bCs w:val="1"/>
                <w:color w:val="1352DE"/>
                <w:w w:val="93"/>
              </w:rPr>
              <w:t>(28)</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b w:val="1"/>
                <w:bCs w:val="1"/>
                <w:color w:val="1352DE"/>
              </w:rPr>
              <w:t>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Non-operating pension expenses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352DE"/>
              </w:rPr>
              <w:t>(5)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rPr>
                <w:sz w:val="20"/>
                <w:szCs w:val="20"/>
                <w:color w:val="auto"/>
              </w:rPr>
            </w:pPr>
            <w:r>
              <w:rPr>
                <w:rFonts w:ascii="Arial" w:cs="Arial" w:eastAsia="Arial" w:hAnsi="Arial"/>
                <w:sz w:val="12"/>
                <w:szCs w:val="12"/>
                <w:color w:val="auto"/>
              </w:rPr>
              <w:t>Integration and transaction costs associated with acquiring or divesting businesses</w:t>
            </w:r>
          </w:p>
        </w:tc>
        <w:tc>
          <w:tcPr>
            <w:tcW w:w="16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252DE"/>
              </w:rPr>
              <w:t>(15)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7</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1352DE"/>
              </w:rPr>
              <w:t>(32)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74"/>
        </w:trPr>
        <w:tc>
          <w:tcPr>
            <w:tcW w:w="4780" w:type="dxa"/>
            <w:vAlign w:val="bottom"/>
            <w:tcBorders>
              <w:bottom w:val="single" w:sz="8" w:color="1352DE"/>
            </w:tcBorders>
          </w:tcPr>
          <w:p>
            <w:pPr>
              <w:ind w:left="20"/>
              <w:spacing w:after="0"/>
              <w:rPr>
                <w:sz w:val="20"/>
                <w:szCs w:val="20"/>
                <w:color w:val="auto"/>
              </w:rPr>
            </w:pPr>
            <w:r>
              <w:rPr>
                <w:rFonts w:ascii="Arial" w:cs="Arial" w:eastAsia="Arial" w:hAnsi="Arial"/>
                <w:sz w:val="12"/>
                <w:szCs w:val="12"/>
                <w:color w:val="auto"/>
              </w:rPr>
              <w:t>Restructuring and other costs</w:t>
            </w:r>
          </w:p>
        </w:tc>
        <w:tc>
          <w:tcPr>
            <w:tcW w:w="160" w:type="dxa"/>
            <w:vAlign w:val="bottom"/>
            <w:tcBorders>
              <w:bottom w:val="single" w:sz="8" w:color="1352DE"/>
            </w:tcBorders>
          </w:tcPr>
          <w:p>
            <w:pPr>
              <w:spacing w:after="0"/>
              <w:rPr>
                <w:sz w:val="15"/>
                <w:szCs w:val="15"/>
                <w:color w:val="auto"/>
              </w:rPr>
            </w:pPr>
          </w:p>
        </w:tc>
        <w:tc>
          <w:tcPr>
            <w:tcW w:w="6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w:t>
            </w:r>
          </w:p>
        </w:tc>
        <w:tc>
          <w:tcPr>
            <w:tcW w:w="16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29</w:t>
            </w:r>
          </w:p>
        </w:tc>
        <w:tc>
          <w:tcPr>
            <w:tcW w:w="14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1352DE"/>
            </w:tcBorders>
          </w:tcPr>
          <w:p>
            <w:pPr>
              <w:spacing w:after="0"/>
              <w:rPr>
                <w:sz w:val="15"/>
                <w:szCs w:val="15"/>
                <w:color w:val="auto"/>
              </w:rPr>
            </w:pPr>
          </w:p>
        </w:tc>
        <w:tc>
          <w:tcPr>
            <w:tcW w:w="48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23</w:t>
            </w:r>
          </w:p>
        </w:tc>
        <w:tc>
          <w:tcPr>
            <w:tcW w:w="440" w:type="dxa"/>
            <w:vAlign w:val="bottom"/>
            <w:tcBorders>
              <w:bottom w:val="single" w:sz="8" w:color="1352DE"/>
            </w:tcBorders>
          </w:tcPr>
          <w:p>
            <w:pPr>
              <w:spacing w:after="0"/>
              <w:rPr>
                <w:sz w:val="15"/>
                <w:szCs w:val="15"/>
                <w:color w:val="auto"/>
              </w:rPr>
            </w:pPr>
          </w:p>
        </w:tc>
        <w:tc>
          <w:tcPr>
            <w:tcW w:w="20" w:type="dxa"/>
            <w:vAlign w:val="bottom"/>
            <w:tcBorders>
              <w:bottom w:val="single" w:sz="8" w:color="1352DE"/>
            </w:tcBorders>
          </w:tcPr>
          <w:p>
            <w:pPr>
              <w:spacing w:after="0"/>
              <w:rPr>
                <w:sz w:val="15"/>
                <w:szCs w:val="15"/>
                <w:color w:val="auto"/>
              </w:rPr>
            </w:pPr>
          </w:p>
        </w:tc>
        <w:tc>
          <w:tcPr>
            <w:tcW w:w="140" w:type="dxa"/>
            <w:vAlign w:val="bottom"/>
            <w:tcBorders>
              <w:bottom w:val="single" w:sz="8" w:color="1352DE"/>
            </w:tcBorders>
          </w:tcPr>
          <w:p>
            <w:pPr>
              <w:spacing w:after="0"/>
              <w:rPr>
                <w:sz w:val="15"/>
                <w:szCs w:val="15"/>
                <w:color w:val="auto"/>
              </w:rPr>
            </w:pP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w:t>
            </w:r>
          </w:p>
        </w:tc>
        <w:tc>
          <w:tcPr>
            <w:tcW w:w="16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71</w:t>
            </w:r>
          </w:p>
        </w:tc>
        <w:tc>
          <w:tcPr>
            <w:tcW w:w="140" w:type="dxa"/>
            <w:vAlign w:val="bottom"/>
            <w:tcBorders>
              <w:bottom w:val="single" w:sz="8" w:color="1352DE"/>
            </w:tcBorders>
          </w:tcPr>
          <w:p>
            <w:pPr>
              <w:spacing w:after="0"/>
              <w:rPr>
                <w:sz w:val="15"/>
                <w:szCs w:val="15"/>
                <w:color w:val="auto"/>
              </w:rPr>
            </w:pPr>
          </w:p>
        </w:tc>
        <w:tc>
          <w:tcPr>
            <w:tcW w:w="160" w:type="dxa"/>
            <w:vAlign w:val="bottom"/>
            <w:tcBorders>
              <w:bottom w:val="single" w:sz="8" w:color="1352DE"/>
            </w:tcBorders>
          </w:tcPr>
          <w:p>
            <w:pPr>
              <w:spacing w:after="0"/>
              <w:rPr>
                <w:sz w:val="15"/>
                <w:szCs w:val="15"/>
                <w:color w:val="auto"/>
              </w:rPr>
            </w:pP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1352DE"/>
            </w:tcBorders>
          </w:tcPr>
          <w:p>
            <w:pPr>
              <w:spacing w:after="0"/>
              <w:rPr>
                <w:sz w:val="15"/>
                <w:szCs w:val="15"/>
                <w:color w:val="auto"/>
              </w:rPr>
            </w:pPr>
          </w:p>
        </w:tc>
        <w:tc>
          <w:tcPr>
            <w:tcW w:w="4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69"/>
        </w:trPr>
        <w:tc>
          <w:tcPr>
            <w:tcW w:w="4780" w:type="dxa"/>
            <w:vAlign w:val="bottom"/>
            <w:tcBorders>
              <w:bottom w:val="single" w:sz="8" w:color="1352DE"/>
            </w:tcBorders>
          </w:tcPr>
          <w:p>
            <w:pPr>
              <w:ind w:left="20"/>
              <w:spacing w:after="0"/>
              <w:rPr>
                <w:sz w:val="20"/>
                <w:szCs w:val="20"/>
                <w:color w:val="auto"/>
              </w:rPr>
            </w:pPr>
            <w:r>
              <w:rPr>
                <w:rFonts w:ascii="Arial" w:cs="Arial" w:eastAsia="Arial" w:hAnsi="Arial"/>
                <w:sz w:val="12"/>
                <w:szCs w:val="12"/>
                <w:b w:val="1"/>
                <w:bCs w:val="1"/>
                <w:color w:val="1352DE"/>
              </w:rPr>
              <w:t>Net investment income and other, APTI basis/Adjusted pre-tax income (loss)</w:t>
            </w:r>
          </w:p>
        </w:tc>
        <w:tc>
          <w:tcPr>
            <w:tcW w:w="1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w:t>
            </w:r>
          </w:p>
        </w:tc>
        <w:tc>
          <w:tcPr>
            <w:tcW w:w="6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252DE"/>
              </w:rPr>
              <w:t>45</w:t>
            </w:r>
          </w:p>
        </w:tc>
        <w:tc>
          <w:tcPr>
            <w:tcW w:w="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252DE"/>
                <w:w w:val="89"/>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252DE"/>
              </w:rPr>
              <w:t>(141)</w:t>
            </w:r>
          </w:p>
        </w:tc>
        <w:tc>
          <w:tcPr>
            <w:tcW w:w="140" w:type="dxa"/>
            <w:vAlign w:val="bottom"/>
            <w:tcBorders>
              <w:bottom w:val="single" w:sz="8" w:color="1352DE"/>
            </w:tcBorders>
          </w:tcPr>
          <w:p>
            <w:pPr>
              <w:spacing w:after="0"/>
              <w:rPr>
                <w:sz w:val="14"/>
                <w:szCs w:val="14"/>
                <w:color w:val="auto"/>
              </w:rPr>
            </w:pPr>
          </w:p>
        </w:tc>
        <w:tc>
          <w:tcPr>
            <w:tcW w:w="1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72</w:t>
            </w:r>
          </w:p>
        </w:tc>
        <w:tc>
          <w:tcPr>
            <w:tcW w:w="14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(112)</w:t>
            </w:r>
          </w:p>
        </w:tc>
        <w:tc>
          <w:tcPr>
            <w:tcW w:w="440" w:type="dxa"/>
            <w:vAlign w:val="bottom"/>
            <w:tcBorders>
              <w:bottom w:val="single" w:sz="8" w:color="1352DE"/>
            </w:tcBorders>
          </w:tcPr>
          <w:p>
            <w:pPr>
              <w:spacing w:after="0"/>
              <w:rPr>
                <w:sz w:val="14"/>
                <w:szCs w:val="14"/>
                <w:color w:val="auto"/>
              </w:rPr>
            </w:pPr>
          </w:p>
        </w:tc>
        <w:tc>
          <w:tcPr>
            <w:tcW w:w="160" w:type="dxa"/>
            <w:vAlign w:val="bottom"/>
            <w:tcBorders>
              <w:bottom w:val="single" w:sz="8" w:color="1352DE"/>
            </w:tcBorders>
            <w:gridSpan w:val="2"/>
          </w:tcPr>
          <w:p>
            <w:pPr>
              <w:jc w:val="right"/>
              <w:ind w:right="40"/>
              <w:spacing w:after="0"/>
              <w:rPr>
                <w:sz w:val="20"/>
                <w:szCs w:val="20"/>
                <w:color w:val="auto"/>
              </w:rPr>
            </w:pPr>
            <w:r>
              <w:rPr>
                <w:rFonts w:ascii="Arial" w:cs="Arial" w:eastAsia="Arial" w:hAnsi="Arial"/>
                <w:sz w:val="12"/>
                <w:szCs w:val="12"/>
                <w:b w:val="1"/>
                <w:bCs w:val="1"/>
                <w:color w:val="1352DE"/>
              </w:rPr>
              <w:t>$</w:t>
            </w: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b w:val="1"/>
                <w:bCs w:val="1"/>
                <w:color w:val="1352DE"/>
              </w:rPr>
              <w:t>138</w:t>
            </w:r>
          </w:p>
        </w:tc>
        <w:tc>
          <w:tcPr>
            <w:tcW w:w="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b w:val="1"/>
                <w:bCs w:val="1"/>
                <w:color w:val="1352DE"/>
                <w:w w:val="89"/>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b w:val="1"/>
                <w:bCs w:val="1"/>
                <w:color w:val="1352DE"/>
              </w:rPr>
              <w:t>(408)</w:t>
            </w:r>
          </w:p>
        </w:tc>
        <w:tc>
          <w:tcPr>
            <w:tcW w:w="140" w:type="dxa"/>
            <w:vAlign w:val="bottom"/>
            <w:tcBorders>
              <w:bottom w:val="single" w:sz="8" w:color="1352DE"/>
            </w:tcBorders>
          </w:tcPr>
          <w:p>
            <w:pPr>
              <w:spacing w:after="0"/>
              <w:rPr>
                <w:sz w:val="14"/>
                <w:szCs w:val="14"/>
                <w:color w:val="auto"/>
              </w:rPr>
            </w:pPr>
          </w:p>
        </w:tc>
        <w:tc>
          <w:tcPr>
            <w:tcW w:w="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1352DE"/>
            </w:tcBorders>
          </w:tcPr>
          <w:p>
            <w:pPr>
              <w:jc w:val="right"/>
              <w:ind w:right="2"/>
              <w:spacing w:after="0"/>
              <w:rPr>
                <w:sz w:val="20"/>
                <w:szCs w:val="20"/>
                <w:color w:val="auto"/>
              </w:rPr>
            </w:pPr>
            <w:r>
              <w:rPr>
                <w:rFonts w:ascii="Arial" w:cs="Arial" w:eastAsia="Arial" w:hAnsi="Arial"/>
                <w:sz w:val="12"/>
                <w:szCs w:val="12"/>
                <w:color w:val="auto"/>
              </w:rPr>
              <w:t>274</w:t>
            </w:r>
          </w:p>
        </w:tc>
        <w:tc>
          <w:tcPr>
            <w:tcW w:w="160" w:type="dxa"/>
            <w:vAlign w:val="bottom"/>
            <w:tcBorders>
              <w:bottom w:val="single" w:sz="8" w:color="1352DE"/>
            </w:tcBorders>
          </w:tcPr>
          <w:p>
            <w:pPr>
              <w:jc w:val="right"/>
              <w:ind w:right="2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2"/>
                <w:szCs w:val="12"/>
                <w:color w:val="auto"/>
              </w:rPr>
              <w:t>(279)</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400" w:hanging="212"/>
        <w:spacing w:after="0" w:line="286" w:lineRule="auto"/>
        <w:tabs>
          <w:tab w:leader="none" w:pos="208"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 the first quarter of 2026, AIG realigned and began reporting Amortization of intangible assets in General Insurance from Other Operations; historical results have been recast to reflect these changes.</w:t>
      </w:r>
    </w:p>
    <w:p>
      <w:pPr>
        <w:spacing w:after="0" w:line="6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001871"/>
        </w:rPr>
        <w:t xml:space="preserve">Book value per share, excluding investments related cumulative unrealized gains and losses recorded in Accumulated other comprehensive income (loss) (AOCI) adjusted for the cumulative unrealized gains and losses related to Fortitude Re funds withheld assets (collectively, Investments AOCI) (Adjusted book value per share) </w:t>
      </w:r>
      <w:r>
        <w:rPr>
          <w:rFonts w:ascii="Arial" w:cs="Arial" w:eastAsia="Arial" w:hAnsi="Arial"/>
          <w:sz w:val="16"/>
          <w:szCs w:val="16"/>
          <w:color w:val="000000"/>
        </w:rPr>
        <w:t>is used to show the amount of our net worth on a per share basis after eliminating the fair value of</w:t>
      </w:r>
      <w:r>
        <w:rPr>
          <w:rFonts w:ascii="Arial" w:cs="Arial" w:eastAsia="Arial" w:hAnsi="Arial"/>
          <w:sz w:val="16"/>
          <w:szCs w:val="16"/>
          <w:b w:val="1"/>
          <w:bCs w:val="1"/>
          <w:color w:val="001871"/>
        </w:rPr>
        <w:t xml:space="preserve"> </w:t>
      </w:r>
      <w:r>
        <w:rPr>
          <w:rFonts w:ascii="Arial" w:cs="Arial" w:eastAsia="Arial" w:hAnsi="Arial"/>
          <w:sz w:val="16"/>
          <w:szCs w:val="16"/>
          <w:color w:val="000000"/>
        </w:rPr>
        <w:t>investments that can fluctuate significantly from period to period due to changes in market conditions. In addition, we adjust for the cumulative unrealized gains and losses related to Fortitude Re funds withheld assets since these fair value movements are economically transferred to Fortitude Re. Adjusted book value per share is derived by dividing total AIG common shareholders’ equity, excluding Investments AOCI (AIG adjusted common shareholders' equity) by total common shares outstanding.</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55</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Use of Non-GAAP Measures</w:t>
      </w:r>
    </w:p>
    <w:p>
      <w:pPr>
        <w:spacing w:after="0" w:line="27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b w:val="1"/>
          <w:bCs w:val="1"/>
          <w:color w:val="001871"/>
        </w:rPr>
        <w:t xml:space="preserve">Book value per share, excluding Investments AOCI, deferred tax assets (DTA) and AIG’s ownership interest in Corebridge (Core operating book value per share) </w:t>
      </w:r>
      <w:r>
        <w:rPr>
          <w:rFonts w:ascii="Arial" w:cs="Arial" w:eastAsia="Arial" w:hAnsi="Arial"/>
          <w:sz w:val="16"/>
          <w:szCs w:val="16"/>
          <w:color w:val="000000"/>
        </w:rPr>
        <w:t>is used to show the amount of our net worth on a per share basis after eliminating Investments AOCI, DTA and AIG’s ownership interest in</w:t>
      </w:r>
      <w:r>
        <w:rPr>
          <w:rFonts w:ascii="Arial" w:cs="Arial" w:eastAsia="Arial" w:hAnsi="Arial"/>
          <w:sz w:val="16"/>
          <w:szCs w:val="16"/>
          <w:b w:val="1"/>
          <w:bCs w:val="1"/>
          <w:color w:val="001871"/>
        </w:rPr>
        <w:t xml:space="preserve"> </w:t>
      </w:r>
      <w:r>
        <w:rPr>
          <w:rFonts w:ascii="Arial" w:cs="Arial" w:eastAsia="Arial" w:hAnsi="Arial"/>
          <w:sz w:val="16"/>
          <w:szCs w:val="16"/>
          <w:color w:val="000000"/>
        </w:rPr>
        <w:t>Corebridge. We believe this measure is useful to investors because it eliminates the fair value of investments that can fluctuate significantly from period to period due to changes in market conditions. We also exclude the portion of DTA representing U.S. tax attributes related to net operating loss carryforwards (NOLs), corporate alternative minimum tax credits (CAMTCs) and foreign tax credits (FTCs) that have not yet been utilized. Amounts for interim periods are estimates based on projections of full-year attribute utilization. As NOLs, CAMTCs and FTCs are utilized, the corresponding portion of the DTA utilized is included. We exclude AIG’s ownership interest in Corebridge since it is not a core long-term investment for AIG. Core operating book value per share is derived by dividing total AIG common shareholders’ equity, excluding Investments AOCI, DTA and AIG’s ownership interest in Corebridge (AIG core operating shareholders’ equity) by total common shares outstanding.</w:t>
      </w:r>
    </w:p>
    <w:p>
      <w:pPr>
        <w:spacing w:after="0" w:line="201" w:lineRule="exact"/>
        <w:rPr>
          <w:sz w:val="20"/>
          <w:szCs w:val="20"/>
          <w:color w:val="auto"/>
        </w:rPr>
      </w:pPr>
    </w:p>
    <w:p>
      <w:pPr>
        <w:ind w:right="140"/>
        <w:spacing w:after="0" w:line="367" w:lineRule="auto"/>
        <w:rPr>
          <w:sz w:val="20"/>
          <w:szCs w:val="20"/>
          <w:color w:val="auto"/>
        </w:rPr>
      </w:pPr>
      <w:r>
        <w:rPr>
          <w:rFonts w:ascii="Arial" w:cs="Arial" w:eastAsia="Arial" w:hAnsi="Arial"/>
          <w:sz w:val="16"/>
          <w:szCs w:val="16"/>
          <w:b w:val="1"/>
          <w:bCs w:val="1"/>
          <w:color w:val="1352DE"/>
        </w:rPr>
        <w:t>The following table presents reconciliations of Book value per share to Adjusted book value per share and Core operating book value per share, which are non-GAAP measures</w:t>
      </w:r>
      <w:r>
        <w:rPr>
          <w:rFonts w:ascii="Arial" w:cs="Arial" w:eastAsia="Arial" w:hAnsi="Arial"/>
          <w:sz w:val="16"/>
          <w:szCs w:val="16"/>
          <w:b w:val="1"/>
          <w:bCs w:val="1"/>
          <w:i w:val="1"/>
          <w:iCs w:val="1"/>
          <w:color w:val="1352DE"/>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40" w:type="dxa"/>
            <w:vAlign w:val="bottom"/>
            <w:tcBorders>
              <w:top w:val="single" w:sz="8" w:color="1352DE"/>
            </w:tcBorders>
          </w:tcPr>
          <w:p>
            <w:pPr>
              <w:spacing w:after="0"/>
              <w:rPr>
                <w:sz w:val="18"/>
                <w:szCs w:val="18"/>
                <w:color w:val="auto"/>
              </w:rPr>
            </w:pPr>
          </w:p>
        </w:tc>
        <w:tc>
          <w:tcPr>
            <w:tcW w:w="1320" w:type="dxa"/>
            <w:vAlign w:val="bottom"/>
            <w:tcBorders>
              <w:top w:val="single" w:sz="8" w:color="1352DE"/>
            </w:tcBorders>
          </w:tcPr>
          <w:p>
            <w:pPr>
              <w:spacing w:after="0"/>
              <w:rPr>
                <w:sz w:val="18"/>
                <w:szCs w:val="18"/>
                <w:color w:val="auto"/>
              </w:rPr>
            </w:pPr>
          </w:p>
        </w:tc>
        <w:tc>
          <w:tcPr>
            <w:tcW w:w="1300" w:type="dxa"/>
            <w:vAlign w:val="bottom"/>
            <w:tcBorders>
              <w:top w:val="single" w:sz="8" w:color="1352DE"/>
            </w:tcBorders>
            <w:gridSpan w:val="2"/>
          </w:tcPr>
          <w:p>
            <w:pPr>
              <w:jc w:val="right"/>
              <w:ind w:right="220"/>
              <w:spacing w:after="0"/>
              <w:rPr>
                <w:sz w:val="20"/>
                <w:szCs w:val="20"/>
                <w:color w:val="auto"/>
              </w:rPr>
            </w:pPr>
            <w:r>
              <w:rPr>
                <w:rFonts w:ascii="Arial" w:cs="Arial" w:eastAsia="Arial" w:hAnsi="Arial"/>
                <w:sz w:val="14"/>
                <w:szCs w:val="14"/>
                <w:b w:val="1"/>
                <w:bCs w:val="1"/>
                <w:color w:val="3051F2"/>
              </w:rPr>
              <w:t>September 30,</w:t>
            </w:r>
          </w:p>
        </w:tc>
        <w:tc>
          <w:tcPr>
            <w:tcW w:w="220" w:type="dxa"/>
            <w:vAlign w:val="bottom"/>
            <w:tcBorders>
              <w:top w:val="single" w:sz="8" w:color="1352DE"/>
            </w:tcBorders>
          </w:tcPr>
          <w:p>
            <w:pPr>
              <w:spacing w:after="0"/>
              <w:rPr>
                <w:sz w:val="18"/>
                <w:szCs w:val="18"/>
                <w:color w:val="auto"/>
              </w:rPr>
            </w:pPr>
          </w:p>
        </w:tc>
        <w:tc>
          <w:tcPr>
            <w:tcW w:w="104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3051F2"/>
              </w:rPr>
              <w:t>December 31,</w:t>
            </w:r>
          </w:p>
        </w:tc>
      </w:tr>
      <w:tr>
        <w:trPr>
          <w:trHeight w:val="203"/>
        </w:trPr>
        <w:tc>
          <w:tcPr>
            <w:tcW w:w="73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 except per share data)</w:t>
            </w:r>
          </w:p>
        </w:tc>
        <w:tc>
          <w:tcPr>
            <w:tcW w:w="132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1DE"/>
              </w:rPr>
              <w:t>2026</w:t>
            </w:r>
          </w:p>
        </w:tc>
        <w:tc>
          <w:tcPr>
            <w:tcW w:w="20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1DE"/>
              </w:rPr>
              <w:t>2025</w:t>
            </w:r>
          </w:p>
        </w:tc>
      </w:tr>
      <w:tr>
        <w:trPr>
          <w:trHeight w:val="195"/>
        </w:trPr>
        <w:tc>
          <w:tcPr>
            <w:tcW w:w="7340" w:type="dxa"/>
            <w:vAlign w:val="bottom"/>
          </w:tcPr>
          <w:p>
            <w:pPr>
              <w:ind w:left="20"/>
              <w:spacing w:after="0"/>
              <w:rPr>
                <w:sz w:val="20"/>
                <w:szCs w:val="20"/>
                <w:color w:val="auto"/>
              </w:rPr>
            </w:pPr>
            <w:r>
              <w:rPr>
                <w:rFonts w:ascii="Arial" w:cs="Arial" w:eastAsia="Arial" w:hAnsi="Arial"/>
                <w:sz w:val="14"/>
                <w:szCs w:val="14"/>
                <w:b w:val="1"/>
                <w:bCs w:val="1"/>
                <w:color w:val="3051F2"/>
              </w:rPr>
              <w:t>Total AIG common shareholders' equity</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1252DE"/>
              </w:rPr>
              <w:t>38,883</w:t>
            </w:r>
          </w:p>
        </w:tc>
        <w:tc>
          <w:tcPr>
            <w:tcW w:w="2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41,139</w:t>
            </w:r>
          </w:p>
        </w:tc>
      </w:tr>
      <w:tr>
        <w:trPr>
          <w:trHeight w:val="222"/>
        </w:trPr>
        <w:tc>
          <w:tcPr>
            <w:tcW w:w="7340" w:type="dxa"/>
            <w:vAlign w:val="bottom"/>
          </w:tcPr>
          <w:p>
            <w:pPr>
              <w:ind w:left="40"/>
              <w:spacing w:after="0"/>
              <w:rPr>
                <w:sz w:val="20"/>
                <w:szCs w:val="20"/>
                <w:color w:val="auto"/>
              </w:rPr>
            </w:pPr>
            <w:r>
              <w:rPr>
                <w:rFonts w:ascii="Arial" w:cs="Arial" w:eastAsia="Arial" w:hAnsi="Arial"/>
                <w:sz w:val="14"/>
                <w:szCs w:val="14"/>
                <w:color w:val="auto"/>
              </w:rPr>
              <w:t>Less: Investments related AOCI</w:t>
            </w:r>
          </w:p>
        </w:tc>
        <w:tc>
          <w:tcPr>
            <w:tcW w:w="1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1252DE"/>
              </w:rPr>
              <w:t>(3,840)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(1,376)</w:t>
            </w:r>
          </w:p>
        </w:tc>
      </w:tr>
      <w:tr>
        <w:trPr>
          <w:trHeight w:val="198"/>
        </w:trPr>
        <w:tc>
          <w:tcPr>
            <w:tcW w:w="734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Add: Cumulative unrealized gains and losses related to Fortitude Re funds withheld assets</w:t>
            </w:r>
          </w:p>
        </w:tc>
        <w:tc>
          <w:tcPr>
            <w:tcW w:w="132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(580)</w:t>
            </w:r>
          </w:p>
        </w:tc>
        <w:tc>
          <w:tcPr>
            <w:tcW w:w="20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(523)</w:t>
            </w:r>
          </w:p>
        </w:tc>
      </w:tr>
      <w:tr>
        <w:trPr>
          <w:trHeight w:val="196"/>
        </w:trPr>
        <w:tc>
          <w:tcPr>
            <w:tcW w:w="734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Subtotal: Investments AOCI</w:t>
            </w:r>
          </w:p>
        </w:tc>
        <w:tc>
          <w:tcPr>
            <w:tcW w:w="132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(3,260)</w:t>
            </w:r>
          </w:p>
        </w:tc>
        <w:tc>
          <w:tcPr>
            <w:tcW w:w="20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(853)</w:t>
            </w:r>
          </w:p>
        </w:tc>
      </w:tr>
      <w:tr>
        <w:trPr>
          <w:trHeight w:val="196"/>
        </w:trPr>
        <w:tc>
          <w:tcPr>
            <w:tcW w:w="73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AIG adjusted common shareholders' equity</w:t>
            </w:r>
          </w:p>
        </w:tc>
        <w:tc>
          <w:tcPr>
            <w:tcW w:w="13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11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42,143</w:t>
            </w:r>
          </w:p>
        </w:tc>
        <w:tc>
          <w:tcPr>
            <w:tcW w:w="20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41,992</w:t>
            </w:r>
          </w:p>
        </w:tc>
      </w:tr>
      <w:tr>
        <w:trPr>
          <w:trHeight w:val="275"/>
        </w:trPr>
        <w:tc>
          <w:tcPr>
            <w:tcW w:w="7340" w:type="dxa"/>
            <w:vAlign w:val="bottom"/>
          </w:tcPr>
          <w:p>
            <w:pPr>
              <w:ind w:left="20"/>
              <w:spacing w:after="0"/>
              <w:rPr>
                <w:sz w:val="20"/>
                <w:szCs w:val="20"/>
                <w:color w:val="auto"/>
              </w:rPr>
            </w:pPr>
            <w:r>
              <w:rPr>
                <w:rFonts w:ascii="Arial" w:cs="Arial" w:eastAsia="Arial" w:hAnsi="Arial"/>
                <w:sz w:val="14"/>
                <w:szCs w:val="14"/>
                <w:b w:val="1"/>
                <w:bCs w:val="1"/>
                <w:color w:val="3051F2"/>
              </w:rPr>
              <w:t>Total AIG common shareholders' equity</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1252DE"/>
              </w:rPr>
              <w:t>38,883</w:t>
            </w:r>
          </w:p>
        </w:tc>
        <w:tc>
          <w:tcPr>
            <w:tcW w:w="2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41,139</w:t>
            </w:r>
          </w:p>
        </w:tc>
      </w:tr>
      <w:tr>
        <w:trPr>
          <w:trHeight w:val="224"/>
        </w:trPr>
        <w:tc>
          <w:tcPr>
            <w:tcW w:w="7340" w:type="dxa"/>
            <w:vAlign w:val="bottom"/>
          </w:tcPr>
          <w:p>
            <w:pPr>
              <w:ind w:left="40"/>
              <w:spacing w:after="0"/>
              <w:rPr>
                <w:sz w:val="20"/>
                <w:szCs w:val="20"/>
                <w:color w:val="auto"/>
              </w:rPr>
            </w:pPr>
            <w:r>
              <w:rPr>
                <w:rFonts w:ascii="Arial" w:cs="Arial" w:eastAsia="Arial" w:hAnsi="Arial"/>
                <w:sz w:val="14"/>
                <w:szCs w:val="14"/>
                <w:color w:val="auto"/>
              </w:rPr>
              <w:t>Less: AIG's ownership interest in Corebridge</w:t>
            </w:r>
          </w:p>
        </w:tc>
        <w:tc>
          <w:tcPr>
            <w:tcW w:w="1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1252DE"/>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1,512</w:t>
            </w:r>
          </w:p>
        </w:tc>
      </w:tr>
      <w:tr>
        <w:trPr>
          <w:trHeight w:val="215"/>
        </w:trPr>
        <w:tc>
          <w:tcPr>
            <w:tcW w:w="7340" w:type="dxa"/>
            <w:vAlign w:val="bottom"/>
          </w:tcPr>
          <w:p>
            <w:pPr>
              <w:ind w:left="40"/>
              <w:spacing w:after="0"/>
              <w:rPr>
                <w:sz w:val="20"/>
                <w:szCs w:val="20"/>
                <w:color w:val="auto"/>
              </w:rPr>
            </w:pPr>
            <w:r>
              <w:rPr>
                <w:rFonts w:ascii="Arial" w:cs="Arial" w:eastAsia="Arial" w:hAnsi="Arial"/>
                <w:sz w:val="14"/>
                <w:szCs w:val="14"/>
                <w:color w:val="auto"/>
              </w:rPr>
              <w:t>Less: Investments related AOCI - AIG</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1252DE"/>
              </w:rPr>
              <w:t>(3,840)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(1,376)</w:t>
            </w:r>
          </w:p>
        </w:tc>
      </w:tr>
      <w:tr>
        <w:trPr>
          <w:trHeight w:val="198"/>
        </w:trPr>
        <w:tc>
          <w:tcPr>
            <w:tcW w:w="734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Add: Cumulative unrealized gains and losses related to Fortitude Re funds withheld assets - AIG</w:t>
            </w:r>
          </w:p>
        </w:tc>
        <w:tc>
          <w:tcPr>
            <w:tcW w:w="132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(580)</w:t>
            </w:r>
          </w:p>
        </w:tc>
        <w:tc>
          <w:tcPr>
            <w:tcW w:w="20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(523)</w:t>
            </w:r>
          </w:p>
        </w:tc>
      </w:tr>
      <w:tr>
        <w:trPr>
          <w:trHeight w:val="200"/>
        </w:trPr>
        <w:tc>
          <w:tcPr>
            <w:tcW w:w="7340" w:type="dxa"/>
            <w:vAlign w:val="bottom"/>
          </w:tcPr>
          <w:p>
            <w:pPr>
              <w:ind w:left="20"/>
              <w:spacing w:after="0"/>
              <w:rPr>
                <w:sz w:val="20"/>
                <w:szCs w:val="20"/>
                <w:color w:val="auto"/>
              </w:rPr>
            </w:pPr>
            <w:r>
              <w:rPr>
                <w:rFonts w:ascii="Arial" w:cs="Arial" w:eastAsia="Arial" w:hAnsi="Arial"/>
                <w:sz w:val="14"/>
                <w:szCs w:val="14"/>
                <w:color w:val="auto"/>
              </w:rPr>
              <w:t>Subtotal: Investments AOCI - AIG</w:t>
            </w:r>
          </w:p>
        </w:tc>
        <w:tc>
          <w:tcPr>
            <w:tcW w:w="1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1252DE"/>
              </w:rPr>
              <w:t>(3,260)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(853)</w:t>
            </w:r>
          </w:p>
        </w:tc>
      </w:tr>
      <w:tr>
        <w:trPr>
          <w:trHeight w:val="198"/>
        </w:trPr>
        <w:tc>
          <w:tcPr>
            <w:tcW w:w="734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Less: Deferred tax assets</w:t>
            </w:r>
          </w:p>
        </w:tc>
        <w:tc>
          <w:tcPr>
            <w:tcW w:w="1320" w:type="dxa"/>
            <w:vAlign w:val="bottom"/>
            <w:tcBorders>
              <w:bottom w:val="single" w:sz="8" w:color="1352DE"/>
            </w:tcBorders>
          </w:tcPr>
          <w:p>
            <w:pPr>
              <w:spacing w:after="0"/>
              <w:rPr>
                <w:sz w:val="17"/>
                <w:szCs w:val="17"/>
                <w:color w:val="auto"/>
              </w:rPr>
            </w:pPr>
          </w:p>
        </w:tc>
        <w:tc>
          <w:tcPr>
            <w:tcW w:w="11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2,684</w:t>
            </w:r>
          </w:p>
        </w:tc>
        <w:tc>
          <w:tcPr>
            <w:tcW w:w="20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3,278</w:t>
            </w:r>
          </w:p>
        </w:tc>
      </w:tr>
      <w:tr>
        <w:trPr>
          <w:trHeight w:val="196"/>
        </w:trPr>
        <w:tc>
          <w:tcPr>
            <w:tcW w:w="73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AIG core operating shareholders' equity</w:t>
            </w:r>
          </w:p>
        </w:tc>
        <w:tc>
          <w:tcPr>
            <w:tcW w:w="13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11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39,459</w:t>
            </w:r>
          </w:p>
        </w:tc>
        <w:tc>
          <w:tcPr>
            <w:tcW w:w="20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37,202</w:t>
            </w:r>
          </w:p>
        </w:tc>
      </w:tr>
      <w:tr>
        <w:trPr>
          <w:trHeight w:val="277"/>
        </w:trPr>
        <w:tc>
          <w:tcPr>
            <w:tcW w:w="7340" w:type="dxa"/>
            <w:vAlign w:val="bottom"/>
            <w:tcBorders>
              <w:bottom w:val="single" w:sz="8" w:color="1251DE"/>
            </w:tcBorders>
          </w:tcPr>
          <w:p>
            <w:pPr>
              <w:ind w:left="20"/>
              <w:spacing w:after="0"/>
              <w:rPr>
                <w:sz w:val="20"/>
                <w:szCs w:val="20"/>
                <w:color w:val="auto"/>
              </w:rPr>
            </w:pPr>
            <w:r>
              <w:rPr>
                <w:rFonts w:ascii="Arial" w:cs="Arial" w:eastAsia="Arial" w:hAnsi="Arial"/>
                <w:sz w:val="14"/>
                <w:szCs w:val="14"/>
                <w:color w:val="auto"/>
              </w:rPr>
              <w:t>Total common shares outstanding</w:t>
            </w:r>
          </w:p>
        </w:tc>
        <w:tc>
          <w:tcPr>
            <w:tcW w:w="1320" w:type="dxa"/>
            <w:vAlign w:val="bottom"/>
            <w:tcBorders>
              <w:bottom w:val="single" w:sz="8" w:color="1251DE"/>
            </w:tcBorders>
          </w:tcPr>
          <w:p>
            <w:pPr>
              <w:spacing w:after="0"/>
              <w:rPr>
                <w:sz w:val="24"/>
                <w:szCs w:val="24"/>
                <w:color w:val="auto"/>
              </w:rPr>
            </w:pPr>
          </w:p>
        </w:tc>
        <w:tc>
          <w:tcPr>
            <w:tcW w:w="1100" w:type="dxa"/>
            <w:vAlign w:val="bottom"/>
            <w:tcBorders>
              <w:bottom w:val="single" w:sz="8" w:color="1251DE"/>
            </w:tcBorders>
          </w:tcPr>
          <w:p>
            <w:pPr>
              <w:jc w:val="right"/>
              <w:ind w:right="8"/>
              <w:spacing w:after="0"/>
              <w:rPr>
                <w:sz w:val="20"/>
                <w:szCs w:val="20"/>
                <w:color w:val="auto"/>
              </w:rPr>
            </w:pPr>
            <w:r>
              <w:rPr>
                <w:rFonts w:ascii="Arial" w:cs="Arial" w:eastAsia="Arial" w:hAnsi="Arial"/>
                <w:sz w:val="14"/>
                <w:szCs w:val="14"/>
                <w:b w:val="1"/>
                <w:bCs w:val="1"/>
                <w:color w:val="1252DE"/>
              </w:rPr>
              <w:t>518.7</w:t>
            </w:r>
          </w:p>
        </w:tc>
        <w:tc>
          <w:tcPr>
            <w:tcW w:w="200" w:type="dxa"/>
            <w:vAlign w:val="bottom"/>
            <w:tcBorders>
              <w:bottom w:val="single" w:sz="8" w:color="1252DE"/>
            </w:tcBorders>
          </w:tcPr>
          <w:p>
            <w:pPr>
              <w:spacing w:after="0"/>
              <w:rPr>
                <w:sz w:val="24"/>
                <w:szCs w:val="24"/>
                <w:color w:val="auto"/>
              </w:rPr>
            </w:pPr>
          </w:p>
        </w:tc>
        <w:tc>
          <w:tcPr>
            <w:tcW w:w="220" w:type="dxa"/>
            <w:vAlign w:val="bottom"/>
            <w:tcBorders>
              <w:bottom w:val="single" w:sz="8" w:color="1251DE"/>
            </w:tcBorders>
          </w:tcPr>
          <w:p>
            <w:pPr>
              <w:spacing w:after="0"/>
              <w:rPr>
                <w:sz w:val="24"/>
                <w:szCs w:val="24"/>
                <w:color w:val="auto"/>
              </w:rPr>
            </w:pPr>
          </w:p>
        </w:tc>
        <w:tc>
          <w:tcPr>
            <w:tcW w:w="1040" w:type="dxa"/>
            <w:vAlign w:val="bottom"/>
            <w:tcBorders>
              <w:bottom w:val="single" w:sz="8" w:color="1251DE"/>
            </w:tcBorders>
          </w:tcPr>
          <w:p>
            <w:pPr>
              <w:jc w:val="right"/>
              <w:spacing w:after="0"/>
              <w:rPr>
                <w:sz w:val="20"/>
                <w:szCs w:val="20"/>
                <w:color w:val="auto"/>
              </w:rPr>
            </w:pPr>
            <w:r>
              <w:rPr>
                <w:rFonts w:ascii="Arial" w:cs="Arial" w:eastAsia="Arial" w:hAnsi="Arial"/>
                <w:sz w:val="14"/>
                <w:szCs w:val="14"/>
                <w:color w:val="auto"/>
              </w:rPr>
              <w:t>538.2</w:t>
            </w:r>
          </w:p>
        </w:tc>
      </w:tr>
      <w:tr>
        <w:trPr>
          <w:trHeight w:val="281"/>
        </w:trPr>
        <w:tc>
          <w:tcPr>
            <w:tcW w:w="7340" w:type="dxa"/>
            <w:vAlign w:val="bottom"/>
          </w:tcPr>
          <w:p>
            <w:pPr>
              <w:ind w:left="20"/>
              <w:spacing w:after="0"/>
              <w:rPr>
                <w:sz w:val="20"/>
                <w:szCs w:val="20"/>
                <w:color w:val="auto"/>
              </w:rPr>
            </w:pPr>
            <w:r>
              <w:rPr>
                <w:rFonts w:ascii="Arial" w:cs="Arial" w:eastAsia="Arial" w:hAnsi="Arial"/>
                <w:sz w:val="14"/>
                <w:szCs w:val="14"/>
                <w:b w:val="1"/>
                <w:bCs w:val="1"/>
                <w:color w:val="1252DE"/>
              </w:rPr>
              <w:t>Book value per share</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1252DE"/>
              </w:rPr>
              <w:t>74.96</w:t>
            </w:r>
          </w:p>
        </w:tc>
        <w:tc>
          <w:tcPr>
            <w:tcW w:w="2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76.44</w:t>
            </w:r>
          </w:p>
        </w:tc>
      </w:tr>
      <w:tr>
        <w:trPr>
          <w:trHeight w:val="203"/>
        </w:trPr>
        <w:tc>
          <w:tcPr>
            <w:tcW w:w="7340" w:type="dxa"/>
            <w:vAlign w:val="bottom"/>
          </w:tcPr>
          <w:p>
            <w:pPr>
              <w:ind w:left="20"/>
              <w:spacing w:after="0"/>
              <w:rPr>
                <w:sz w:val="20"/>
                <w:szCs w:val="20"/>
                <w:color w:val="auto"/>
              </w:rPr>
            </w:pPr>
            <w:r>
              <w:rPr>
                <w:rFonts w:ascii="Arial" w:cs="Arial" w:eastAsia="Arial" w:hAnsi="Arial"/>
                <w:sz w:val="14"/>
                <w:szCs w:val="14"/>
                <w:b w:val="1"/>
                <w:bCs w:val="1"/>
                <w:color w:val="1252DE"/>
              </w:rPr>
              <w:t>Adjusted book value per share</w:t>
            </w:r>
          </w:p>
        </w:tc>
        <w:tc>
          <w:tcPr>
            <w:tcW w:w="1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1252DE"/>
              </w:rPr>
              <w:t>81.25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78.02</w:t>
            </w:r>
          </w:p>
        </w:tc>
      </w:tr>
      <w:tr>
        <w:trPr>
          <w:trHeight w:val="198"/>
        </w:trPr>
        <w:tc>
          <w:tcPr>
            <w:tcW w:w="7340" w:type="dxa"/>
            <w:vAlign w:val="bottom"/>
            <w:tcBorders>
              <w:bottom w:val="single" w:sz="8" w:color="1251DE"/>
            </w:tcBorders>
          </w:tcPr>
          <w:p>
            <w:pPr>
              <w:ind w:left="20"/>
              <w:spacing w:after="0"/>
              <w:rPr>
                <w:sz w:val="20"/>
                <w:szCs w:val="20"/>
                <w:color w:val="auto"/>
              </w:rPr>
            </w:pPr>
            <w:r>
              <w:rPr>
                <w:rFonts w:ascii="Arial" w:cs="Arial" w:eastAsia="Arial" w:hAnsi="Arial"/>
                <w:sz w:val="14"/>
                <w:szCs w:val="14"/>
                <w:b w:val="1"/>
                <w:bCs w:val="1"/>
                <w:color w:val="1252DE"/>
              </w:rPr>
              <w:t>Core operating book value per share</w:t>
            </w:r>
          </w:p>
        </w:tc>
        <w:tc>
          <w:tcPr>
            <w:tcW w:w="1320" w:type="dxa"/>
            <w:vAlign w:val="bottom"/>
            <w:tcBorders>
              <w:bottom w:val="single" w:sz="8" w:color="1251DE"/>
            </w:tcBorders>
          </w:tcPr>
          <w:p>
            <w:pPr>
              <w:spacing w:after="0"/>
              <w:rPr>
                <w:sz w:val="17"/>
                <w:szCs w:val="17"/>
                <w:color w:val="auto"/>
              </w:rPr>
            </w:pPr>
          </w:p>
        </w:tc>
        <w:tc>
          <w:tcPr>
            <w:tcW w:w="1100" w:type="dxa"/>
            <w:vAlign w:val="bottom"/>
            <w:tcBorders>
              <w:bottom w:val="single" w:sz="8" w:color="1251DE"/>
            </w:tcBorders>
          </w:tcPr>
          <w:p>
            <w:pPr>
              <w:jc w:val="right"/>
              <w:ind w:right="8"/>
              <w:spacing w:after="0"/>
              <w:rPr>
                <w:sz w:val="20"/>
                <w:szCs w:val="20"/>
                <w:color w:val="auto"/>
              </w:rPr>
            </w:pPr>
            <w:r>
              <w:rPr>
                <w:rFonts w:ascii="Arial" w:cs="Arial" w:eastAsia="Arial" w:hAnsi="Arial"/>
                <w:sz w:val="14"/>
                <w:szCs w:val="14"/>
                <w:b w:val="1"/>
                <w:bCs w:val="1"/>
                <w:color w:val="1252DE"/>
              </w:rPr>
              <w:t>76.07</w:t>
            </w:r>
          </w:p>
        </w:tc>
        <w:tc>
          <w:tcPr>
            <w:tcW w:w="200" w:type="dxa"/>
            <w:vAlign w:val="bottom"/>
            <w:tcBorders>
              <w:bottom w:val="single" w:sz="8" w:color="1252DE"/>
            </w:tcBorders>
          </w:tcPr>
          <w:p>
            <w:pPr>
              <w:spacing w:after="0"/>
              <w:rPr>
                <w:sz w:val="17"/>
                <w:szCs w:val="17"/>
                <w:color w:val="auto"/>
              </w:rPr>
            </w:pPr>
          </w:p>
        </w:tc>
        <w:tc>
          <w:tcPr>
            <w:tcW w:w="220" w:type="dxa"/>
            <w:vAlign w:val="bottom"/>
            <w:tcBorders>
              <w:bottom w:val="single" w:sz="8" w:color="1251DE"/>
            </w:tcBorders>
          </w:tcPr>
          <w:p>
            <w:pPr>
              <w:spacing w:after="0"/>
              <w:rPr>
                <w:sz w:val="17"/>
                <w:szCs w:val="17"/>
                <w:color w:val="auto"/>
              </w:rPr>
            </w:pPr>
          </w:p>
        </w:tc>
        <w:tc>
          <w:tcPr>
            <w:tcW w:w="1040" w:type="dxa"/>
            <w:vAlign w:val="bottom"/>
            <w:tcBorders>
              <w:bottom w:val="single" w:sz="8" w:color="1251DE"/>
            </w:tcBorders>
          </w:tcPr>
          <w:p>
            <w:pPr>
              <w:jc w:val="right"/>
              <w:spacing w:after="0"/>
              <w:rPr>
                <w:sz w:val="20"/>
                <w:szCs w:val="20"/>
                <w:color w:val="auto"/>
              </w:rPr>
            </w:pPr>
            <w:r>
              <w:rPr>
                <w:rFonts w:ascii="Arial" w:cs="Arial" w:eastAsia="Arial" w:hAnsi="Arial"/>
                <w:sz w:val="14"/>
                <w:szCs w:val="14"/>
                <w:color w:val="auto"/>
              </w:rPr>
              <w:t>69.12</w:t>
            </w:r>
          </w:p>
        </w:tc>
      </w:tr>
    </w:tbl>
    <w:p>
      <w:pPr>
        <w:spacing w:after="0" w:line="18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001871"/>
        </w:rPr>
        <w:t xml:space="preserve">Return on equity – Adjusted after-tax income excluding Investments AOCI (Adjusted return on equity) </w:t>
      </w:r>
      <w:r>
        <w:rPr>
          <w:rFonts w:ascii="Arial" w:cs="Arial" w:eastAsia="Arial" w:hAnsi="Arial"/>
          <w:sz w:val="16"/>
          <w:szCs w:val="16"/>
          <w:color w:val="000000"/>
        </w:rPr>
        <w:t>is used to show the rate of return on common</w:t>
      </w:r>
      <w:r>
        <w:rPr>
          <w:rFonts w:ascii="Arial" w:cs="Arial" w:eastAsia="Arial" w:hAnsi="Arial"/>
          <w:sz w:val="16"/>
          <w:szCs w:val="16"/>
          <w:b w:val="1"/>
          <w:bCs w:val="1"/>
          <w:color w:val="001871"/>
        </w:rPr>
        <w:t xml:space="preserve"> </w:t>
      </w:r>
      <w:r>
        <w:rPr>
          <w:rFonts w:ascii="Arial" w:cs="Arial" w:eastAsia="Arial" w:hAnsi="Arial"/>
          <w:sz w:val="16"/>
          <w:szCs w:val="16"/>
          <w:color w:val="000000"/>
        </w:rPr>
        <w:t>shareholders’ equity excluding Investments AOCI. We believe this measure is useful to investors because it eliminates the fair value of investments which can fluctuate significantly from period to period due to changes in market conditions. Adjusted return on equity is derived by dividing actual or, for interim periods, annualized adjusted after-tax income attributable to AIG common shareholders by average AIG adjusted common shareholders’ equity.</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001871"/>
        </w:rPr>
        <w:t xml:space="preserve">Return on equity – Adjusted after-tax income excluding Investments AOCI, DTA and AIG’s ownership interest in Corebridge (Core operating return on equity) </w:t>
      </w:r>
      <w:r>
        <w:rPr>
          <w:rFonts w:ascii="Arial" w:cs="Arial" w:eastAsia="Arial" w:hAnsi="Arial"/>
          <w:sz w:val="16"/>
          <w:szCs w:val="16"/>
          <w:color w:val="000000"/>
        </w:rPr>
        <w:t>is used to show the rate of return on common shareholders’ equity excluding Investments AOCI, DTA and AIG’s ownership interest in</w:t>
      </w:r>
      <w:r>
        <w:rPr>
          <w:rFonts w:ascii="Arial" w:cs="Arial" w:eastAsia="Arial" w:hAnsi="Arial"/>
          <w:sz w:val="16"/>
          <w:szCs w:val="16"/>
          <w:b w:val="1"/>
          <w:bCs w:val="1"/>
          <w:color w:val="001871"/>
        </w:rPr>
        <w:t xml:space="preserve"> </w:t>
      </w:r>
      <w:r>
        <w:rPr>
          <w:rFonts w:ascii="Arial" w:cs="Arial" w:eastAsia="Arial" w:hAnsi="Arial"/>
          <w:sz w:val="16"/>
          <w:szCs w:val="16"/>
          <w:color w:val="000000"/>
        </w:rPr>
        <w:t>Corebridge. We believe this measure is useful to investors because it eliminates the fair value of investments that can fluctuate significantly from period to period due to changes in market conditions. We also exclude the portion of DTA representing U.S. tax attributes related to NOLs, CAMTCs and FTCs that have not yet been utilized. Amounts for interim periods are estimates based on projections of full-year attribute utilization. As NOLs, CAMTCs and FTCs are utilized, the corresponding portion of the DTA utilized is included. We exclude AIG’s ownership interest in Corebridge since it is not a core long-term investment for AIG. We believe this metric provides investors with greater insight as to the underlying profitability of our property and casualty business. Core operating return on equity is derived by dividing actual or, for interim periods, annualized adjusted after-tax income attributable to AIG common shareholders by average AIG core operating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24771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60" w:hanging="734"/>
        <w:spacing w:after="0"/>
        <w:tabs>
          <w:tab w:leader="none" w:pos="760" w:val="left"/>
        </w:tabs>
        <w:numPr>
          <w:ilvl w:val="0"/>
          <w:numId w:val="87"/>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Use of Non-GAAP Measures</w:t>
      </w:r>
    </w:p>
    <w:p>
      <w:pPr>
        <w:spacing w:after="0" w:line="200" w:lineRule="exact"/>
        <w:rPr>
          <w:sz w:val="20"/>
          <w:szCs w:val="20"/>
          <w:color w:val="auto"/>
        </w:rPr>
      </w:pPr>
    </w:p>
    <w:p>
      <w:pPr>
        <w:spacing w:after="0" w:line="299" w:lineRule="exact"/>
        <w:rPr>
          <w:sz w:val="20"/>
          <w:szCs w:val="20"/>
          <w:color w:val="auto"/>
        </w:rPr>
      </w:pPr>
    </w:p>
    <w:p>
      <w:pPr>
        <w:ind w:right="80"/>
        <w:spacing w:after="0" w:line="349" w:lineRule="auto"/>
        <w:rPr>
          <w:sz w:val="20"/>
          <w:szCs w:val="20"/>
          <w:color w:val="auto"/>
        </w:rPr>
      </w:pPr>
      <w:r>
        <w:rPr>
          <w:rFonts w:ascii="Arial" w:cs="Arial" w:eastAsia="Arial" w:hAnsi="Arial"/>
          <w:sz w:val="16"/>
          <w:szCs w:val="16"/>
          <w:b w:val="1"/>
          <w:bCs w:val="1"/>
          <w:color w:val="1352DE"/>
        </w:rPr>
        <w:t>The following table presents reconciliations of Return on equity to Adjusted return on equity and Core operating return on equity, which are non-GAAP measures.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Borders>
              <w:top w:val="single" w:sz="8" w:color="1352DE"/>
            </w:tcBorders>
          </w:tcPr>
          <w:p>
            <w:pPr>
              <w:spacing w:after="0"/>
              <w:rPr>
                <w:sz w:val="14"/>
                <w:szCs w:val="14"/>
                <w:color w:val="auto"/>
              </w:rPr>
            </w:pPr>
          </w:p>
        </w:tc>
        <w:tc>
          <w:tcPr>
            <w:tcW w:w="240" w:type="dxa"/>
            <w:vAlign w:val="bottom"/>
            <w:tcBorders>
              <w:top w:val="single" w:sz="8" w:color="1352DE"/>
            </w:tcBorders>
          </w:tcPr>
          <w:p>
            <w:pPr>
              <w:spacing w:after="0"/>
              <w:rPr>
                <w:sz w:val="14"/>
                <w:szCs w:val="14"/>
                <w:color w:val="auto"/>
              </w:rPr>
            </w:pPr>
          </w:p>
        </w:tc>
        <w:tc>
          <w:tcPr>
            <w:tcW w:w="1820" w:type="dxa"/>
            <w:vAlign w:val="bottom"/>
            <w:tcBorders>
              <w:top w:val="single" w:sz="8" w:color="1352DE"/>
            </w:tcBorders>
            <w:gridSpan w:val="3"/>
          </w:tcPr>
          <w:p>
            <w:pPr>
              <w:jc w:val="center"/>
              <w:ind w:right="168"/>
              <w:spacing w:after="0"/>
              <w:rPr>
                <w:sz w:val="20"/>
                <w:szCs w:val="20"/>
                <w:color w:val="auto"/>
              </w:rPr>
            </w:pPr>
            <w:r>
              <w:rPr>
                <w:rFonts w:ascii="Arial" w:cs="Arial" w:eastAsia="Arial" w:hAnsi="Arial"/>
                <w:sz w:val="14"/>
                <w:szCs w:val="14"/>
                <w:color w:val="1252DE"/>
              </w:rPr>
              <w:t>Three Months Ended</w:t>
            </w:r>
          </w:p>
        </w:tc>
        <w:tc>
          <w:tcPr>
            <w:tcW w:w="260" w:type="dxa"/>
            <w:vAlign w:val="bottom"/>
            <w:tcBorders>
              <w:top w:val="single" w:sz="8" w:color="1352DE"/>
            </w:tcBorders>
          </w:tcPr>
          <w:p>
            <w:pPr>
              <w:spacing w:after="0"/>
              <w:rPr>
                <w:sz w:val="14"/>
                <w:szCs w:val="14"/>
                <w:color w:val="auto"/>
              </w:rPr>
            </w:pPr>
          </w:p>
        </w:tc>
        <w:tc>
          <w:tcPr>
            <w:tcW w:w="240" w:type="dxa"/>
            <w:vAlign w:val="bottom"/>
            <w:tcBorders>
              <w:top w:val="single" w:sz="8" w:color="1352DE"/>
            </w:tcBorders>
          </w:tcPr>
          <w:p>
            <w:pPr>
              <w:spacing w:after="0"/>
              <w:rPr>
                <w:sz w:val="14"/>
                <w:szCs w:val="14"/>
                <w:color w:val="auto"/>
              </w:rPr>
            </w:pPr>
          </w:p>
        </w:tc>
        <w:tc>
          <w:tcPr>
            <w:tcW w:w="1800" w:type="dxa"/>
            <w:vAlign w:val="bottom"/>
            <w:tcBorders>
              <w:top w:val="single" w:sz="8" w:color="1352DE"/>
            </w:tcBorders>
            <w:gridSpan w:val="3"/>
          </w:tcPr>
          <w:p>
            <w:pPr>
              <w:jc w:val="center"/>
              <w:ind w:right="148"/>
              <w:spacing w:after="0"/>
              <w:rPr>
                <w:sz w:val="20"/>
                <w:szCs w:val="20"/>
                <w:color w:val="auto"/>
              </w:rPr>
            </w:pPr>
            <w:r>
              <w:rPr>
                <w:rFonts w:ascii="Arial" w:cs="Arial" w:eastAsia="Arial" w:hAnsi="Arial"/>
                <w:sz w:val="14"/>
                <w:szCs w:val="14"/>
                <w:color w:val="1252DE"/>
              </w:rPr>
              <w:t>Nine Months Ended</w:t>
            </w:r>
          </w:p>
        </w:tc>
        <w:tc>
          <w:tcPr>
            <w:tcW w:w="260" w:type="dxa"/>
            <w:vAlign w:val="bottom"/>
            <w:tcBorders>
              <w:top w:val="single" w:sz="8" w:color="1352DE"/>
            </w:tcBorders>
          </w:tcPr>
          <w:p>
            <w:pPr>
              <w:spacing w:after="0"/>
              <w:rPr>
                <w:sz w:val="14"/>
                <w:szCs w:val="14"/>
                <w:color w:val="auto"/>
              </w:rPr>
            </w:pPr>
          </w:p>
        </w:tc>
      </w:tr>
      <w:tr>
        <w:trPr>
          <w:trHeight w:val="185"/>
        </w:trPr>
        <w:tc>
          <w:tcPr>
            <w:tcW w:w="6600" w:type="dxa"/>
            <w:vAlign w:val="bottom"/>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1300" w:type="dxa"/>
            <w:vAlign w:val="bottom"/>
            <w:tcBorders>
              <w:bottom w:val="single" w:sz="8" w:color="1352DE"/>
            </w:tcBorders>
            <w:gridSpan w:val="2"/>
          </w:tcPr>
          <w:p>
            <w:pPr>
              <w:jc w:val="center"/>
              <w:ind w:left="208"/>
              <w:spacing w:after="0"/>
              <w:rPr>
                <w:sz w:val="20"/>
                <w:szCs w:val="20"/>
                <w:color w:val="auto"/>
              </w:rPr>
            </w:pPr>
            <w:r>
              <w:rPr>
                <w:rFonts w:ascii="Arial" w:cs="Arial" w:eastAsia="Arial" w:hAnsi="Arial"/>
                <w:sz w:val="14"/>
                <w:szCs w:val="14"/>
                <w:color w:val="1252DE"/>
              </w:rPr>
              <w:t>September 30,</w:t>
            </w:r>
          </w:p>
        </w:tc>
        <w:tc>
          <w:tcPr>
            <w:tcW w:w="520" w:type="dxa"/>
            <w:vAlign w:val="bottom"/>
            <w:tcBorders>
              <w:bottom w:val="single" w:sz="8" w:color="1352DE"/>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1280" w:type="dxa"/>
            <w:vAlign w:val="bottom"/>
            <w:tcBorders>
              <w:bottom w:val="single" w:sz="8" w:color="1352DE"/>
            </w:tcBorders>
            <w:gridSpan w:val="2"/>
          </w:tcPr>
          <w:p>
            <w:pPr>
              <w:jc w:val="center"/>
              <w:ind w:left="228"/>
              <w:spacing w:after="0"/>
              <w:rPr>
                <w:sz w:val="20"/>
                <w:szCs w:val="20"/>
                <w:color w:val="auto"/>
              </w:rPr>
            </w:pPr>
            <w:r>
              <w:rPr>
                <w:rFonts w:ascii="Arial" w:cs="Arial" w:eastAsia="Arial" w:hAnsi="Arial"/>
                <w:sz w:val="14"/>
                <w:szCs w:val="14"/>
                <w:color w:val="1252DE"/>
              </w:rPr>
              <w:t>September 30,</w:t>
            </w:r>
          </w:p>
        </w:tc>
        <w:tc>
          <w:tcPr>
            <w:tcW w:w="520" w:type="dxa"/>
            <w:vAlign w:val="bottom"/>
            <w:tcBorders>
              <w:bottom w:val="single" w:sz="8" w:color="1352DE"/>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66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(dollars in millions)</w:t>
            </w:r>
          </w:p>
        </w:tc>
        <w:tc>
          <w:tcPr>
            <w:tcW w:w="2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2026</w:t>
            </w:r>
          </w:p>
        </w:tc>
        <w:tc>
          <w:tcPr>
            <w:tcW w:w="58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3051F2"/>
              </w:rPr>
              <w:t>2025</w:t>
            </w:r>
          </w:p>
        </w:tc>
        <w:tc>
          <w:tcPr>
            <w:tcW w:w="26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2026</w:t>
            </w:r>
          </w:p>
        </w:tc>
        <w:tc>
          <w:tcPr>
            <w:tcW w:w="56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3051F2"/>
              </w:rPr>
              <w:t>2025</w:t>
            </w:r>
          </w:p>
        </w:tc>
        <w:tc>
          <w:tcPr>
            <w:tcW w:w="260" w:type="dxa"/>
            <w:vAlign w:val="bottom"/>
            <w:tcBorders>
              <w:bottom w:val="single" w:sz="8" w:color="1352DE"/>
            </w:tcBorders>
          </w:tcPr>
          <w:p>
            <w:pPr>
              <w:spacing w:after="0"/>
              <w:rPr>
                <w:sz w:val="17"/>
                <w:szCs w:val="17"/>
                <w:color w:val="auto"/>
              </w:rPr>
            </w:pPr>
          </w:p>
        </w:tc>
      </w:tr>
      <w:tr>
        <w:trPr>
          <w:trHeight w:val="195"/>
        </w:trPr>
        <w:tc>
          <w:tcPr>
            <w:tcW w:w="66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Actual or annualized net income (loss) attributable to AIG common shareholders</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3,376</w:t>
            </w:r>
          </w:p>
        </w:tc>
        <w:tc>
          <w:tcPr>
            <w:tcW w:w="5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2,076</w:t>
            </w:r>
          </w:p>
        </w:tc>
        <w:tc>
          <w:tcPr>
            <w:tcW w:w="500" w:type="dxa"/>
            <w:vAlign w:val="bottom"/>
            <w:tcBorders>
              <w:bottom w:val="single" w:sz="8" w:color="1352DE"/>
            </w:tcBorders>
            <w:gridSpan w:val="2"/>
          </w:tcPr>
          <w:p>
            <w:pPr>
              <w:jc w:val="right"/>
              <w:ind w:right="140"/>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3,407</w:t>
            </w:r>
          </w:p>
        </w:tc>
        <w:tc>
          <w:tcPr>
            <w:tcW w:w="56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3,148</w:t>
            </w:r>
          </w:p>
        </w:tc>
        <w:tc>
          <w:tcPr>
            <w:tcW w:w="260" w:type="dxa"/>
            <w:vAlign w:val="bottom"/>
            <w:tcBorders>
              <w:bottom w:val="single" w:sz="8" w:color="1352DE"/>
            </w:tcBorders>
          </w:tcPr>
          <w:p>
            <w:pPr>
              <w:spacing w:after="0"/>
              <w:rPr>
                <w:sz w:val="16"/>
                <w:szCs w:val="16"/>
                <w:color w:val="auto"/>
              </w:rPr>
            </w:pPr>
          </w:p>
        </w:tc>
      </w:tr>
      <w:tr>
        <w:trPr>
          <w:trHeight w:val="236"/>
        </w:trPr>
        <w:tc>
          <w:tcPr>
            <w:tcW w:w="66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Actual or annualized adjusted after-tax income attributable to AIG common shareholders</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4,344</w:t>
            </w:r>
          </w:p>
        </w:tc>
        <w:tc>
          <w:tcPr>
            <w:tcW w:w="5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4,904</w:t>
            </w:r>
          </w:p>
        </w:tc>
        <w:tc>
          <w:tcPr>
            <w:tcW w:w="500" w:type="dxa"/>
            <w:vAlign w:val="bottom"/>
            <w:tcBorders>
              <w:bottom w:val="single" w:sz="8" w:color="1352DE"/>
            </w:tcBorders>
            <w:gridSpan w:val="2"/>
          </w:tcPr>
          <w:p>
            <w:pPr>
              <w:jc w:val="right"/>
              <w:ind w:right="140"/>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4,401</w:t>
            </w:r>
          </w:p>
        </w:tc>
        <w:tc>
          <w:tcPr>
            <w:tcW w:w="56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3,963</w:t>
            </w:r>
          </w:p>
        </w:tc>
        <w:tc>
          <w:tcPr>
            <w:tcW w:w="260" w:type="dxa"/>
            <w:vAlign w:val="bottom"/>
            <w:tcBorders>
              <w:bottom w:val="single" w:sz="8" w:color="1352DE"/>
            </w:tcBorders>
          </w:tcPr>
          <w:p>
            <w:pPr>
              <w:spacing w:after="0"/>
              <w:rPr>
                <w:sz w:val="20"/>
                <w:szCs w:val="20"/>
                <w:color w:val="auto"/>
              </w:rPr>
            </w:pPr>
          </w:p>
        </w:tc>
      </w:tr>
      <w:tr>
        <w:trPr>
          <w:trHeight w:val="296"/>
        </w:trPr>
        <w:tc>
          <w:tcPr>
            <w:tcW w:w="6600" w:type="dxa"/>
            <w:vAlign w:val="bottom"/>
          </w:tcPr>
          <w:p>
            <w:pPr>
              <w:ind w:left="20"/>
              <w:spacing w:after="0"/>
              <w:rPr>
                <w:sz w:val="20"/>
                <w:szCs w:val="20"/>
                <w:color w:val="auto"/>
              </w:rPr>
            </w:pPr>
            <w:r>
              <w:rPr>
                <w:rFonts w:ascii="Arial" w:cs="Arial" w:eastAsia="Arial" w:hAnsi="Arial"/>
                <w:sz w:val="14"/>
                <w:szCs w:val="14"/>
                <w:b w:val="1"/>
                <w:bCs w:val="1"/>
                <w:color w:val="1352DE"/>
              </w:rPr>
              <w:t>Average AIG common shareholders' equity</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1352DE"/>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1352DE"/>
              </w:rPr>
              <w:t>39,745</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41,293</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1352DE"/>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352DE"/>
              </w:rPr>
              <w:t>40,258</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41,635</w:t>
            </w:r>
          </w:p>
        </w:tc>
        <w:tc>
          <w:tcPr>
            <w:tcW w:w="260" w:type="dxa"/>
            <w:vAlign w:val="bottom"/>
          </w:tcPr>
          <w:p>
            <w:pPr>
              <w:spacing w:after="0"/>
              <w:rPr>
                <w:sz w:val="24"/>
                <w:szCs w:val="24"/>
                <w:color w:val="auto"/>
              </w:rPr>
            </w:pPr>
          </w:p>
        </w:tc>
      </w:tr>
      <w:tr>
        <w:trPr>
          <w:trHeight w:val="197"/>
        </w:trPr>
        <w:tc>
          <w:tcPr>
            <w:tcW w:w="66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Less: Average Investments AOCI</w:t>
            </w:r>
          </w:p>
        </w:tc>
        <w:tc>
          <w:tcPr>
            <w:tcW w:w="2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(2,311)</w:t>
            </w:r>
          </w:p>
        </w:tc>
        <w:tc>
          <w:tcPr>
            <w:tcW w:w="58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(1,128)</w:t>
            </w:r>
          </w:p>
        </w:tc>
        <w:tc>
          <w:tcPr>
            <w:tcW w:w="26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(1,733)</w:t>
            </w:r>
          </w:p>
        </w:tc>
        <w:tc>
          <w:tcPr>
            <w:tcW w:w="56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(1,560)</w:t>
            </w:r>
          </w:p>
        </w:tc>
        <w:tc>
          <w:tcPr>
            <w:tcW w:w="260" w:type="dxa"/>
            <w:vAlign w:val="bottom"/>
            <w:tcBorders>
              <w:bottom w:val="single" w:sz="8" w:color="1352DE"/>
            </w:tcBorders>
          </w:tcPr>
          <w:p>
            <w:pPr>
              <w:spacing w:after="0"/>
              <w:rPr>
                <w:sz w:val="17"/>
                <w:szCs w:val="17"/>
                <w:color w:val="auto"/>
              </w:rPr>
            </w:pPr>
          </w:p>
        </w:tc>
      </w:tr>
      <w:tr>
        <w:trPr>
          <w:trHeight w:val="197"/>
        </w:trPr>
        <w:tc>
          <w:tcPr>
            <w:tcW w:w="66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Average AIG adjusted common shareholders' equity</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42,056</w:t>
            </w:r>
          </w:p>
        </w:tc>
        <w:tc>
          <w:tcPr>
            <w:tcW w:w="5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42,421</w:t>
            </w:r>
          </w:p>
        </w:tc>
        <w:tc>
          <w:tcPr>
            <w:tcW w:w="500" w:type="dxa"/>
            <w:vAlign w:val="bottom"/>
            <w:tcBorders>
              <w:bottom w:val="single" w:sz="8" w:color="1352DE"/>
            </w:tcBorders>
            <w:gridSpan w:val="2"/>
          </w:tcPr>
          <w:p>
            <w:pPr>
              <w:jc w:val="right"/>
              <w:ind w:right="140"/>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41,991</w:t>
            </w:r>
          </w:p>
        </w:tc>
        <w:tc>
          <w:tcPr>
            <w:tcW w:w="56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43,195</w:t>
            </w:r>
          </w:p>
        </w:tc>
        <w:tc>
          <w:tcPr>
            <w:tcW w:w="260" w:type="dxa"/>
            <w:vAlign w:val="bottom"/>
            <w:tcBorders>
              <w:bottom w:val="single" w:sz="8" w:color="1352DE"/>
            </w:tcBorders>
          </w:tcPr>
          <w:p>
            <w:pPr>
              <w:spacing w:after="0"/>
              <w:rPr>
                <w:sz w:val="17"/>
                <w:szCs w:val="17"/>
                <w:color w:val="auto"/>
              </w:rPr>
            </w:pPr>
          </w:p>
        </w:tc>
      </w:tr>
      <w:tr>
        <w:trPr>
          <w:trHeight w:val="295"/>
        </w:trPr>
        <w:tc>
          <w:tcPr>
            <w:tcW w:w="6600" w:type="dxa"/>
            <w:vAlign w:val="bottom"/>
          </w:tcPr>
          <w:p>
            <w:pPr>
              <w:ind w:left="20"/>
              <w:spacing w:after="0"/>
              <w:rPr>
                <w:sz w:val="20"/>
                <w:szCs w:val="20"/>
                <w:color w:val="auto"/>
              </w:rPr>
            </w:pPr>
            <w:r>
              <w:rPr>
                <w:rFonts w:ascii="Arial" w:cs="Arial" w:eastAsia="Arial" w:hAnsi="Arial"/>
                <w:sz w:val="14"/>
                <w:szCs w:val="14"/>
                <w:b w:val="1"/>
                <w:bCs w:val="1"/>
                <w:color w:val="1352DE"/>
              </w:rPr>
              <w:t>Average AIG common shareholders' equity</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1352DE"/>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1352DE"/>
              </w:rPr>
              <w:t>39,745</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41,293</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1352DE"/>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352DE"/>
              </w:rPr>
              <w:t>40,258</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41,635</w:t>
            </w:r>
          </w:p>
        </w:tc>
        <w:tc>
          <w:tcPr>
            <w:tcW w:w="260" w:type="dxa"/>
            <w:vAlign w:val="bottom"/>
          </w:tcPr>
          <w:p>
            <w:pPr>
              <w:spacing w:after="0"/>
              <w:rPr>
                <w:sz w:val="24"/>
                <w:szCs w:val="24"/>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4"/>
                <w:szCs w:val="14"/>
                <w:color w:val="auto"/>
              </w:rPr>
              <w:t>Less: Average AIG's ownership interest in Corebridge</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352DE"/>
              </w:rPr>
              <w:t>—</w:t>
            </w: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3,347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352DE"/>
              </w:rPr>
              <w:t>530</w:t>
            </w:r>
          </w:p>
        </w:tc>
        <w:tc>
          <w:tcPr>
            <w:tcW w:w="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3,631</w:t>
            </w:r>
          </w:p>
        </w:tc>
        <w:tc>
          <w:tcPr>
            <w:tcW w:w="260" w:type="dxa"/>
            <w:vAlign w:val="bottom"/>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4"/>
                <w:szCs w:val="14"/>
                <w:color w:val="auto"/>
              </w:rPr>
              <w:t>Less: Average Investments AOCI - AIG</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352DE"/>
              </w:rPr>
              <w:t>(2,311)</w:t>
            </w: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(1,128)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352DE"/>
              </w:rPr>
              <w:t>(1,733)</w:t>
            </w:r>
          </w:p>
        </w:tc>
        <w:tc>
          <w:tcPr>
            <w:tcW w:w="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(1,560)</w:t>
            </w:r>
          </w:p>
        </w:tc>
        <w:tc>
          <w:tcPr>
            <w:tcW w:w="260" w:type="dxa"/>
            <w:vAlign w:val="bottom"/>
          </w:tcPr>
          <w:p>
            <w:pPr>
              <w:spacing w:after="0"/>
              <w:rPr>
                <w:sz w:val="17"/>
                <w:szCs w:val="17"/>
                <w:color w:val="auto"/>
              </w:rPr>
            </w:pPr>
          </w:p>
        </w:tc>
      </w:tr>
      <w:tr>
        <w:trPr>
          <w:trHeight w:val="198"/>
        </w:trPr>
        <w:tc>
          <w:tcPr>
            <w:tcW w:w="66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Less: Average deferred tax assets</w:t>
            </w:r>
          </w:p>
        </w:tc>
        <w:tc>
          <w:tcPr>
            <w:tcW w:w="2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2,798</w:t>
            </w:r>
          </w:p>
        </w:tc>
        <w:tc>
          <w:tcPr>
            <w:tcW w:w="58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3,093</w:t>
            </w:r>
          </w:p>
        </w:tc>
        <w:tc>
          <w:tcPr>
            <w:tcW w:w="26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3,002</w:t>
            </w:r>
          </w:p>
        </w:tc>
        <w:tc>
          <w:tcPr>
            <w:tcW w:w="56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3,261</w:t>
            </w:r>
          </w:p>
        </w:tc>
        <w:tc>
          <w:tcPr>
            <w:tcW w:w="260" w:type="dxa"/>
            <w:vAlign w:val="bottom"/>
            <w:tcBorders>
              <w:bottom w:val="single" w:sz="8" w:color="1352DE"/>
            </w:tcBorders>
          </w:tcPr>
          <w:p>
            <w:pPr>
              <w:spacing w:after="0"/>
              <w:rPr>
                <w:sz w:val="17"/>
                <w:szCs w:val="17"/>
                <w:color w:val="auto"/>
              </w:rPr>
            </w:pPr>
          </w:p>
        </w:tc>
      </w:tr>
      <w:tr>
        <w:trPr>
          <w:trHeight w:val="196"/>
        </w:trPr>
        <w:tc>
          <w:tcPr>
            <w:tcW w:w="66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352DE"/>
              </w:rPr>
              <w:t>Average AIG core operating shareholders' equity</w:t>
            </w:r>
          </w:p>
        </w:tc>
        <w:tc>
          <w:tcPr>
            <w:tcW w:w="24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39,258</w:t>
            </w:r>
          </w:p>
        </w:tc>
        <w:tc>
          <w:tcPr>
            <w:tcW w:w="5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35,981</w:t>
            </w:r>
          </w:p>
        </w:tc>
        <w:tc>
          <w:tcPr>
            <w:tcW w:w="500" w:type="dxa"/>
            <w:vAlign w:val="bottom"/>
            <w:tcBorders>
              <w:bottom w:val="single" w:sz="8" w:color="1352DE"/>
            </w:tcBorders>
            <w:gridSpan w:val="2"/>
          </w:tcPr>
          <w:p>
            <w:pPr>
              <w:jc w:val="right"/>
              <w:ind w:right="140"/>
              <w:spacing w:after="0"/>
              <w:rPr>
                <w:sz w:val="20"/>
                <w:szCs w:val="20"/>
                <w:color w:val="auto"/>
              </w:rPr>
            </w:pPr>
            <w:r>
              <w:rPr>
                <w:rFonts w:ascii="Arial" w:cs="Arial" w:eastAsia="Arial" w:hAnsi="Arial"/>
                <w:sz w:val="14"/>
                <w:szCs w:val="14"/>
                <w:b w:val="1"/>
                <w:bCs w:val="1"/>
                <w:color w:val="1352DE"/>
              </w:rPr>
              <w:t>$</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38,459</w:t>
            </w:r>
          </w:p>
        </w:tc>
        <w:tc>
          <w:tcPr>
            <w:tcW w:w="56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36,303</w:t>
            </w:r>
          </w:p>
        </w:tc>
        <w:tc>
          <w:tcPr>
            <w:tcW w:w="260" w:type="dxa"/>
            <w:vAlign w:val="bottom"/>
            <w:tcBorders>
              <w:bottom w:val="single" w:sz="8" w:color="1352DE"/>
            </w:tcBorders>
          </w:tcPr>
          <w:p>
            <w:pPr>
              <w:spacing w:after="0"/>
              <w:rPr>
                <w:sz w:val="17"/>
                <w:szCs w:val="17"/>
                <w:color w:val="auto"/>
              </w:rPr>
            </w:pPr>
          </w:p>
        </w:tc>
      </w:tr>
      <w:tr>
        <w:trPr>
          <w:trHeight w:val="241"/>
        </w:trPr>
        <w:tc>
          <w:tcPr>
            <w:tcW w:w="6600" w:type="dxa"/>
            <w:vAlign w:val="bottom"/>
          </w:tcPr>
          <w:p>
            <w:pPr>
              <w:ind w:left="20"/>
              <w:spacing w:after="0"/>
              <w:rPr>
                <w:sz w:val="20"/>
                <w:szCs w:val="20"/>
                <w:color w:val="auto"/>
              </w:rPr>
            </w:pPr>
            <w:r>
              <w:rPr>
                <w:rFonts w:ascii="Arial" w:cs="Arial" w:eastAsia="Arial" w:hAnsi="Arial"/>
                <w:sz w:val="14"/>
                <w:szCs w:val="14"/>
                <w:b w:val="1"/>
                <w:bCs w:val="1"/>
                <w:color w:val="3051F2"/>
              </w:rPr>
              <w:t>Return on equity</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352DE"/>
              </w:rPr>
              <w:t>8.5</w:t>
            </w:r>
          </w:p>
        </w:tc>
        <w:tc>
          <w:tcPr>
            <w:tcW w:w="580" w:type="dxa"/>
            <w:vAlign w:val="bottom"/>
          </w:tcPr>
          <w:p>
            <w:pPr>
              <w:jc w:val="center"/>
              <w:ind w:right="328"/>
              <w:spacing w:after="0"/>
              <w:rPr>
                <w:sz w:val="20"/>
                <w:szCs w:val="20"/>
                <w:color w:val="auto"/>
              </w:rPr>
            </w:pPr>
            <w:r>
              <w:rPr>
                <w:rFonts w:ascii="Arial" w:cs="Arial" w:eastAsia="Arial" w:hAnsi="Arial"/>
                <w:sz w:val="14"/>
                <w:szCs w:val="14"/>
                <w:b w:val="1"/>
                <w:bCs w:val="1"/>
                <w:color w:val="1352DE"/>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352DE"/>
              </w:rPr>
              <w:t>8.5</w:t>
            </w:r>
          </w:p>
        </w:tc>
        <w:tc>
          <w:tcPr>
            <w:tcW w:w="560" w:type="dxa"/>
            <w:vAlign w:val="bottom"/>
          </w:tcPr>
          <w:p>
            <w:pPr>
              <w:jc w:val="center"/>
              <w:ind w:right="328"/>
              <w:spacing w:after="0"/>
              <w:rPr>
                <w:sz w:val="20"/>
                <w:szCs w:val="20"/>
                <w:color w:val="auto"/>
              </w:rPr>
            </w:pPr>
            <w:r>
              <w:rPr>
                <w:rFonts w:ascii="Arial" w:cs="Arial" w:eastAsia="Arial" w:hAnsi="Arial"/>
                <w:sz w:val="14"/>
                <w:szCs w:val="14"/>
                <w:b w:val="1"/>
                <w:bCs w:val="1"/>
                <w:color w:val="1352DE"/>
                <w:w w:val="9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7.6</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6600" w:type="dxa"/>
            <w:vAlign w:val="bottom"/>
          </w:tcPr>
          <w:p>
            <w:pPr>
              <w:ind w:left="20"/>
              <w:spacing w:after="0"/>
              <w:rPr>
                <w:sz w:val="20"/>
                <w:szCs w:val="20"/>
                <w:color w:val="auto"/>
              </w:rPr>
            </w:pPr>
            <w:r>
              <w:rPr>
                <w:rFonts w:ascii="Arial" w:cs="Arial" w:eastAsia="Arial" w:hAnsi="Arial"/>
                <w:sz w:val="14"/>
                <w:szCs w:val="14"/>
                <w:b w:val="1"/>
                <w:bCs w:val="1"/>
                <w:color w:val="3051F2"/>
              </w:rPr>
              <w:t>Adjusted return on equity</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352DE"/>
              </w:rPr>
              <w:t>10.3</w:t>
            </w: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352DE"/>
              </w:rPr>
              <w:t>10.5</w:t>
            </w:r>
          </w:p>
        </w:tc>
        <w:tc>
          <w:tcPr>
            <w:tcW w:w="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w:t>
            </w:r>
          </w:p>
        </w:tc>
        <w:tc>
          <w:tcPr>
            <w:tcW w:w="260" w:type="dxa"/>
            <w:vAlign w:val="bottom"/>
          </w:tcPr>
          <w:p>
            <w:pPr>
              <w:spacing w:after="0"/>
              <w:rPr>
                <w:sz w:val="17"/>
                <w:szCs w:val="17"/>
                <w:color w:val="auto"/>
              </w:rPr>
            </w:pPr>
          </w:p>
        </w:tc>
      </w:tr>
      <w:tr>
        <w:trPr>
          <w:trHeight w:val="198"/>
        </w:trPr>
        <w:tc>
          <w:tcPr>
            <w:tcW w:w="66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3051F2"/>
              </w:rPr>
              <w:t>Core operating return on equity</w:t>
            </w:r>
          </w:p>
        </w:tc>
        <w:tc>
          <w:tcPr>
            <w:tcW w:w="2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352DE"/>
              </w:rPr>
              <w:t>11.1</w:t>
            </w:r>
          </w:p>
        </w:tc>
        <w:tc>
          <w:tcPr>
            <w:tcW w:w="58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13.6</w:t>
            </w:r>
          </w:p>
        </w:tc>
        <w:tc>
          <w:tcPr>
            <w:tcW w:w="260" w:type="dxa"/>
            <w:vAlign w:val="bottom"/>
            <w:tcBorders>
              <w:bottom w:val="single" w:sz="8" w:color="1352DE"/>
            </w:tcBorders>
          </w:tcPr>
          <w:p>
            <w:pPr>
              <w:spacing w:after="0"/>
              <w:rPr>
                <w:sz w:val="17"/>
                <w:szCs w:val="17"/>
                <w:color w:val="auto"/>
              </w:rPr>
            </w:pPr>
          </w:p>
        </w:tc>
        <w:tc>
          <w:tcPr>
            <w:tcW w:w="24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352DE"/>
              </w:rPr>
              <w:t>11.4</w:t>
            </w:r>
          </w:p>
        </w:tc>
        <w:tc>
          <w:tcPr>
            <w:tcW w:w="560" w:type="dxa"/>
            <w:vAlign w:val="bottom"/>
            <w:tcBorders>
              <w:bottom w:val="single" w:sz="8" w:color="1352DE"/>
            </w:tcBorders>
          </w:tcPr>
          <w:p>
            <w:pPr>
              <w:spacing w:after="0"/>
              <w:rPr>
                <w:sz w:val="17"/>
                <w:szCs w:val="17"/>
                <w:color w:val="auto"/>
              </w:rPr>
            </w:pPr>
          </w:p>
        </w:tc>
        <w:tc>
          <w:tcPr>
            <w:tcW w:w="5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10.9</w:t>
            </w:r>
          </w:p>
        </w:tc>
        <w:tc>
          <w:tcPr>
            <w:tcW w:w="260" w:type="dxa"/>
            <w:vAlign w:val="bottom"/>
            <w:tcBorders>
              <w:bottom w:val="single" w:sz="8" w:color="1352DE"/>
            </w:tcBorders>
          </w:tcPr>
          <w:p>
            <w:pPr>
              <w:spacing w:after="0"/>
              <w:rPr>
                <w:sz w:val="17"/>
                <w:szCs w:val="17"/>
                <w:color w:val="auto"/>
              </w:rPr>
            </w:pPr>
          </w:p>
        </w:tc>
      </w:tr>
    </w:tbl>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001871"/>
        </w:rPr>
        <w:t xml:space="preserve">Ratios: </w:t>
      </w:r>
      <w:r>
        <w:rPr>
          <w:rFonts w:ascii="Arial" w:cs="Arial" w:eastAsia="Arial" w:hAnsi="Arial"/>
          <w:sz w:val="16"/>
          <w:szCs w:val="16"/>
          <w:color w:val="000000"/>
        </w:rPr>
        <w:t>We, along with most property and casualty insurance companies, use the loss ratio, the expense ratio and the combined ratio as measures of</w:t>
      </w:r>
      <w:r>
        <w:rPr>
          <w:rFonts w:ascii="Arial" w:cs="Arial" w:eastAsia="Arial" w:hAnsi="Arial"/>
          <w:sz w:val="16"/>
          <w:szCs w:val="16"/>
          <w:b w:val="1"/>
          <w:bCs w:val="1"/>
          <w:color w:val="001871"/>
        </w:rPr>
        <w:t xml:space="preserve"> </w:t>
      </w:r>
      <w:r>
        <w:rPr>
          <w:rFonts w:ascii="Arial" w:cs="Arial" w:eastAsia="Arial" w:hAnsi="Arial"/>
          <w:sz w:val="16"/>
          <w:szCs w:val="16"/>
          <w:color w:val="000000"/>
        </w:rPr>
        <w:t>underwriting performance. These ratios are relative measurements that describe, for every $100 of net premiums earned, the amount of losses and loss adjustment expenses (which for General Insurance excludes net loss reserve discount), and the amount of other underwriting expenses that would be incurred. A combined ratio of less than 100 indicates underwriting income and a combined ratio of over 100 indicates an underwriting loss. Our ratios are calculated using the relevant segment information calculated under GAAP, and thus may not be comparable to similar ratios calculated for regulatory reporting purposes. The underwriting environment varies across countries and products, as does the degree of litigation activity, all of which affect such ratios. In addition, investment returns, local taxes, cost of capital, regulation, product type and competition can have an effect on pricing and consequently on profitability as reflected in underwriting income and associated ratios.</w:t>
      </w:r>
    </w:p>
    <w:p>
      <w:pPr>
        <w:spacing w:after="0" w:line="7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001871"/>
        </w:rPr>
        <w:t xml:space="preserve">Accident year loss and accident year combined ratios, as adjusted (Accident year loss ratio, ex-CAT and Accident year combined ratio, ex-CAT): </w:t>
      </w:r>
      <w:r>
        <w:rPr>
          <w:rFonts w:ascii="Arial" w:cs="Arial" w:eastAsia="Arial" w:hAnsi="Arial"/>
          <w:sz w:val="16"/>
          <w:szCs w:val="16"/>
          <w:color w:val="000000"/>
        </w:rPr>
        <w:t>both the accident year loss and accident year combined ratios, as adjusted, exclude catastrophe losses and related reinstatement premiums, net of reinsurance, and prior year development, net of prior year premiums, net of reinsurance, and the impact of reserve discounting. Natural catastrophe losses are generally weather or seismic events, in each case, having a net impact on AIG in excess of $10 million and man-made catastrophe losses, such as terrorism and civil unrest that exceed the $10 million threshold. We believe that as adjusted ratios are meaningful measures of our underwriting results on an ongoing basis as they exclude catastrophes and the impact of reserve discounting which are outside of management’s control. We also exclude prior year development to provide transparency related to current accident year results.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Results from discontinued operations are excluded from all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234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7"/>
          <w:szCs w:val="27"/>
          <w:color w:val="001871"/>
        </w:rPr>
        <w:t>Investments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OVERVIEW</w:t>
      </w:r>
    </w:p>
    <w:p>
      <w:pPr>
        <w:spacing w:after="0" w:line="10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Our investment strategies are tailored to the specific business needs of each segment by targeting an asset allocation mix that supports estimated cash flow needs of our outstanding liabilities and provides diversification from an asset class, sector, issuer, and geographic perspective. The primary objectives are generation of investment income, preservation of capital, liquidity management and growth of surplus. The majority of assets backing our insurance liabilities consist of fixed maturity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Strategic Investments</w:t>
      </w:r>
    </w:p>
    <w:p>
      <w:pPr>
        <w:spacing w:after="0" w:line="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February 6, 2026, AIG closed its previously announced acquisitions of (i) a 35 percent equity interest in Convex Group Limited (Convex), a global specialty insurer, for $2.1 billion and (ii) a 9.9 percent ownership stake in Onex Corporation (Onex), a global asset manager, for $642 million. AIG reflects its interest in Convex as an equity method investment in Other invested assets. The difference between the purchase price and the value of the underlying net assets acquired is primarily comprised of intangible assets and other basis differences of $520 million and goodwill of $440 million. AIG records its proportionate share of Convex’s net income less amortization of the basis differences described above as a component of Net investment income reported in General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374015</wp:posOffset>
            </wp:positionV>
            <wp:extent cx="23317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Investments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INVESTMENT HIGHLIGHTS</w:t>
      </w:r>
    </w:p>
    <w:p>
      <w:pPr>
        <w:spacing w:after="0" w:line="10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Blended investment yields on new investments were higher than blended rates on investments that were sold, matured or called during this period. We continued to make investments in structured securities and other fixed maturity securities with attractive risk-adjusted return characteristics to improve yields and increase net investment income.</w:t>
      </w:r>
    </w:p>
    <w:p>
      <w:pPr>
        <w:spacing w:after="0" w:line="6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Total Net investment income decreased for the nine months ended September 30, 2026 compared to the prior year, primarily due to changes in the fair value of AIG's investments and lower income from alternative investments and mortgage loans, partially offset by higher income on available for sale fixed maturity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INVESTMENT STRATEGIES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Investment strategies are assessed at the segment level and involve considerations that include local and general market and economic conditions, duration and cash flow management, risk appetite and volatility constraints, rating agency and regulatory capital considerations, tax, regulatory and legal investment limitations, and, where appropriate, environmental, social and governance considerations.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Some of our key investment strategies are as follows:</w:t>
      </w:r>
    </w:p>
    <w:p>
      <w:pPr>
        <w:spacing w:after="0" w:line="86" w:lineRule="exact"/>
        <w:rPr>
          <w:sz w:val="20"/>
          <w:szCs w:val="20"/>
          <w:color w:val="auto"/>
        </w:rPr>
      </w:pPr>
    </w:p>
    <w:p>
      <w:pPr>
        <w:ind w:left="220" w:right="440" w:hanging="212"/>
        <w:spacing w:after="0" w:line="316" w:lineRule="auto"/>
        <w:tabs>
          <w:tab w:leader="none" w:pos="2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fundamental strategy across the portfolios is to seek investments with similar duration and cash flow characteristics to the associated insurance liabilities to the extent practicable.</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Within General Insurance, investments generally consist of a split between reserve backing and surplus portfolios.</w:t>
      </w:r>
    </w:p>
    <w:p>
      <w:pPr>
        <w:spacing w:after="0" w:line="86" w:lineRule="exact"/>
        <w:rPr>
          <w:rFonts w:ascii="Arial" w:cs="Arial" w:eastAsia="Arial" w:hAnsi="Arial"/>
          <w:sz w:val="16"/>
          <w:szCs w:val="16"/>
          <w:color w:val="auto"/>
        </w:rPr>
      </w:pPr>
    </w:p>
    <w:p>
      <w:pPr>
        <w:ind w:left="440" w:right="140" w:hanging="220"/>
        <w:spacing w:after="0" w:line="301" w:lineRule="auto"/>
        <w:rPr>
          <w:rFonts w:ascii="Arial" w:cs="Arial" w:eastAsia="Arial" w:hAnsi="Arial"/>
          <w:sz w:val="16"/>
          <w:szCs w:val="16"/>
          <w:color w:val="auto"/>
        </w:rPr>
      </w:pPr>
      <w:r>
        <w:rPr>
          <w:rFonts w:ascii="Arial" w:cs="Arial" w:eastAsia="Arial" w:hAnsi="Arial"/>
          <w:sz w:val="16"/>
          <w:szCs w:val="16"/>
          <w:color w:val="auto"/>
        </w:rPr>
        <w:t>– Insurance reserves are backed mainly by investment grade fixed maturity securities that meet our duration, currency, risk-return, capital, tax, liquidity, credit quality and diversification objectives. We assess asset classes based on their fundamental underlying risk factors, including credit (public and private), commercial real estate and residential real estate, regardless of whether such investments are bonds, loans, or structured products.</w:t>
      </w:r>
    </w:p>
    <w:p>
      <w:pPr>
        <w:spacing w:after="0" w:line="9" w:lineRule="exact"/>
        <w:rPr>
          <w:rFonts w:ascii="Arial" w:cs="Arial" w:eastAsia="Arial" w:hAnsi="Arial"/>
          <w:sz w:val="16"/>
          <w:szCs w:val="16"/>
          <w:color w:val="auto"/>
        </w:rPr>
      </w:pPr>
    </w:p>
    <w:p>
      <w:pPr>
        <w:ind w:left="440" w:right="140" w:hanging="220"/>
        <w:spacing w:after="0" w:line="308" w:lineRule="auto"/>
        <w:rPr>
          <w:rFonts w:ascii="Arial" w:cs="Arial" w:eastAsia="Arial" w:hAnsi="Arial"/>
          <w:sz w:val="16"/>
          <w:szCs w:val="16"/>
          <w:color w:val="auto"/>
        </w:rPr>
      </w:pPr>
      <w:r>
        <w:rPr>
          <w:rFonts w:ascii="Arial" w:cs="Arial" w:eastAsia="Arial" w:hAnsi="Arial"/>
          <w:sz w:val="16"/>
          <w:szCs w:val="16"/>
          <w:color w:val="auto"/>
        </w:rPr>
        <w:t>– Surplus investments seek to enhance portfolio returns and are generally comprised of a mix of fixed maturity investment grade and below investment grade securities and various alternative asset classes, including private equity and private credit.</w:t>
      </w:r>
    </w:p>
    <w:p>
      <w:pPr>
        <w:ind w:left="220" w:right="20" w:hanging="212"/>
        <w:spacing w:after="0" w:line="316" w:lineRule="auto"/>
        <w:tabs>
          <w:tab w:leader="none" w:pos="2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seek to purchase private equity and private credit assets that offer enhanced yield through illiquidity premiums and other portfolio diversification benefits. The private credit assets typically provide credit protections such as covenants along with other features that support insurance company needs.</w:t>
      </w:r>
    </w:p>
    <w:p>
      <w:pPr>
        <w:spacing w:after="0" w:line="1" w:lineRule="exact"/>
        <w:rPr>
          <w:rFonts w:ascii="Arial" w:cs="Arial" w:eastAsia="Arial" w:hAnsi="Arial"/>
          <w:sz w:val="16"/>
          <w:szCs w:val="16"/>
          <w:color w:val="auto"/>
        </w:rPr>
      </w:pPr>
    </w:p>
    <w:p>
      <w:pPr>
        <w:ind w:left="220" w:right="60" w:hanging="212"/>
        <w:spacing w:after="0" w:line="301" w:lineRule="auto"/>
        <w:tabs>
          <w:tab w:leader="none" w:pos="2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Given our global presence, we seek investments that provide diversification from investments available in local markets. To the extent we purchase these investments, we generally hedge any currency risk using derivatives, which could provide opportunities to earn higher risk adjusted returns compared to investments in the functional currency.</w:t>
      </w:r>
    </w:p>
    <w:p>
      <w:pPr>
        <w:spacing w:after="0" w:line="9" w:lineRule="exact"/>
        <w:rPr>
          <w:rFonts w:ascii="Arial" w:cs="Arial" w:eastAsia="Arial" w:hAnsi="Arial"/>
          <w:sz w:val="16"/>
          <w:szCs w:val="16"/>
          <w:color w:val="auto"/>
        </w:rPr>
      </w:pPr>
    </w:p>
    <w:p>
      <w:pPr>
        <w:ind w:left="220" w:right="120" w:hanging="212"/>
        <w:spacing w:after="0" w:line="301" w:lineRule="auto"/>
        <w:tabs>
          <w:tab w:leader="none" w:pos="2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AIG Parent, included in Other Operations, actively manages its assets and liabilities, counterparties and duration. AIG Parent’s liquidity sources are held primarily in the form of cash and short-term investments. This strategy allows us to both diversify our sources of liquidity and reduce the cost of maintaining sufficient liquidity.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Asset-Liability Management</w:t>
      </w:r>
    </w:p>
    <w:p>
      <w:pPr>
        <w:spacing w:after="0" w:line="6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investment strategy within the General Insurance companies focuses on growth of surplus, maintenance of sufficient liquidity for unanticipated insurance claims, and preservation of capital. General Insurance invests primarily in fixed maturity securities issued by corporations, municipalities and other governmental agencies; structured securities collateralized by, among other assets, residential and commercial real estate; and commercial mortgage loans. Fixed maturity securities of the General Insurance companies have an average duration of 4 years.</w:t>
      </w:r>
    </w:p>
    <w:p>
      <w:pPr>
        <w:spacing w:after="0" w:line="67"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While assets backing reserves of the General Insurance companies are primarily invested in conventional liquid fixed maturity securities, we have also continued to allocate a portion of our portfolio to asset classes that offer higher yields through structural and illiquidity premiums, particularly in our North America operations. In addition, we continue to invest in both fixed rate and floating rate asset-backed investments to manage our exposure to potential changes in interest rates and inflation. We seek to diversify the portfolio across asset classes, sectors and issuers to mitigate idiosyncratic portfolio risks.</w:t>
      </w:r>
    </w:p>
    <w:p>
      <w:pPr>
        <w:spacing w:after="0" w:line="6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a portion of the surplus of General Insurance companies is invested in a diversified portfolio of alternative investments that seek to balance liquidity, volatility and growth of surplus. Although these alternative investments are subject to periodic earnings fluctuations, they have historically achieved yields in excess of the fixed maturity portfolio yields and have provided added diversification to the broader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4771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760" w:hanging="734"/>
        <w:spacing w:after="0"/>
        <w:tabs>
          <w:tab w:leader="none" w:pos="760" w:val="left"/>
        </w:tabs>
        <w:numPr>
          <w:ilvl w:val="0"/>
          <w:numId w:val="89"/>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color w:val="0000FF"/>
              </w:rPr>
              <w:t>TABLE OF CONTENTS</w:t>
            </w:r>
          </w:p>
        </w:tc>
      </w:tr>
      <w:tr>
        <w:trPr>
          <w:trHeight w:val="394"/>
        </w:trPr>
        <w:tc>
          <w:tcPr>
            <w:tcW w:w="6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top w:val="single" w:sz="8" w:color="0000FF"/>
            </w:tcBorders>
            <w:gridSpan w:val="2"/>
          </w:tcPr>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Investments</w:t>
            </w:r>
          </w:p>
        </w:tc>
      </w:tr>
      <w:tr>
        <w:trPr>
          <w:trHeight w:val="650"/>
        </w:trPr>
        <w:tc>
          <w:tcPr>
            <w:tcW w:w="6700" w:type="dxa"/>
            <w:vAlign w:val="bottom"/>
          </w:tcPr>
          <w:p>
            <w:pPr>
              <w:spacing w:after="0"/>
              <w:rPr>
                <w:sz w:val="20"/>
                <w:szCs w:val="20"/>
                <w:color w:val="auto"/>
              </w:rPr>
            </w:pPr>
            <w:r>
              <w:rPr>
                <w:rFonts w:ascii="Arial" w:cs="Arial" w:eastAsia="Arial" w:hAnsi="Arial"/>
                <w:sz w:val="18"/>
                <w:szCs w:val="18"/>
                <w:b w:val="1"/>
                <w:bCs w:val="1"/>
                <w:color w:val="001871"/>
              </w:rPr>
              <w:t>Available-for-Sale Investments</w:t>
            </w: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6700" w:type="dxa"/>
            <w:vAlign w:val="bottom"/>
          </w:tcPr>
          <w:p>
            <w:pPr>
              <w:spacing w:after="0"/>
              <w:rPr>
                <w:sz w:val="20"/>
                <w:szCs w:val="20"/>
                <w:color w:val="auto"/>
              </w:rPr>
            </w:pPr>
            <w:r>
              <w:rPr>
                <w:rFonts w:ascii="Arial" w:cs="Arial" w:eastAsia="Arial" w:hAnsi="Arial"/>
                <w:sz w:val="16"/>
                <w:szCs w:val="16"/>
                <w:b w:val="1"/>
                <w:bCs w:val="1"/>
                <w:color w:val="1352DE"/>
              </w:rPr>
              <w:t>The following table presents the fair value of our available-for-sale securities:</w:t>
            </w: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3"/>
        </w:trPr>
        <w:tc>
          <w:tcPr>
            <w:tcW w:w="6700" w:type="dxa"/>
            <w:vAlign w:val="bottom"/>
            <w:tcBorders>
              <w:bottom w:val="single" w:sz="8" w:color="1352DE"/>
            </w:tcBorders>
          </w:tcPr>
          <w:p>
            <w:pPr>
              <w:spacing w:after="0"/>
              <w:rPr>
                <w:sz w:val="12"/>
                <w:szCs w:val="12"/>
                <w:color w:val="auto"/>
              </w:rPr>
            </w:pPr>
          </w:p>
        </w:tc>
        <w:tc>
          <w:tcPr>
            <w:tcW w:w="980" w:type="dxa"/>
            <w:vAlign w:val="bottom"/>
            <w:tcBorders>
              <w:bottom w:val="single" w:sz="8" w:color="1352DE"/>
            </w:tcBorders>
          </w:tcPr>
          <w:p>
            <w:pPr>
              <w:spacing w:after="0"/>
              <w:rPr>
                <w:sz w:val="12"/>
                <w:szCs w:val="12"/>
                <w:color w:val="auto"/>
              </w:rPr>
            </w:pPr>
          </w:p>
        </w:tc>
        <w:tc>
          <w:tcPr>
            <w:tcW w:w="1680" w:type="dxa"/>
            <w:vAlign w:val="bottom"/>
            <w:tcBorders>
              <w:bottom w:val="single" w:sz="8" w:color="1352DE"/>
            </w:tcBorders>
          </w:tcPr>
          <w:p>
            <w:pPr>
              <w:spacing w:after="0"/>
              <w:rPr>
                <w:sz w:val="12"/>
                <w:szCs w:val="12"/>
                <w:color w:val="auto"/>
              </w:rPr>
            </w:pPr>
          </w:p>
        </w:tc>
        <w:tc>
          <w:tcPr>
            <w:tcW w:w="340" w:type="dxa"/>
            <w:vAlign w:val="bottom"/>
            <w:tcBorders>
              <w:bottom w:val="single" w:sz="8" w:color="1352DE"/>
            </w:tcBorders>
          </w:tcPr>
          <w:p>
            <w:pPr>
              <w:spacing w:after="0"/>
              <w:rPr>
                <w:sz w:val="12"/>
                <w:szCs w:val="12"/>
                <w:color w:val="auto"/>
              </w:rPr>
            </w:pPr>
          </w:p>
        </w:tc>
        <w:tc>
          <w:tcPr>
            <w:tcW w:w="120" w:type="dxa"/>
            <w:vAlign w:val="bottom"/>
            <w:tcBorders>
              <w:bottom w:val="single" w:sz="8" w:color="1352DE"/>
            </w:tcBorders>
          </w:tcPr>
          <w:p>
            <w:pPr>
              <w:spacing w:after="0"/>
              <w:rPr>
                <w:sz w:val="12"/>
                <w:szCs w:val="12"/>
                <w:color w:val="auto"/>
              </w:rPr>
            </w:pPr>
          </w:p>
        </w:tc>
        <w:tc>
          <w:tcPr>
            <w:tcW w:w="1400" w:type="dxa"/>
            <w:vAlign w:val="bottom"/>
            <w:tcBorders>
              <w:bottom w:val="single" w:sz="8" w:color="1352DE"/>
            </w:tcBorders>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3"/>
                <w:szCs w:val="13"/>
                <w:i w:val="1"/>
                <w:iCs w:val="1"/>
                <w:color w:val="1252DE"/>
              </w:rPr>
              <w:t>(in millions)</w:t>
            </w:r>
          </w:p>
        </w:tc>
        <w:tc>
          <w:tcPr>
            <w:tcW w:w="980" w:type="dxa"/>
            <w:vAlign w:val="bottom"/>
          </w:tcPr>
          <w:p>
            <w:pPr>
              <w:spacing w:after="0"/>
              <w:rPr>
                <w:sz w:val="16"/>
                <w:szCs w:val="16"/>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b w:val="1"/>
                <w:bCs w:val="1"/>
                <w:color w:val="1252DE"/>
              </w:rPr>
              <w:t>September 30, 2026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1252DE"/>
              </w:rPr>
              <w:t>December 31, 2025</w:t>
            </w:r>
          </w:p>
        </w:tc>
      </w:tr>
      <w:tr>
        <w:trPr>
          <w:trHeight w:val="195"/>
        </w:trPr>
        <w:tc>
          <w:tcPr>
            <w:tcW w:w="6700" w:type="dxa"/>
            <w:vAlign w:val="bottom"/>
            <w:tcBorders>
              <w:top w:val="single" w:sz="8" w:color="1352DE"/>
            </w:tcBorders>
          </w:tcPr>
          <w:p>
            <w:pPr>
              <w:ind w:left="20"/>
              <w:spacing w:after="0"/>
              <w:rPr>
                <w:sz w:val="20"/>
                <w:szCs w:val="20"/>
                <w:color w:val="auto"/>
              </w:rPr>
            </w:pPr>
            <w:r>
              <w:rPr>
                <w:rFonts w:ascii="Arial" w:cs="Arial" w:eastAsia="Arial" w:hAnsi="Arial"/>
                <w:sz w:val="14"/>
                <w:szCs w:val="14"/>
                <w:b w:val="1"/>
                <w:bCs w:val="1"/>
                <w:color w:val="1252DE"/>
              </w:rPr>
              <w:t>Bonds available for sale:</w:t>
            </w:r>
          </w:p>
        </w:tc>
        <w:tc>
          <w:tcPr>
            <w:tcW w:w="980" w:type="dxa"/>
            <w:vAlign w:val="bottom"/>
            <w:tcBorders>
              <w:top w:val="single" w:sz="8" w:color="1352DE"/>
            </w:tcBorders>
          </w:tcPr>
          <w:p>
            <w:pPr>
              <w:spacing w:after="0"/>
              <w:rPr>
                <w:sz w:val="16"/>
                <w:szCs w:val="16"/>
                <w:color w:val="auto"/>
              </w:rPr>
            </w:pPr>
          </w:p>
        </w:tc>
        <w:tc>
          <w:tcPr>
            <w:tcW w:w="1680" w:type="dxa"/>
            <w:vAlign w:val="bottom"/>
            <w:tcBorders>
              <w:top w:val="single" w:sz="8" w:color="1352DE"/>
            </w:tcBorders>
          </w:tcPr>
          <w:p>
            <w:pPr>
              <w:spacing w:after="0"/>
              <w:rPr>
                <w:sz w:val="16"/>
                <w:szCs w:val="16"/>
                <w:color w:val="auto"/>
              </w:rPr>
            </w:pPr>
          </w:p>
        </w:tc>
        <w:tc>
          <w:tcPr>
            <w:tcW w:w="340" w:type="dxa"/>
            <w:vAlign w:val="bottom"/>
            <w:tcBorders>
              <w:top w:val="single" w:sz="8" w:color="1352DE"/>
            </w:tcBorders>
          </w:tcPr>
          <w:p>
            <w:pPr>
              <w:spacing w:after="0"/>
              <w:rPr>
                <w:sz w:val="16"/>
                <w:szCs w:val="16"/>
                <w:color w:val="auto"/>
              </w:rPr>
            </w:pPr>
          </w:p>
        </w:tc>
        <w:tc>
          <w:tcPr>
            <w:tcW w:w="120" w:type="dxa"/>
            <w:vAlign w:val="bottom"/>
            <w:tcBorders>
              <w:top w:val="single" w:sz="8" w:color="1352DE"/>
            </w:tcBorders>
          </w:tcPr>
          <w:p>
            <w:pPr>
              <w:spacing w:after="0"/>
              <w:rPr>
                <w:sz w:val="16"/>
                <w:szCs w:val="16"/>
                <w:color w:val="auto"/>
              </w:rPr>
            </w:pPr>
          </w:p>
        </w:tc>
        <w:tc>
          <w:tcPr>
            <w:tcW w:w="1400" w:type="dxa"/>
            <w:vAlign w:val="bottom"/>
            <w:tcBorders>
              <w:top w:val="single" w:sz="8" w:color="1352DE"/>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700" w:type="dxa"/>
            <w:vAlign w:val="bottom"/>
          </w:tcPr>
          <w:p>
            <w:pPr>
              <w:ind w:left="140"/>
              <w:spacing w:after="0"/>
              <w:rPr>
                <w:sz w:val="20"/>
                <w:szCs w:val="20"/>
                <w:color w:val="auto"/>
              </w:rPr>
            </w:pPr>
            <w:r>
              <w:rPr>
                <w:rFonts w:ascii="Arial" w:cs="Arial" w:eastAsia="Arial" w:hAnsi="Arial"/>
                <w:sz w:val="14"/>
                <w:szCs w:val="14"/>
                <w:color w:val="auto"/>
              </w:rPr>
              <w:t>U.S. government and government sponsored entities</w:t>
            </w: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3,624</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3,298</w:t>
            </w:r>
          </w:p>
        </w:tc>
        <w:tc>
          <w:tcPr>
            <w:tcW w:w="20" w:type="dxa"/>
            <w:vAlign w:val="bottom"/>
          </w:tcPr>
          <w:p>
            <w:pPr>
              <w:spacing w:after="0"/>
              <w:rPr>
                <w:sz w:val="17"/>
                <w:szCs w:val="17"/>
                <w:color w:val="auto"/>
              </w:rPr>
            </w:pPr>
          </w:p>
        </w:tc>
      </w:tr>
      <w:tr>
        <w:trPr>
          <w:trHeight w:val="203"/>
        </w:trPr>
        <w:tc>
          <w:tcPr>
            <w:tcW w:w="6700" w:type="dxa"/>
            <w:vAlign w:val="bottom"/>
          </w:tcPr>
          <w:p>
            <w:pPr>
              <w:ind w:left="140"/>
              <w:spacing w:after="0"/>
              <w:rPr>
                <w:sz w:val="20"/>
                <w:szCs w:val="20"/>
                <w:color w:val="auto"/>
              </w:rPr>
            </w:pPr>
            <w:r>
              <w:rPr>
                <w:rFonts w:ascii="Arial" w:cs="Arial" w:eastAsia="Arial" w:hAnsi="Arial"/>
                <w:sz w:val="14"/>
                <w:szCs w:val="14"/>
                <w:color w:val="auto"/>
              </w:rPr>
              <w:t>Obligations of states, municipalities and political subdivisions</w:t>
            </w:r>
          </w:p>
        </w:tc>
        <w:tc>
          <w:tcPr>
            <w:tcW w:w="98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2,329</w:t>
            </w:r>
          </w:p>
        </w:tc>
        <w:tc>
          <w:tcPr>
            <w:tcW w:w="3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2,775</w:t>
            </w:r>
          </w:p>
        </w:tc>
        <w:tc>
          <w:tcPr>
            <w:tcW w:w="20" w:type="dxa"/>
            <w:vAlign w:val="bottom"/>
          </w:tcPr>
          <w:p>
            <w:pPr>
              <w:spacing w:after="0"/>
              <w:rPr>
                <w:sz w:val="17"/>
                <w:szCs w:val="17"/>
                <w:color w:val="auto"/>
              </w:rPr>
            </w:pPr>
          </w:p>
        </w:tc>
      </w:tr>
      <w:tr>
        <w:trPr>
          <w:trHeight w:val="203"/>
        </w:trPr>
        <w:tc>
          <w:tcPr>
            <w:tcW w:w="6700" w:type="dxa"/>
            <w:vAlign w:val="bottom"/>
          </w:tcPr>
          <w:p>
            <w:pPr>
              <w:ind w:left="140"/>
              <w:spacing w:after="0"/>
              <w:rPr>
                <w:sz w:val="20"/>
                <w:szCs w:val="20"/>
                <w:color w:val="auto"/>
              </w:rPr>
            </w:pPr>
            <w:r>
              <w:rPr>
                <w:rFonts w:ascii="Arial" w:cs="Arial" w:eastAsia="Arial" w:hAnsi="Arial"/>
                <w:sz w:val="14"/>
                <w:szCs w:val="14"/>
                <w:color w:val="auto"/>
              </w:rPr>
              <w:t>Non-U.S. governments</w:t>
            </w:r>
          </w:p>
        </w:tc>
        <w:tc>
          <w:tcPr>
            <w:tcW w:w="98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6,173</w:t>
            </w:r>
          </w:p>
        </w:tc>
        <w:tc>
          <w:tcPr>
            <w:tcW w:w="3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6,516</w:t>
            </w:r>
          </w:p>
        </w:tc>
        <w:tc>
          <w:tcPr>
            <w:tcW w:w="20" w:type="dxa"/>
            <w:vAlign w:val="bottom"/>
          </w:tcPr>
          <w:p>
            <w:pPr>
              <w:spacing w:after="0"/>
              <w:rPr>
                <w:sz w:val="17"/>
                <w:szCs w:val="17"/>
                <w:color w:val="auto"/>
              </w:rPr>
            </w:pPr>
          </w:p>
        </w:tc>
      </w:tr>
      <w:tr>
        <w:trPr>
          <w:trHeight w:val="203"/>
        </w:trPr>
        <w:tc>
          <w:tcPr>
            <w:tcW w:w="6700" w:type="dxa"/>
            <w:vAlign w:val="bottom"/>
          </w:tcPr>
          <w:p>
            <w:pPr>
              <w:ind w:left="140"/>
              <w:spacing w:after="0"/>
              <w:rPr>
                <w:sz w:val="20"/>
                <w:szCs w:val="20"/>
                <w:color w:val="auto"/>
              </w:rPr>
            </w:pPr>
            <w:r>
              <w:rPr>
                <w:rFonts w:ascii="Arial" w:cs="Arial" w:eastAsia="Arial" w:hAnsi="Arial"/>
                <w:sz w:val="14"/>
                <w:szCs w:val="14"/>
                <w:color w:val="auto"/>
              </w:rPr>
              <w:t>Corporate debt</w:t>
            </w:r>
          </w:p>
        </w:tc>
        <w:tc>
          <w:tcPr>
            <w:tcW w:w="98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38,283</w:t>
            </w:r>
          </w:p>
        </w:tc>
        <w:tc>
          <w:tcPr>
            <w:tcW w:w="3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37,235</w:t>
            </w:r>
          </w:p>
        </w:tc>
        <w:tc>
          <w:tcPr>
            <w:tcW w:w="20" w:type="dxa"/>
            <w:vAlign w:val="bottom"/>
          </w:tcPr>
          <w:p>
            <w:pPr>
              <w:spacing w:after="0"/>
              <w:rPr>
                <w:sz w:val="17"/>
                <w:szCs w:val="17"/>
                <w:color w:val="auto"/>
              </w:rPr>
            </w:pPr>
          </w:p>
        </w:tc>
      </w:tr>
      <w:tr>
        <w:trPr>
          <w:trHeight w:val="197"/>
        </w:trPr>
        <w:tc>
          <w:tcPr>
            <w:tcW w:w="6700" w:type="dxa"/>
            <w:vAlign w:val="bottom"/>
          </w:tcPr>
          <w:p>
            <w:pPr>
              <w:ind w:left="140"/>
              <w:spacing w:after="0"/>
              <w:rPr>
                <w:sz w:val="20"/>
                <w:szCs w:val="20"/>
                <w:color w:val="auto"/>
              </w:rPr>
            </w:pPr>
            <w:r>
              <w:rPr>
                <w:rFonts w:ascii="Arial" w:cs="Arial" w:eastAsia="Arial" w:hAnsi="Arial"/>
                <w:sz w:val="14"/>
                <w:szCs w:val="14"/>
                <w:color w:val="auto"/>
              </w:rPr>
              <w:t>Mortgage-backed, asset-backed and collateralized:</w:t>
            </w:r>
          </w:p>
        </w:tc>
        <w:tc>
          <w:tcPr>
            <w:tcW w:w="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6700" w:type="dxa"/>
            <w:vAlign w:val="bottom"/>
          </w:tcPr>
          <w:p>
            <w:pPr>
              <w:ind w:left="240"/>
              <w:spacing w:after="0"/>
              <w:rPr>
                <w:sz w:val="20"/>
                <w:szCs w:val="20"/>
                <w:color w:val="auto"/>
              </w:rPr>
            </w:pPr>
            <w:r>
              <w:rPr>
                <w:rFonts w:ascii="Arial" w:cs="Arial" w:eastAsia="Arial" w:hAnsi="Arial"/>
                <w:sz w:val="14"/>
                <w:szCs w:val="14"/>
                <w:color w:val="auto"/>
              </w:rPr>
              <w:t>RMBS - agency</w:t>
            </w:r>
          </w:p>
        </w:tc>
        <w:tc>
          <w:tcPr>
            <w:tcW w:w="980" w:type="dxa"/>
            <w:vAlign w:val="bottom"/>
          </w:tcPr>
          <w:p>
            <w:pPr>
              <w:spacing w:after="0"/>
              <w:rPr>
                <w:sz w:val="18"/>
                <w:szCs w:val="18"/>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5,595</w:t>
            </w:r>
          </w:p>
        </w:tc>
        <w:tc>
          <w:tcPr>
            <w:tcW w:w="3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5,988</w:t>
            </w:r>
          </w:p>
        </w:tc>
        <w:tc>
          <w:tcPr>
            <w:tcW w:w="20" w:type="dxa"/>
            <w:vAlign w:val="bottom"/>
          </w:tcPr>
          <w:p>
            <w:pPr>
              <w:spacing w:after="0"/>
              <w:rPr>
                <w:sz w:val="18"/>
                <w:szCs w:val="18"/>
                <w:color w:val="auto"/>
              </w:rPr>
            </w:pPr>
          </w:p>
        </w:tc>
      </w:tr>
      <w:tr>
        <w:trPr>
          <w:trHeight w:val="203"/>
        </w:trPr>
        <w:tc>
          <w:tcPr>
            <w:tcW w:w="6700" w:type="dxa"/>
            <w:vAlign w:val="bottom"/>
          </w:tcPr>
          <w:p>
            <w:pPr>
              <w:ind w:left="240"/>
              <w:spacing w:after="0"/>
              <w:rPr>
                <w:sz w:val="20"/>
                <w:szCs w:val="20"/>
                <w:color w:val="auto"/>
              </w:rPr>
            </w:pPr>
            <w:r>
              <w:rPr>
                <w:rFonts w:ascii="Arial" w:cs="Arial" w:eastAsia="Arial" w:hAnsi="Arial"/>
                <w:sz w:val="14"/>
                <w:szCs w:val="14"/>
                <w:color w:val="auto"/>
              </w:rPr>
              <w:t>RMBS - non-agency</w:t>
            </w:r>
          </w:p>
        </w:tc>
        <w:tc>
          <w:tcPr>
            <w:tcW w:w="98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5,435</w:t>
            </w:r>
          </w:p>
        </w:tc>
        <w:tc>
          <w:tcPr>
            <w:tcW w:w="3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4,180</w:t>
            </w:r>
          </w:p>
        </w:tc>
        <w:tc>
          <w:tcPr>
            <w:tcW w:w="20" w:type="dxa"/>
            <w:vAlign w:val="bottom"/>
          </w:tcPr>
          <w:p>
            <w:pPr>
              <w:spacing w:after="0"/>
              <w:rPr>
                <w:sz w:val="17"/>
                <w:szCs w:val="17"/>
                <w:color w:val="auto"/>
              </w:rPr>
            </w:pPr>
          </w:p>
        </w:tc>
      </w:tr>
      <w:tr>
        <w:trPr>
          <w:trHeight w:val="203"/>
        </w:trPr>
        <w:tc>
          <w:tcPr>
            <w:tcW w:w="6700" w:type="dxa"/>
            <w:vAlign w:val="bottom"/>
          </w:tcPr>
          <w:p>
            <w:pPr>
              <w:ind w:left="240"/>
              <w:spacing w:after="0"/>
              <w:rPr>
                <w:sz w:val="20"/>
                <w:szCs w:val="20"/>
                <w:color w:val="auto"/>
              </w:rPr>
            </w:pPr>
            <w:r>
              <w:rPr>
                <w:rFonts w:ascii="Arial" w:cs="Arial" w:eastAsia="Arial" w:hAnsi="Arial"/>
                <w:sz w:val="14"/>
                <w:szCs w:val="14"/>
                <w:color w:val="auto"/>
              </w:rPr>
              <w:t>CMBS</w:t>
            </w:r>
          </w:p>
        </w:tc>
        <w:tc>
          <w:tcPr>
            <w:tcW w:w="98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4,750</w:t>
            </w:r>
          </w:p>
        </w:tc>
        <w:tc>
          <w:tcPr>
            <w:tcW w:w="3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4,616</w:t>
            </w:r>
          </w:p>
        </w:tc>
        <w:tc>
          <w:tcPr>
            <w:tcW w:w="20" w:type="dxa"/>
            <w:vAlign w:val="bottom"/>
          </w:tcPr>
          <w:p>
            <w:pPr>
              <w:spacing w:after="0"/>
              <w:rPr>
                <w:sz w:val="17"/>
                <w:szCs w:val="17"/>
                <w:color w:val="auto"/>
              </w:rPr>
            </w:pPr>
          </w:p>
        </w:tc>
      </w:tr>
      <w:tr>
        <w:trPr>
          <w:trHeight w:val="204"/>
        </w:trPr>
        <w:tc>
          <w:tcPr>
            <w:tcW w:w="670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CLO/ABS</w:t>
            </w:r>
          </w:p>
        </w:tc>
        <w:tc>
          <w:tcPr>
            <w:tcW w:w="980" w:type="dxa"/>
            <w:vAlign w:val="bottom"/>
            <w:tcBorders>
              <w:bottom w:val="single" w:sz="8" w:color="1352DE"/>
            </w:tcBorders>
          </w:tcPr>
          <w:p>
            <w:pPr>
              <w:spacing w:after="0"/>
              <w:rPr>
                <w:sz w:val="17"/>
                <w:szCs w:val="17"/>
                <w:color w:val="auto"/>
              </w:rPr>
            </w:pPr>
          </w:p>
        </w:tc>
        <w:tc>
          <w:tcPr>
            <w:tcW w:w="16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5,453</w:t>
            </w:r>
          </w:p>
        </w:tc>
        <w:tc>
          <w:tcPr>
            <w:tcW w:w="340" w:type="dxa"/>
            <w:vAlign w:val="bottom"/>
            <w:tcBorders>
              <w:bottom w:val="single" w:sz="8" w:color="1352DE"/>
            </w:tcBorders>
          </w:tcPr>
          <w:p>
            <w:pPr>
              <w:spacing w:after="0"/>
              <w:rPr>
                <w:sz w:val="17"/>
                <w:szCs w:val="17"/>
                <w:color w:val="auto"/>
              </w:rPr>
            </w:pPr>
          </w:p>
        </w:tc>
        <w:tc>
          <w:tcPr>
            <w:tcW w:w="152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auto"/>
              </w:rPr>
              <w:t>6,424</w:t>
            </w:r>
          </w:p>
        </w:tc>
        <w:tc>
          <w:tcPr>
            <w:tcW w:w="20" w:type="dxa"/>
            <w:vAlign w:val="bottom"/>
          </w:tcPr>
          <w:p>
            <w:pPr>
              <w:spacing w:after="0"/>
              <w:rPr>
                <w:sz w:val="17"/>
                <w:szCs w:val="17"/>
                <w:color w:val="auto"/>
              </w:rPr>
            </w:pPr>
          </w:p>
        </w:tc>
      </w:tr>
      <w:tr>
        <w:trPr>
          <w:trHeight w:val="196"/>
        </w:trPr>
        <w:tc>
          <w:tcPr>
            <w:tcW w:w="670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252DE"/>
              </w:rPr>
              <w:t>Total mortgage-backed, asset-backed and collateralized</w:t>
            </w:r>
          </w:p>
        </w:tc>
        <w:tc>
          <w:tcPr>
            <w:tcW w:w="980" w:type="dxa"/>
            <w:vAlign w:val="bottom"/>
            <w:tcBorders>
              <w:bottom w:val="single" w:sz="8" w:color="1352DE"/>
            </w:tcBorders>
          </w:tcPr>
          <w:p>
            <w:pPr>
              <w:spacing w:after="0"/>
              <w:rPr>
                <w:sz w:val="17"/>
                <w:szCs w:val="17"/>
                <w:color w:val="auto"/>
              </w:rPr>
            </w:pPr>
          </w:p>
        </w:tc>
        <w:tc>
          <w:tcPr>
            <w:tcW w:w="16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21,233</w:t>
            </w:r>
          </w:p>
        </w:tc>
        <w:tc>
          <w:tcPr>
            <w:tcW w:w="340" w:type="dxa"/>
            <w:vAlign w:val="bottom"/>
            <w:tcBorders>
              <w:bottom w:val="single" w:sz="8" w:color="1352DE"/>
            </w:tcBorders>
          </w:tcPr>
          <w:p>
            <w:pPr>
              <w:spacing w:after="0"/>
              <w:rPr>
                <w:sz w:val="17"/>
                <w:szCs w:val="17"/>
                <w:color w:val="auto"/>
              </w:rPr>
            </w:pPr>
          </w:p>
        </w:tc>
        <w:tc>
          <w:tcPr>
            <w:tcW w:w="152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auto"/>
              </w:rPr>
              <w:t>21,208</w:t>
            </w:r>
          </w:p>
        </w:tc>
        <w:tc>
          <w:tcPr>
            <w:tcW w:w="20" w:type="dxa"/>
            <w:vAlign w:val="bottom"/>
          </w:tcPr>
          <w:p>
            <w:pPr>
              <w:spacing w:after="0"/>
              <w:rPr>
                <w:sz w:val="17"/>
                <w:szCs w:val="17"/>
                <w:color w:val="auto"/>
              </w:rPr>
            </w:pPr>
          </w:p>
        </w:tc>
      </w:tr>
      <w:tr>
        <w:trPr>
          <w:trHeight w:val="196"/>
        </w:trPr>
        <w:tc>
          <w:tcPr>
            <w:tcW w:w="67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bonds available for sale*</w:t>
            </w:r>
          </w:p>
        </w:tc>
        <w:tc>
          <w:tcPr>
            <w:tcW w:w="9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16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71,642</w:t>
            </w:r>
          </w:p>
        </w:tc>
        <w:tc>
          <w:tcPr>
            <w:tcW w:w="3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auto"/>
              </w:rPr>
              <w:t>71,032</w:t>
            </w:r>
          </w:p>
        </w:tc>
        <w:tc>
          <w:tcPr>
            <w:tcW w:w="20" w:type="dxa"/>
            <w:vAlign w:val="bottom"/>
          </w:tcPr>
          <w:p>
            <w:pPr>
              <w:spacing w:after="0"/>
              <w:rPr>
                <w:sz w:val="17"/>
                <w:szCs w:val="17"/>
                <w:color w:val="auto"/>
              </w:rPr>
            </w:pPr>
          </w:p>
        </w:tc>
      </w:tr>
    </w:tbl>
    <w:p>
      <w:pPr>
        <w:spacing w:after="0" w:line="144" w:lineRule="exact"/>
        <w:rPr>
          <w:sz w:val="20"/>
          <w:szCs w:val="20"/>
          <w:color w:val="auto"/>
        </w:rPr>
      </w:pPr>
    </w:p>
    <w:p>
      <w:pPr>
        <w:ind w:left="220" w:hanging="212"/>
        <w:spacing w:after="0"/>
        <w:tabs>
          <w:tab w:leader="none" w:pos="2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At September 30, 2026 and December 31, 2025, the fair value of bonds available for sale we held that were below investment grade or not rated totaled $5.9 billion and $5.9 billion,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fair value of our aggregate credit exposures to non-U.S. governments for our fixed maturity securities: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3360" w:type="dxa"/>
            <w:vAlign w:val="bottom"/>
            <w:tcBorders>
              <w:top w:val="single" w:sz="8" w:color="1352DE"/>
              <w:bottom w:val="single" w:sz="8" w:color="1352DE"/>
            </w:tcBorders>
          </w:tcPr>
          <w:p>
            <w:pPr>
              <w:spacing w:after="0"/>
              <w:rPr>
                <w:sz w:val="19"/>
                <w:szCs w:val="19"/>
                <w:color w:val="auto"/>
              </w:rPr>
            </w:pPr>
          </w:p>
        </w:tc>
        <w:tc>
          <w:tcPr>
            <w:tcW w:w="1680" w:type="dxa"/>
            <w:vAlign w:val="bottom"/>
            <w:tcBorders>
              <w:top w:val="single" w:sz="8" w:color="1352DE"/>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September 30, 2026</w:t>
            </w:r>
          </w:p>
        </w:tc>
        <w:tc>
          <w:tcPr>
            <w:tcW w:w="420" w:type="dxa"/>
            <w:vAlign w:val="bottom"/>
            <w:tcBorders>
              <w:top w:val="single" w:sz="8" w:color="1352DE"/>
              <w:bottom w:val="single" w:sz="8" w:color="1352DE"/>
            </w:tcBorders>
          </w:tcPr>
          <w:p>
            <w:pPr>
              <w:spacing w:after="0"/>
              <w:rPr>
                <w:sz w:val="19"/>
                <w:szCs w:val="19"/>
                <w:color w:val="auto"/>
              </w:rPr>
            </w:pPr>
          </w:p>
        </w:tc>
        <w:tc>
          <w:tcPr>
            <w:tcW w:w="144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December 31, 2025</w:t>
            </w:r>
          </w:p>
        </w:tc>
      </w:tr>
      <w:tr>
        <w:trPr>
          <w:trHeight w:val="200"/>
        </w:trPr>
        <w:tc>
          <w:tcPr>
            <w:tcW w:w="4320" w:type="dxa"/>
            <w:vAlign w:val="bottom"/>
          </w:tcPr>
          <w:p>
            <w:pPr>
              <w:ind w:left="20"/>
              <w:spacing w:after="0"/>
              <w:rPr>
                <w:sz w:val="20"/>
                <w:szCs w:val="20"/>
                <w:color w:val="auto"/>
              </w:rPr>
            </w:pPr>
            <w:r>
              <w:rPr>
                <w:rFonts w:ascii="Arial" w:cs="Arial" w:eastAsia="Arial" w:hAnsi="Arial"/>
                <w:sz w:val="14"/>
                <w:szCs w:val="14"/>
                <w:color w:val="auto"/>
              </w:rPr>
              <w:t>Canada</w:t>
            </w:r>
          </w:p>
        </w:tc>
        <w:tc>
          <w:tcPr>
            <w:tcW w:w="336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1,105</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1,207</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Japan</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435</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392</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344</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Germany</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389</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Australia</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331</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Israel</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260</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322</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Korea, Republic of</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243</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Malaysia</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225</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02"/>
        </w:trPr>
        <w:tc>
          <w:tcPr>
            <w:tcW w:w="4320" w:type="dxa"/>
            <w:vAlign w:val="bottom"/>
          </w:tcPr>
          <w:p>
            <w:pPr>
              <w:ind w:left="20"/>
              <w:spacing w:after="0"/>
              <w:rPr>
                <w:sz w:val="20"/>
                <w:szCs w:val="20"/>
                <w:color w:val="auto"/>
              </w:rPr>
            </w:pPr>
            <w:r>
              <w:rPr>
                <w:rFonts w:ascii="Arial" w:cs="Arial" w:eastAsia="Arial" w:hAnsi="Arial"/>
                <w:sz w:val="14"/>
                <w:szCs w:val="14"/>
                <w:color w:val="auto"/>
              </w:rPr>
              <w:t>France</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207</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Singapore</w:t>
            </w:r>
          </w:p>
        </w:tc>
        <w:tc>
          <w:tcPr>
            <w:tcW w:w="3360" w:type="dxa"/>
            <w:vAlign w:val="bottom"/>
          </w:tcPr>
          <w:p>
            <w:pPr>
              <w:spacing w:after="0"/>
              <w:rPr>
                <w:sz w:val="17"/>
                <w:szCs w:val="17"/>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1252DE"/>
              </w:rPr>
              <w:t>193</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03"/>
        </w:trPr>
        <w:tc>
          <w:tcPr>
            <w:tcW w:w="432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Other</w:t>
            </w:r>
          </w:p>
        </w:tc>
        <w:tc>
          <w:tcPr>
            <w:tcW w:w="3360" w:type="dxa"/>
            <w:vAlign w:val="bottom"/>
            <w:tcBorders>
              <w:bottom w:val="single" w:sz="8" w:color="1352DE"/>
            </w:tcBorders>
          </w:tcPr>
          <w:p>
            <w:pPr>
              <w:spacing w:after="0"/>
              <w:rPr>
                <w:sz w:val="17"/>
                <w:szCs w:val="17"/>
                <w:color w:val="auto"/>
              </w:rPr>
            </w:pPr>
          </w:p>
        </w:tc>
        <w:tc>
          <w:tcPr>
            <w:tcW w:w="16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2,414</w:t>
            </w:r>
          </w:p>
        </w:tc>
        <w:tc>
          <w:tcPr>
            <w:tcW w:w="420" w:type="dxa"/>
            <w:vAlign w:val="bottom"/>
            <w:tcBorders>
              <w:bottom w:val="single" w:sz="8" w:color="1352DE"/>
            </w:tcBorders>
          </w:tcPr>
          <w:p>
            <w:pPr>
              <w:spacing w:after="0"/>
              <w:rPr>
                <w:sz w:val="17"/>
                <w:szCs w:val="17"/>
                <w:color w:val="auto"/>
              </w:rPr>
            </w:pPr>
          </w:p>
        </w:tc>
        <w:tc>
          <w:tcPr>
            <w:tcW w:w="1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2,679</w:t>
            </w:r>
          </w:p>
        </w:tc>
      </w:tr>
      <w:tr>
        <w:trPr>
          <w:trHeight w:val="196"/>
        </w:trPr>
        <w:tc>
          <w:tcPr>
            <w:tcW w:w="43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336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16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6,194</w:t>
            </w:r>
          </w:p>
        </w:tc>
        <w:tc>
          <w:tcPr>
            <w:tcW w:w="4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6,539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fair value of our aggregate European credit exposures by major sector for our fixed maturity securities: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tcBorders>
              <w:top w:val="single" w:sz="8" w:color="1352DE"/>
            </w:tcBorders>
          </w:tcPr>
          <w:p>
            <w:pPr>
              <w:spacing w:after="0"/>
              <w:rPr>
                <w:sz w:val="19"/>
                <w:szCs w:val="19"/>
                <w:color w:val="auto"/>
              </w:rPr>
            </w:pPr>
          </w:p>
        </w:tc>
        <w:tc>
          <w:tcPr>
            <w:tcW w:w="840" w:type="dxa"/>
            <w:vAlign w:val="bottom"/>
            <w:tcBorders>
              <w:top w:val="single" w:sz="8" w:color="1352DE"/>
            </w:tcBorders>
          </w:tcPr>
          <w:p>
            <w:pPr>
              <w:spacing w:after="0"/>
              <w:rPr>
                <w:sz w:val="19"/>
                <w:szCs w:val="19"/>
                <w:color w:val="auto"/>
              </w:rPr>
            </w:pPr>
          </w:p>
        </w:tc>
        <w:tc>
          <w:tcPr>
            <w:tcW w:w="1080" w:type="dxa"/>
            <w:vAlign w:val="bottom"/>
            <w:tcBorders>
              <w:top w:val="single" w:sz="8" w:color="1352DE"/>
              <w:bottom w:val="single" w:sz="8" w:color="1352DE"/>
            </w:tcBorders>
          </w:tcPr>
          <w:p>
            <w:pPr>
              <w:spacing w:after="0"/>
              <w:rPr>
                <w:sz w:val="19"/>
                <w:szCs w:val="19"/>
                <w:color w:val="auto"/>
              </w:rPr>
            </w:pPr>
          </w:p>
        </w:tc>
        <w:tc>
          <w:tcPr>
            <w:tcW w:w="340" w:type="dxa"/>
            <w:vAlign w:val="bottom"/>
            <w:tcBorders>
              <w:top w:val="single" w:sz="8" w:color="1352DE"/>
              <w:bottom w:val="single" w:sz="8" w:color="1352DE"/>
            </w:tcBorders>
          </w:tcPr>
          <w:p>
            <w:pPr>
              <w:spacing w:after="0"/>
              <w:rPr>
                <w:sz w:val="19"/>
                <w:szCs w:val="19"/>
                <w:color w:val="auto"/>
              </w:rPr>
            </w:pPr>
          </w:p>
        </w:tc>
        <w:tc>
          <w:tcPr>
            <w:tcW w:w="920" w:type="dxa"/>
            <w:vAlign w:val="bottom"/>
            <w:tcBorders>
              <w:top w:val="single" w:sz="8" w:color="1352DE"/>
              <w:bottom w:val="single" w:sz="8" w:color="1352DE"/>
            </w:tcBorders>
          </w:tcPr>
          <w:p>
            <w:pPr>
              <w:spacing w:after="0"/>
              <w:rPr>
                <w:sz w:val="19"/>
                <w:szCs w:val="19"/>
                <w:color w:val="auto"/>
              </w:rPr>
            </w:pPr>
          </w:p>
        </w:tc>
        <w:tc>
          <w:tcPr>
            <w:tcW w:w="1780" w:type="dxa"/>
            <w:vAlign w:val="bottom"/>
            <w:tcBorders>
              <w:top w:val="single" w:sz="8" w:color="1352DE"/>
              <w:bottom w:val="single" w:sz="8" w:color="1352DE"/>
            </w:tcBorders>
            <w:gridSpan w:val="3"/>
          </w:tcPr>
          <w:p>
            <w:pPr>
              <w:ind w:left="60"/>
              <w:spacing w:after="0"/>
              <w:rPr>
                <w:sz w:val="20"/>
                <w:szCs w:val="20"/>
                <w:color w:val="auto"/>
              </w:rPr>
            </w:pPr>
            <w:r>
              <w:rPr>
                <w:rFonts w:ascii="Arial" w:cs="Arial" w:eastAsia="Arial" w:hAnsi="Arial"/>
                <w:sz w:val="16"/>
                <w:szCs w:val="16"/>
                <w:b w:val="1"/>
                <w:bCs w:val="1"/>
                <w:color w:val="1252DE"/>
              </w:rPr>
              <w:t>September 30, 2026</w:t>
            </w:r>
          </w:p>
        </w:tc>
        <w:tc>
          <w:tcPr>
            <w:tcW w:w="960" w:type="dxa"/>
            <w:vAlign w:val="bottom"/>
            <w:tcBorders>
              <w:top w:val="single" w:sz="8" w:color="1352DE"/>
              <w:bottom w:val="single" w:sz="8" w:color="1352DE"/>
            </w:tcBorders>
          </w:tcPr>
          <w:p>
            <w:pPr>
              <w:spacing w:after="0"/>
              <w:rPr>
                <w:sz w:val="19"/>
                <w:szCs w:val="19"/>
                <w:color w:val="auto"/>
              </w:rPr>
            </w:pPr>
          </w:p>
        </w:tc>
        <w:tc>
          <w:tcPr>
            <w:tcW w:w="440" w:type="dxa"/>
            <w:vAlign w:val="bottom"/>
            <w:tcBorders>
              <w:top w:val="single" w:sz="8" w:color="1352DE"/>
              <w:bottom w:val="single" w:sz="8" w:color="1352DE"/>
            </w:tcBorders>
          </w:tcPr>
          <w:p>
            <w:pPr>
              <w:spacing w:after="0"/>
              <w:rPr>
                <w:sz w:val="19"/>
                <w:szCs w:val="19"/>
                <w:color w:val="auto"/>
              </w:rPr>
            </w:pPr>
          </w:p>
        </w:tc>
        <w:tc>
          <w:tcPr>
            <w:tcW w:w="780" w:type="dxa"/>
            <w:vAlign w:val="bottom"/>
            <w:tcBorders>
              <w:top w:val="single" w:sz="8" w:color="1352DE"/>
              <w:bottom w:val="single" w:sz="8" w:color="1352DE"/>
            </w:tcBorders>
          </w:tcPr>
          <w:p>
            <w:pPr>
              <w:spacing w:after="0"/>
              <w:rPr>
                <w:sz w:val="19"/>
                <w:szCs w:val="19"/>
                <w:color w:val="auto"/>
              </w:rPr>
            </w:pPr>
          </w:p>
        </w:tc>
        <w:tc>
          <w:tcPr>
            <w:tcW w:w="440" w:type="dxa"/>
            <w:vAlign w:val="bottom"/>
            <w:tcBorders>
              <w:top w:val="single" w:sz="8" w:color="1352DE"/>
            </w:tcBorders>
          </w:tcPr>
          <w:p>
            <w:pPr>
              <w:spacing w:after="0"/>
              <w:rPr>
                <w:sz w:val="19"/>
                <w:szCs w:val="19"/>
                <w:color w:val="auto"/>
              </w:rPr>
            </w:pPr>
          </w:p>
        </w:tc>
        <w:tc>
          <w:tcPr>
            <w:tcW w:w="12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6"/>
                <w:szCs w:val="16"/>
                <w:color w:val="1352DE"/>
              </w:rPr>
              <w:t>December 31,</w:t>
            </w: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1252DE"/>
              </w:rPr>
              <w:t>Sovereign</w:t>
            </w:r>
          </w:p>
        </w:tc>
        <w:tc>
          <w:tcPr>
            <w:tcW w:w="3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6"/>
                <w:szCs w:val="16"/>
                <w:color w:val="1252DE"/>
              </w:rPr>
              <w:t>Financial</w:t>
            </w:r>
          </w:p>
        </w:tc>
        <w:tc>
          <w:tcPr>
            <w:tcW w:w="28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color w:val="1252DE"/>
              </w:rPr>
              <w:t>Non-Financial</w:t>
            </w:r>
          </w:p>
        </w:tc>
        <w:tc>
          <w:tcPr>
            <w:tcW w:w="3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6"/>
                <w:szCs w:val="16"/>
                <w:color w:val="1252DE"/>
              </w:rPr>
              <w:t>Structured</w:t>
            </w:r>
          </w:p>
        </w:tc>
        <w:tc>
          <w:tcPr>
            <w:tcW w:w="4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1252DE"/>
              </w:rPr>
              <w:t>Total</w:t>
            </w:r>
          </w:p>
        </w:tc>
        <w:tc>
          <w:tcPr>
            <w:tcW w:w="4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color w:val="1352DE"/>
              </w:rPr>
              <w:t>2025</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4"/>
                <w:szCs w:val="14"/>
                <w:i w:val="1"/>
                <w:iCs w:val="1"/>
                <w:color w:val="1252DE"/>
              </w:rPr>
              <w:t>(in millions)</w:t>
            </w:r>
          </w:p>
        </w:tc>
        <w:tc>
          <w:tcPr>
            <w:tcW w:w="840" w:type="dxa"/>
            <w:vAlign w:val="bottom"/>
            <w:tcBorders>
              <w:bottom w:val="single" w:sz="8" w:color="1352DE"/>
            </w:tcBorders>
          </w:tcPr>
          <w:p>
            <w:pPr>
              <w:spacing w:after="0"/>
              <w:rPr>
                <w:sz w:val="18"/>
                <w:szCs w:val="18"/>
                <w:color w:val="auto"/>
              </w:rPr>
            </w:pPr>
          </w:p>
        </w:tc>
        <w:tc>
          <w:tcPr>
            <w:tcW w:w="1080" w:type="dxa"/>
            <w:vAlign w:val="bottom"/>
            <w:tcBorders>
              <w:bottom w:val="single" w:sz="8" w:color="1352DE"/>
            </w:tcBorders>
            <w:vMerge w:val="continue"/>
          </w:tcPr>
          <w:p>
            <w:pPr>
              <w:spacing w:after="0"/>
              <w:rPr>
                <w:sz w:val="18"/>
                <w:szCs w:val="18"/>
                <w:color w:val="auto"/>
              </w:rPr>
            </w:pPr>
          </w:p>
        </w:tc>
        <w:tc>
          <w:tcPr>
            <w:tcW w:w="34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Institution</w:t>
            </w:r>
          </w:p>
        </w:tc>
        <w:tc>
          <w:tcPr>
            <w:tcW w:w="280" w:type="dxa"/>
            <w:vAlign w:val="bottom"/>
            <w:tcBorders>
              <w:bottom w:val="single" w:sz="8" w:color="1352DE"/>
            </w:tcBorders>
          </w:tcPr>
          <w:p>
            <w:pPr>
              <w:spacing w:after="0"/>
              <w:rPr>
                <w:sz w:val="18"/>
                <w:szCs w:val="18"/>
                <w:color w:val="auto"/>
              </w:rPr>
            </w:pPr>
          </w:p>
        </w:tc>
        <w:tc>
          <w:tcPr>
            <w:tcW w:w="120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Corporates</w:t>
            </w:r>
          </w:p>
        </w:tc>
        <w:tc>
          <w:tcPr>
            <w:tcW w:w="300" w:type="dxa"/>
            <w:vAlign w:val="bottom"/>
            <w:tcBorders>
              <w:bottom w:val="single" w:sz="8" w:color="1352DE"/>
            </w:tcBorders>
          </w:tcPr>
          <w:p>
            <w:pPr>
              <w:spacing w:after="0"/>
              <w:rPr>
                <w:sz w:val="18"/>
                <w:szCs w:val="18"/>
                <w:color w:val="auto"/>
              </w:rPr>
            </w:pPr>
          </w:p>
        </w:tc>
        <w:tc>
          <w:tcPr>
            <w:tcW w:w="96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Products</w:t>
            </w:r>
          </w:p>
        </w:tc>
        <w:tc>
          <w:tcPr>
            <w:tcW w:w="44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vMerge w:val="continue"/>
          </w:tcPr>
          <w:p>
            <w:pPr>
              <w:spacing w:after="0"/>
              <w:rPr>
                <w:sz w:val="18"/>
                <w:szCs w:val="18"/>
                <w:color w:val="auto"/>
              </w:rPr>
            </w:pPr>
          </w:p>
        </w:tc>
        <w:tc>
          <w:tcPr>
            <w:tcW w:w="440" w:type="dxa"/>
            <w:vAlign w:val="bottom"/>
            <w:tcBorders>
              <w:bottom w:val="single" w:sz="8" w:color="1352DE"/>
            </w:tcBorders>
          </w:tcPr>
          <w:p>
            <w:pPr>
              <w:spacing w:after="0"/>
              <w:rPr>
                <w:sz w:val="18"/>
                <w:szCs w:val="18"/>
                <w:color w:val="auto"/>
              </w:rPr>
            </w:pPr>
          </w:p>
        </w:tc>
        <w:tc>
          <w:tcPr>
            <w:tcW w:w="120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352DE"/>
              </w:rPr>
              <w:t>Total</w:t>
            </w:r>
          </w:p>
        </w:tc>
        <w:tc>
          <w:tcPr>
            <w:tcW w:w="0" w:type="dxa"/>
            <w:vAlign w:val="bottom"/>
          </w:tcPr>
          <w:p>
            <w:pPr>
              <w:spacing w:after="0"/>
              <w:rPr>
                <w:sz w:val="1"/>
                <w:szCs w:val="1"/>
                <w:color w:val="auto"/>
              </w:rPr>
            </w:pPr>
          </w:p>
        </w:tc>
      </w:tr>
      <w:tr>
        <w:trPr>
          <w:trHeight w:val="209"/>
        </w:trPr>
        <w:tc>
          <w:tcPr>
            <w:tcW w:w="2440" w:type="dxa"/>
            <w:vAlign w:val="bottom"/>
          </w:tcPr>
          <w:p>
            <w:pPr>
              <w:ind w:left="20"/>
              <w:spacing w:after="0"/>
              <w:rPr>
                <w:sz w:val="20"/>
                <w:szCs w:val="20"/>
                <w:color w:val="auto"/>
              </w:rPr>
            </w:pPr>
            <w:r>
              <w:rPr>
                <w:rFonts w:ascii="Arial" w:cs="Arial" w:eastAsia="Arial" w:hAnsi="Arial"/>
                <w:sz w:val="16"/>
                <w:szCs w:val="16"/>
                <w:b w:val="1"/>
                <w:bCs w:val="1"/>
                <w:color w:val="1252DE"/>
              </w:rPr>
              <w:t>Euro-Zone countries:</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France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1252DE"/>
              </w:rPr>
              <w:t>$</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207</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1252DE"/>
              </w:rPr>
              <w:t>$</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1,442</w:t>
            </w:r>
          </w:p>
        </w:tc>
        <w:tc>
          <w:tcPr>
            <w:tcW w:w="280" w:type="dxa"/>
            <w:vAlign w:val="bottom"/>
          </w:tcPr>
          <w:p>
            <w:pPr>
              <w:ind w:left="60"/>
              <w:spacing w:after="0"/>
              <w:rPr>
                <w:sz w:val="20"/>
                <w:szCs w:val="20"/>
                <w:color w:val="auto"/>
              </w:rPr>
            </w:pPr>
            <w:r>
              <w:rPr>
                <w:rFonts w:ascii="Arial" w:cs="Arial" w:eastAsia="Arial" w:hAnsi="Arial"/>
                <w:sz w:val="16"/>
                <w:szCs w:val="16"/>
                <w:b w:val="1"/>
                <w:bCs w:val="1"/>
                <w:color w:val="1252DE"/>
              </w:rPr>
              <w:t>$</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576</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1252DE"/>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37</w:t>
            </w:r>
          </w:p>
        </w:tc>
        <w:tc>
          <w:tcPr>
            <w:tcW w:w="440" w:type="dxa"/>
            <w:vAlign w:val="bottom"/>
          </w:tcPr>
          <w:p>
            <w:pPr>
              <w:jc w:val="right"/>
              <w:ind w:right="219"/>
              <w:spacing w:after="0"/>
              <w:rPr>
                <w:sz w:val="20"/>
                <w:szCs w:val="20"/>
                <w:color w:val="auto"/>
              </w:rPr>
            </w:pPr>
            <w:r>
              <w:rPr>
                <w:rFonts w:ascii="Arial" w:cs="Arial" w:eastAsia="Arial" w:hAnsi="Arial"/>
                <w:sz w:val="16"/>
                <w:szCs w:val="16"/>
                <w:b w:val="1"/>
                <w:bCs w:val="1"/>
                <w:color w:val="1252DE"/>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2,262</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2,258</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Germany</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389</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240</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1,029</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40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1,698</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Netherlands</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60</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541</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215</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46</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862</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Ireland</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5</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166</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102</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357</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630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Spain</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1</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392</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93</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22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508</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Italy</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12</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119</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329</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25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485</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Denmark</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157</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107</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46</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310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Luxembourg</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18</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149</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69</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18</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254</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Belgium</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9</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85</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51</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14</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159</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Poland</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70</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70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2440" w:type="dxa"/>
            <w:vAlign w:val="bottom"/>
            <w:tcBorders>
              <w:bottom w:val="single" w:sz="8" w:color="1352DE"/>
            </w:tcBorders>
          </w:tcPr>
          <w:p>
            <w:pPr>
              <w:ind w:left="140"/>
              <w:spacing w:after="0"/>
              <w:rPr>
                <w:sz w:val="20"/>
                <w:szCs w:val="20"/>
                <w:color w:val="auto"/>
              </w:rPr>
            </w:pPr>
            <w:r>
              <w:rPr>
                <w:rFonts w:ascii="Arial" w:cs="Arial" w:eastAsia="Arial" w:hAnsi="Arial"/>
                <w:sz w:val="16"/>
                <w:szCs w:val="16"/>
                <w:color w:val="auto"/>
              </w:rPr>
              <w:t>Other Euro-Zone</w:t>
            </w:r>
          </w:p>
        </w:tc>
        <w:tc>
          <w:tcPr>
            <w:tcW w:w="840" w:type="dxa"/>
            <w:vAlign w:val="bottom"/>
            <w:tcBorders>
              <w:bottom w:val="single" w:sz="8" w:color="1352DE"/>
            </w:tcBorders>
          </w:tcPr>
          <w:p>
            <w:pPr>
              <w:spacing w:after="0"/>
              <w:rPr>
                <w:sz w:val="18"/>
                <w:szCs w:val="18"/>
                <w:color w:val="auto"/>
              </w:rPr>
            </w:pPr>
          </w:p>
        </w:tc>
        <w:tc>
          <w:tcPr>
            <w:tcW w:w="108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119</w:t>
            </w:r>
          </w:p>
        </w:tc>
        <w:tc>
          <w:tcPr>
            <w:tcW w:w="34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90</w:t>
            </w:r>
          </w:p>
        </w:tc>
        <w:tc>
          <w:tcPr>
            <w:tcW w:w="280" w:type="dxa"/>
            <w:vAlign w:val="bottom"/>
            <w:tcBorders>
              <w:bottom w:val="single" w:sz="8" w:color="1352DE"/>
            </w:tcBorders>
          </w:tcPr>
          <w:p>
            <w:pPr>
              <w:spacing w:after="0"/>
              <w:rPr>
                <w:sz w:val="18"/>
                <w:szCs w:val="18"/>
                <w:color w:val="auto"/>
              </w:rPr>
            </w:pPr>
          </w:p>
        </w:tc>
        <w:tc>
          <w:tcPr>
            <w:tcW w:w="120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30</w:t>
            </w:r>
          </w:p>
        </w:tc>
        <w:tc>
          <w:tcPr>
            <w:tcW w:w="300" w:type="dxa"/>
            <w:vAlign w:val="bottom"/>
            <w:tcBorders>
              <w:bottom w:val="single" w:sz="8" w:color="1352DE"/>
            </w:tcBorders>
          </w:tcPr>
          <w:p>
            <w:pPr>
              <w:spacing w:after="0"/>
              <w:rPr>
                <w:sz w:val="18"/>
                <w:szCs w:val="18"/>
                <w:color w:val="auto"/>
              </w:rPr>
            </w:pPr>
          </w:p>
        </w:tc>
        <w:tc>
          <w:tcPr>
            <w:tcW w:w="96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38</w:t>
            </w:r>
          </w:p>
        </w:tc>
        <w:tc>
          <w:tcPr>
            <w:tcW w:w="44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277</w:t>
            </w:r>
          </w:p>
        </w:tc>
        <w:tc>
          <w:tcPr>
            <w:tcW w:w="440" w:type="dxa"/>
            <w:vAlign w:val="bottom"/>
            <w:tcBorders>
              <w:bottom w:val="single" w:sz="8" w:color="1352DE"/>
            </w:tcBorders>
          </w:tcPr>
          <w:p>
            <w:pPr>
              <w:spacing w:after="0"/>
              <w:rPr>
                <w:sz w:val="18"/>
                <w:szCs w:val="18"/>
                <w:color w:val="auto"/>
              </w:rPr>
            </w:pPr>
          </w:p>
        </w:tc>
        <w:tc>
          <w:tcPr>
            <w:tcW w:w="120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1352DE"/>
            </w:tcBorders>
          </w:tcPr>
          <w:p>
            <w:pPr>
              <w:ind w:left="20"/>
              <w:spacing w:after="0"/>
              <w:rPr>
                <w:sz w:val="20"/>
                <w:szCs w:val="20"/>
                <w:color w:val="auto"/>
              </w:rPr>
            </w:pPr>
            <w:r>
              <w:rPr>
                <w:rFonts w:ascii="Arial" w:cs="Arial" w:eastAsia="Arial" w:hAnsi="Arial"/>
                <w:sz w:val="16"/>
                <w:szCs w:val="16"/>
                <w:b w:val="1"/>
                <w:bCs w:val="1"/>
                <w:color w:val="1252DE"/>
              </w:rPr>
              <w:t>Total Euro-Zone</w:t>
            </w:r>
          </w:p>
        </w:tc>
        <w:tc>
          <w:tcPr>
            <w:tcW w:w="84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w:t>
            </w:r>
          </w:p>
        </w:tc>
        <w:tc>
          <w:tcPr>
            <w:tcW w:w="108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1,047</w:t>
            </w:r>
          </w:p>
        </w:tc>
        <w:tc>
          <w:tcPr>
            <w:tcW w:w="34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b w:val="1"/>
                <w:bCs w:val="1"/>
                <w:color w:val="1252DE"/>
              </w:rPr>
              <w:t>$</w:t>
            </w:r>
          </w:p>
        </w:tc>
        <w:tc>
          <w:tcPr>
            <w:tcW w:w="92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3,331</w:t>
            </w:r>
          </w:p>
        </w:tc>
        <w:tc>
          <w:tcPr>
            <w:tcW w:w="280" w:type="dxa"/>
            <w:vAlign w:val="bottom"/>
            <w:tcBorders>
              <w:bottom w:val="single" w:sz="8" w:color="1352DE"/>
            </w:tcBorders>
          </w:tcPr>
          <w:p>
            <w:pPr>
              <w:ind w:left="60"/>
              <w:spacing w:after="0"/>
              <w:rPr>
                <w:sz w:val="20"/>
                <w:szCs w:val="20"/>
                <w:color w:val="auto"/>
              </w:rPr>
            </w:pPr>
            <w:r>
              <w:rPr>
                <w:rFonts w:ascii="Arial" w:cs="Arial" w:eastAsia="Arial" w:hAnsi="Arial"/>
                <w:sz w:val="16"/>
                <w:szCs w:val="16"/>
                <w:b w:val="1"/>
                <w:bCs w:val="1"/>
                <w:color w:val="1252DE"/>
              </w:rPr>
              <w:t>$</w:t>
            </w:r>
          </w:p>
        </w:tc>
        <w:tc>
          <w:tcPr>
            <w:tcW w:w="120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2,540</w:t>
            </w:r>
          </w:p>
        </w:tc>
        <w:tc>
          <w:tcPr>
            <w:tcW w:w="30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b w:val="1"/>
                <w:bCs w:val="1"/>
                <w:color w:val="1252DE"/>
              </w:rPr>
              <w:t>$</w:t>
            </w:r>
          </w:p>
        </w:tc>
        <w:tc>
          <w:tcPr>
            <w:tcW w:w="96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597</w:t>
            </w:r>
          </w:p>
        </w:tc>
        <w:tc>
          <w:tcPr>
            <w:tcW w:w="440" w:type="dxa"/>
            <w:vAlign w:val="bottom"/>
            <w:tcBorders>
              <w:bottom w:val="single" w:sz="8" w:color="1352DE"/>
            </w:tcBorders>
          </w:tcPr>
          <w:p>
            <w:pPr>
              <w:jc w:val="right"/>
              <w:ind w:right="219"/>
              <w:spacing w:after="0"/>
              <w:rPr>
                <w:sz w:val="20"/>
                <w:szCs w:val="20"/>
                <w:color w:val="auto"/>
              </w:rPr>
            </w:pPr>
            <w:r>
              <w:rPr>
                <w:rFonts w:ascii="Arial" w:cs="Arial" w:eastAsia="Arial" w:hAnsi="Arial"/>
                <w:sz w:val="16"/>
                <w:szCs w:val="16"/>
                <w:b w:val="1"/>
                <w:bCs w:val="1"/>
                <w:color w:val="1252DE"/>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7,515</w:t>
            </w:r>
          </w:p>
        </w:tc>
        <w:tc>
          <w:tcPr>
            <w:tcW w:w="44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7,847</w:t>
            </w:r>
          </w:p>
        </w:tc>
        <w:tc>
          <w:tcPr>
            <w:tcW w:w="0" w:type="dxa"/>
            <w:vAlign w:val="bottom"/>
          </w:tcPr>
          <w:p>
            <w:pPr>
              <w:spacing w:after="0"/>
              <w:rPr>
                <w:sz w:val="1"/>
                <w:szCs w:val="1"/>
                <w:color w:val="auto"/>
              </w:rPr>
            </w:pPr>
          </w:p>
        </w:tc>
      </w:tr>
      <w:tr>
        <w:trPr>
          <w:trHeight w:val="209"/>
        </w:trPr>
        <w:tc>
          <w:tcPr>
            <w:tcW w:w="2440" w:type="dxa"/>
            <w:vAlign w:val="bottom"/>
          </w:tcPr>
          <w:p>
            <w:pPr>
              <w:ind w:left="20"/>
              <w:spacing w:after="0"/>
              <w:rPr>
                <w:sz w:val="20"/>
                <w:szCs w:val="20"/>
                <w:color w:val="auto"/>
              </w:rPr>
            </w:pPr>
            <w:r>
              <w:rPr>
                <w:rFonts w:ascii="Arial" w:cs="Arial" w:eastAsia="Arial" w:hAnsi="Arial"/>
                <w:sz w:val="16"/>
                <w:szCs w:val="16"/>
                <w:b w:val="1"/>
                <w:bCs w:val="1"/>
                <w:color w:val="1252DE"/>
              </w:rPr>
              <w:t>Remainder of Europe:</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United Kingdom</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1252DE"/>
              </w:rPr>
              <w:t>$</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392</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1252DE"/>
              </w:rPr>
              <w:t>$</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1,460</w:t>
            </w:r>
          </w:p>
        </w:tc>
        <w:tc>
          <w:tcPr>
            <w:tcW w:w="280" w:type="dxa"/>
            <w:vAlign w:val="bottom"/>
          </w:tcPr>
          <w:p>
            <w:pPr>
              <w:ind w:left="60"/>
              <w:spacing w:after="0"/>
              <w:rPr>
                <w:sz w:val="20"/>
                <w:szCs w:val="20"/>
                <w:color w:val="auto"/>
              </w:rPr>
            </w:pPr>
            <w:r>
              <w:rPr>
                <w:rFonts w:ascii="Arial" w:cs="Arial" w:eastAsia="Arial" w:hAnsi="Arial"/>
                <w:sz w:val="16"/>
                <w:szCs w:val="16"/>
                <w:b w:val="1"/>
                <w:bCs w:val="1"/>
                <w:color w:val="1252DE"/>
              </w:rPr>
              <w:t>$</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1,883</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1252DE"/>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437</w:t>
            </w:r>
          </w:p>
        </w:tc>
        <w:tc>
          <w:tcPr>
            <w:tcW w:w="440" w:type="dxa"/>
            <w:vAlign w:val="bottom"/>
          </w:tcPr>
          <w:p>
            <w:pPr>
              <w:jc w:val="right"/>
              <w:ind w:right="219"/>
              <w:spacing w:after="0"/>
              <w:rPr>
                <w:sz w:val="20"/>
                <w:szCs w:val="20"/>
                <w:color w:val="auto"/>
              </w:rPr>
            </w:pPr>
            <w:r>
              <w:rPr>
                <w:rFonts w:ascii="Arial" w:cs="Arial" w:eastAsia="Arial" w:hAnsi="Arial"/>
                <w:sz w:val="16"/>
                <w:szCs w:val="16"/>
                <w:b w:val="1"/>
                <w:bCs w:val="1"/>
                <w:color w:val="1252DE"/>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4,172</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4,017</w:t>
            </w:r>
          </w:p>
        </w:tc>
        <w:tc>
          <w:tcPr>
            <w:tcW w:w="0" w:type="dxa"/>
            <w:vAlign w:val="bottom"/>
          </w:tcPr>
          <w:p>
            <w:pPr>
              <w:spacing w:after="0"/>
              <w:rPr>
                <w:sz w:val="1"/>
                <w:szCs w:val="1"/>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6"/>
                <w:szCs w:val="16"/>
                <w:color w:val="auto"/>
              </w:rPr>
              <w:t>Switzerland</w:t>
            </w:r>
          </w:p>
        </w:tc>
        <w:tc>
          <w:tcPr>
            <w:tcW w:w="8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18</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143</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264</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425</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23"/>
        </w:trPr>
        <w:tc>
          <w:tcPr>
            <w:tcW w:w="2440" w:type="dxa"/>
            <w:vAlign w:val="bottom"/>
          </w:tcPr>
          <w:p>
            <w:pPr>
              <w:ind w:left="140"/>
              <w:spacing w:after="0"/>
              <w:rPr>
                <w:sz w:val="20"/>
                <w:szCs w:val="20"/>
                <w:color w:val="auto"/>
              </w:rPr>
            </w:pPr>
            <w:r>
              <w:rPr>
                <w:rFonts w:ascii="Arial" w:cs="Arial" w:eastAsia="Arial" w:hAnsi="Arial"/>
                <w:sz w:val="16"/>
                <w:szCs w:val="16"/>
                <w:color w:val="auto"/>
              </w:rPr>
              <w:t>Sweden</w:t>
            </w:r>
          </w:p>
        </w:tc>
        <w:tc>
          <w:tcPr>
            <w:tcW w:w="8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89</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111</w:t>
            </w:r>
          </w:p>
        </w:tc>
        <w:tc>
          <w:tcPr>
            <w:tcW w:w="2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29</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DE"/>
              </w:rPr>
              <w:t>229</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373380</wp:posOffset>
            </wp:positionV>
            <wp:extent cx="23317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gridSpan w:val="4"/>
          </w:tcPr>
          <w:p>
            <w:pPr>
              <w:jc w:val="right"/>
              <w:spacing w:after="0"/>
              <w:rPr>
                <w:sz w:val="20"/>
                <w:szCs w:val="20"/>
                <w:color w:val="auto"/>
              </w:rPr>
            </w:pPr>
            <w:r>
              <w:rPr>
                <w:rFonts w:ascii="Arial" w:cs="Arial" w:eastAsia="Arial" w:hAnsi="Arial"/>
                <w:sz w:val="13"/>
                <w:szCs w:val="13"/>
                <w:color w:val="0000FF"/>
              </w:rPr>
              <w:t>TABLE OF CONTENTS</w:t>
            </w:r>
          </w:p>
        </w:tc>
        <w:tc>
          <w:tcPr>
            <w:tcW w:w="0" w:type="dxa"/>
            <w:vAlign w:val="bottom"/>
          </w:tcPr>
          <w:p>
            <w:pPr>
              <w:spacing w:after="0"/>
              <w:rPr>
                <w:sz w:val="1"/>
                <w:szCs w:val="1"/>
                <w:color w:val="auto"/>
              </w:rPr>
            </w:pPr>
          </w:p>
        </w:tc>
      </w:tr>
      <w:tr>
        <w:trPr>
          <w:trHeight w:val="394"/>
        </w:trPr>
        <w:tc>
          <w:tcPr>
            <w:tcW w:w="2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gridSpan w:val="2"/>
          </w:tcPr>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Investments</w:t>
            </w:r>
          </w:p>
        </w:tc>
        <w:tc>
          <w:tcPr>
            <w:tcW w:w="0" w:type="dxa"/>
            <w:vAlign w:val="bottom"/>
          </w:tcPr>
          <w:p>
            <w:pPr>
              <w:spacing w:after="0"/>
              <w:rPr>
                <w:sz w:val="1"/>
                <w:szCs w:val="1"/>
                <w:color w:val="auto"/>
              </w:rPr>
            </w:pPr>
          </w:p>
        </w:tc>
      </w:tr>
      <w:tr>
        <w:trPr>
          <w:trHeight w:val="274"/>
        </w:trPr>
        <w:tc>
          <w:tcPr>
            <w:tcW w:w="2700" w:type="dxa"/>
            <w:vAlign w:val="bottom"/>
            <w:tcBorders>
              <w:bottom w:val="single" w:sz="8" w:color="1352DE"/>
            </w:tcBorders>
          </w:tcPr>
          <w:p>
            <w:pPr>
              <w:spacing w:after="0"/>
              <w:rPr>
                <w:sz w:val="23"/>
                <w:szCs w:val="23"/>
                <w:color w:val="auto"/>
              </w:rPr>
            </w:pPr>
          </w:p>
        </w:tc>
        <w:tc>
          <w:tcPr>
            <w:tcW w:w="580" w:type="dxa"/>
            <w:vAlign w:val="bottom"/>
            <w:tcBorders>
              <w:bottom w:val="single" w:sz="8" w:color="1352DE"/>
            </w:tcBorders>
          </w:tcPr>
          <w:p>
            <w:pPr>
              <w:spacing w:after="0"/>
              <w:rPr>
                <w:sz w:val="23"/>
                <w:szCs w:val="23"/>
                <w:color w:val="auto"/>
              </w:rPr>
            </w:pPr>
          </w:p>
        </w:tc>
        <w:tc>
          <w:tcPr>
            <w:tcW w:w="1080" w:type="dxa"/>
            <w:vAlign w:val="bottom"/>
            <w:tcBorders>
              <w:bottom w:val="single" w:sz="8" w:color="1352DE"/>
            </w:tcBorders>
          </w:tcPr>
          <w:p>
            <w:pPr>
              <w:spacing w:after="0"/>
              <w:rPr>
                <w:sz w:val="23"/>
                <w:szCs w:val="23"/>
                <w:color w:val="auto"/>
              </w:rPr>
            </w:pPr>
          </w:p>
        </w:tc>
        <w:tc>
          <w:tcPr>
            <w:tcW w:w="340" w:type="dxa"/>
            <w:vAlign w:val="bottom"/>
            <w:tcBorders>
              <w:bottom w:val="single" w:sz="8" w:color="1352DE"/>
            </w:tcBorders>
          </w:tcPr>
          <w:p>
            <w:pPr>
              <w:spacing w:after="0"/>
              <w:rPr>
                <w:sz w:val="23"/>
                <w:szCs w:val="23"/>
                <w:color w:val="auto"/>
              </w:rPr>
            </w:pPr>
          </w:p>
        </w:tc>
        <w:tc>
          <w:tcPr>
            <w:tcW w:w="920" w:type="dxa"/>
            <w:vAlign w:val="bottom"/>
            <w:tcBorders>
              <w:bottom w:val="single" w:sz="8" w:color="1352DE"/>
            </w:tcBorders>
          </w:tcPr>
          <w:p>
            <w:pPr>
              <w:spacing w:after="0"/>
              <w:rPr>
                <w:sz w:val="23"/>
                <w:szCs w:val="23"/>
                <w:color w:val="auto"/>
              </w:rPr>
            </w:pPr>
          </w:p>
        </w:tc>
        <w:tc>
          <w:tcPr>
            <w:tcW w:w="1780" w:type="dxa"/>
            <w:vAlign w:val="bottom"/>
            <w:tcBorders>
              <w:bottom w:val="single" w:sz="8" w:color="1352DE"/>
            </w:tcBorders>
            <w:gridSpan w:val="3"/>
          </w:tcPr>
          <w:p>
            <w:pPr>
              <w:spacing w:after="0"/>
              <w:rPr>
                <w:sz w:val="23"/>
                <w:szCs w:val="23"/>
                <w:color w:val="auto"/>
              </w:rPr>
            </w:pPr>
          </w:p>
        </w:tc>
        <w:tc>
          <w:tcPr>
            <w:tcW w:w="960" w:type="dxa"/>
            <w:vAlign w:val="bottom"/>
            <w:tcBorders>
              <w:bottom w:val="single" w:sz="8" w:color="1352DE"/>
            </w:tcBorders>
          </w:tcPr>
          <w:p>
            <w:pPr>
              <w:spacing w:after="0"/>
              <w:rPr>
                <w:sz w:val="23"/>
                <w:szCs w:val="23"/>
                <w:color w:val="auto"/>
              </w:rPr>
            </w:pPr>
          </w:p>
        </w:tc>
        <w:tc>
          <w:tcPr>
            <w:tcW w:w="400" w:type="dxa"/>
            <w:vAlign w:val="bottom"/>
            <w:tcBorders>
              <w:bottom w:val="single" w:sz="8" w:color="1352DE"/>
            </w:tcBorders>
          </w:tcPr>
          <w:p>
            <w:pPr>
              <w:spacing w:after="0"/>
              <w:rPr>
                <w:sz w:val="23"/>
                <w:szCs w:val="23"/>
                <w:color w:val="auto"/>
              </w:rPr>
            </w:pPr>
          </w:p>
        </w:tc>
        <w:tc>
          <w:tcPr>
            <w:tcW w:w="820" w:type="dxa"/>
            <w:vAlign w:val="bottom"/>
            <w:tcBorders>
              <w:bottom w:val="single" w:sz="8" w:color="1352DE"/>
            </w:tcBorders>
          </w:tcPr>
          <w:p>
            <w:pPr>
              <w:spacing w:after="0"/>
              <w:rPr>
                <w:sz w:val="23"/>
                <w:szCs w:val="23"/>
                <w:color w:val="auto"/>
              </w:rPr>
            </w:pPr>
          </w:p>
        </w:tc>
        <w:tc>
          <w:tcPr>
            <w:tcW w:w="240" w:type="dxa"/>
            <w:vAlign w:val="bottom"/>
            <w:tcBorders>
              <w:bottom w:val="single" w:sz="8" w:color="1352DE"/>
            </w:tcBorders>
          </w:tcPr>
          <w:p>
            <w:pPr>
              <w:spacing w:after="0"/>
              <w:rPr>
                <w:sz w:val="23"/>
                <w:szCs w:val="23"/>
                <w:color w:val="auto"/>
              </w:rPr>
            </w:pPr>
          </w:p>
        </w:tc>
        <w:tc>
          <w:tcPr>
            <w:tcW w:w="60" w:type="dxa"/>
            <w:vAlign w:val="bottom"/>
            <w:tcBorders>
              <w:bottom w:val="single" w:sz="8" w:color="1352DE"/>
            </w:tcBorders>
          </w:tcPr>
          <w:p>
            <w:pPr>
              <w:spacing w:after="0"/>
              <w:rPr>
                <w:sz w:val="23"/>
                <w:szCs w:val="23"/>
                <w:color w:val="auto"/>
              </w:rPr>
            </w:pPr>
          </w:p>
        </w:tc>
        <w:tc>
          <w:tcPr>
            <w:tcW w:w="1340" w:type="dxa"/>
            <w:vAlign w:val="bottom"/>
            <w:tcBorders>
              <w:bottom w:val="single" w:sz="8" w:color="1352DE"/>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Borders>
              <w:bottom w:val="single" w:sz="8" w:color="1352DE"/>
            </w:tcBorders>
          </w:tcPr>
          <w:p>
            <w:pPr>
              <w:spacing w:after="0"/>
              <w:rPr>
                <w:sz w:val="18"/>
                <w:szCs w:val="18"/>
                <w:color w:val="auto"/>
              </w:rPr>
            </w:pPr>
          </w:p>
        </w:tc>
        <w:tc>
          <w:tcPr>
            <w:tcW w:w="34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spacing w:after="0"/>
              <w:rPr>
                <w:sz w:val="18"/>
                <w:szCs w:val="18"/>
                <w:color w:val="auto"/>
              </w:rPr>
            </w:pPr>
          </w:p>
        </w:tc>
        <w:tc>
          <w:tcPr>
            <w:tcW w:w="1780" w:type="dxa"/>
            <w:vAlign w:val="bottom"/>
            <w:tcBorders>
              <w:bottom w:val="single" w:sz="8" w:color="1352DE"/>
            </w:tcBorders>
            <w:gridSpan w:val="3"/>
          </w:tcPr>
          <w:p>
            <w:pPr>
              <w:ind w:left="60"/>
              <w:spacing w:after="0"/>
              <w:rPr>
                <w:sz w:val="20"/>
                <w:szCs w:val="20"/>
                <w:color w:val="auto"/>
              </w:rPr>
            </w:pPr>
            <w:r>
              <w:rPr>
                <w:rFonts w:ascii="Arial" w:cs="Arial" w:eastAsia="Arial" w:hAnsi="Arial"/>
                <w:sz w:val="16"/>
                <w:szCs w:val="16"/>
                <w:b w:val="1"/>
                <w:bCs w:val="1"/>
                <w:color w:val="1252DE"/>
              </w:rPr>
              <w:t>September 30, 2026</w:t>
            </w:r>
          </w:p>
        </w:tc>
        <w:tc>
          <w:tcPr>
            <w:tcW w:w="960" w:type="dxa"/>
            <w:vAlign w:val="bottom"/>
            <w:tcBorders>
              <w:bottom w:val="single" w:sz="8" w:color="1352DE"/>
            </w:tcBorders>
          </w:tcPr>
          <w:p>
            <w:pPr>
              <w:spacing w:after="0"/>
              <w:rPr>
                <w:sz w:val="18"/>
                <w:szCs w:val="18"/>
                <w:color w:val="auto"/>
              </w:rPr>
            </w:pPr>
          </w:p>
        </w:tc>
        <w:tc>
          <w:tcPr>
            <w:tcW w:w="40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1352DE"/>
              </w:rPr>
              <w:t>December 31,</w:t>
            </w:r>
          </w:p>
        </w:tc>
        <w:tc>
          <w:tcPr>
            <w:tcW w:w="0" w:type="dxa"/>
            <w:vAlign w:val="bottom"/>
          </w:tcPr>
          <w:p>
            <w:pPr>
              <w:spacing w:after="0"/>
              <w:rPr>
                <w:sz w:val="1"/>
                <w:szCs w:val="1"/>
                <w:color w:val="auto"/>
              </w:rPr>
            </w:pPr>
          </w:p>
        </w:tc>
      </w:tr>
      <w:tr>
        <w:trPr>
          <w:trHeight w:val="156"/>
        </w:trPr>
        <w:tc>
          <w:tcPr>
            <w:tcW w:w="2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1252DE"/>
              </w:rPr>
              <w:t>Sovereign</w:t>
            </w:r>
          </w:p>
        </w:tc>
        <w:tc>
          <w:tcPr>
            <w:tcW w:w="3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6"/>
                <w:szCs w:val="16"/>
                <w:color w:val="1252DE"/>
              </w:rPr>
              <w:t>Financial</w:t>
            </w:r>
          </w:p>
        </w:tc>
        <w:tc>
          <w:tcPr>
            <w:tcW w:w="28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color w:val="1252DE"/>
              </w:rPr>
              <w:t>Non-Financial</w:t>
            </w:r>
          </w:p>
        </w:tc>
        <w:tc>
          <w:tcPr>
            <w:tcW w:w="3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6"/>
                <w:szCs w:val="16"/>
                <w:color w:val="1252DE"/>
              </w:rPr>
              <w:t>Structured</w:t>
            </w:r>
          </w:p>
        </w:tc>
        <w:tc>
          <w:tcPr>
            <w:tcW w:w="4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1252DE"/>
              </w:rPr>
              <w:t>Total</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color w:val="1352DE"/>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i w:val="1"/>
                <w:iCs w:val="1"/>
                <w:color w:val="1252DE"/>
              </w:rPr>
              <w:t>(in millions)</w:t>
            </w:r>
          </w:p>
        </w:tc>
        <w:tc>
          <w:tcPr>
            <w:tcW w:w="5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252DE"/>
              </w:rPr>
              <w:t>Institution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1252DE"/>
              </w:rPr>
              <w:t>Corporates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252DE"/>
              </w:rPr>
              <w:t>Products</w:t>
            </w:r>
          </w:p>
        </w:tc>
        <w:tc>
          <w:tcPr>
            <w:tcW w:w="4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1352DE"/>
              </w:rPr>
              <w:t>Total</w:t>
            </w:r>
          </w:p>
        </w:tc>
        <w:tc>
          <w:tcPr>
            <w:tcW w:w="0" w:type="dxa"/>
            <w:vAlign w:val="bottom"/>
          </w:tcPr>
          <w:p>
            <w:pPr>
              <w:spacing w:after="0"/>
              <w:rPr>
                <w:sz w:val="1"/>
                <w:szCs w:val="1"/>
                <w:color w:val="auto"/>
              </w:rPr>
            </w:pPr>
          </w:p>
        </w:tc>
      </w:tr>
      <w:tr>
        <w:trPr>
          <w:trHeight w:val="209"/>
        </w:trPr>
        <w:tc>
          <w:tcPr>
            <w:tcW w:w="2700" w:type="dxa"/>
            <w:vAlign w:val="bottom"/>
            <w:tcBorders>
              <w:top w:val="single" w:sz="8" w:color="1352DE"/>
            </w:tcBorders>
          </w:tcPr>
          <w:p>
            <w:pPr>
              <w:ind w:left="140"/>
              <w:spacing w:after="0"/>
              <w:rPr>
                <w:sz w:val="20"/>
                <w:szCs w:val="20"/>
                <w:color w:val="auto"/>
              </w:rPr>
            </w:pPr>
            <w:r>
              <w:rPr>
                <w:rFonts w:ascii="Arial" w:cs="Arial" w:eastAsia="Arial" w:hAnsi="Arial"/>
                <w:sz w:val="16"/>
                <w:szCs w:val="16"/>
                <w:color w:val="auto"/>
              </w:rPr>
              <w:t>Norway</w:t>
            </w:r>
          </w:p>
        </w:tc>
        <w:tc>
          <w:tcPr>
            <w:tcW w:w="580" w:type="dxa"/>
            <w:vAlign w:val="bottom"/>
            <w:tcBorders>
              <w:top w:val="single" w:sz="8" w:color="1352DE"/>
            </w:tcBorders>
          </w:tcPr>
          <w:p>
            <w:pPr>
              <w:spacing w:after="0"/>
              <w:rPr>
                <w:sz w:val="18"/>
                <w:szCs w:val="18"/>
                <w:color w:val="auto"/>
              </w:rPr>
            </w:pPr>
          </w:p>
        </w:tc>
        <w:tc>
          <w:tcPr>
            <w:tcW w:w="1080" w:type="dxa"/>
            <w:vAlign w:val="bottom"/>
            <w:tcBorders>
              <w:top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63</w:t>
            </w:r>
          </w:p>
        </w:tc>
        <w:tc>
          <w:tcPr>
            <w:tcW w:w="340" w:type="dxa"/>
            <w:vAlign w:val="bottom"/>
            <w:tcBorders>
              <w:top w:val="single" w:sz="8" w:color="1352DE"/>
            </w:tcBorders>
          </w:tcPr>
          <w:p>
            <w:pPr>
              <w:spacing w:after="0"/>
              <w:rPr>
                <w:sz w:val="18"/>
                <w:szCs w:val="18"/>
                <w:color w:val="auto"/>
              </w:rPr>
            </w:pPr>
          </w:p>
        </w:tc>
        <w:tc>
          <w:tcPr>
            <w:tcW w:w="920" w:type="dxa"/>
            <w:vAlign w:val="bottom"/>
            <w:tcBorders>
              <w:top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81</w:t>
            </w:r>
          </w:p>
        </w:tc>
        <w:tc>
          <w:tcPr>
            <w:tcW w:w="280" w:type="dxa"/>
            <w:vAlign w:val="bottom"/>
            <w:tcBorders>
              <w:top w:val="single" w:sz="8" w:color="1352DE"/>
            </w:tcBorders>
          </w:tcPr>
          <w:p>
            <w:pPr>
              <w:spacing w:after="0"/>
              <w:rPr>
                <w:sz w:val="18"/>
                <w:szCs w:val="18"/>
                <w:color w:val="auto"/>
              </w:rPr>
            </w:pPr>
          </w:p>
        </w:tc>
        <w:tc>
          <w:tcPr>
            <w:tcW w:w="1200" w:type="dxa"/>
            <w:vAlign w:val="bottom"/>
            <w:tcBorders>
              <w:top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10</w:t>
            </w:r>
          </w:p>
        </w:tc>
        <w:tc>
          <w:tcPr>
            <w:tcW w:w="300" w:type="dxa"/>
            <w:vAlign w:val="bottom"/>
            <w:tcBorders>
              <w:top w:val="single" w:sz="8" w:color="1352DE"/>
            </w:tcBorders>
          </w:tcPr>
          <w:p>
            <w:pPr>
              <w:spacing w:after="0"/>
              <w:rPr>
                <w:sz w:val="18"/>
                <w:szCs w:val="18"/>
                <w:color w:val="auto"/>
              </w:rPr>
            </w:pPr>
          </w:p>
        </w:tc>
        <w:tc>
          <w:tcPr>
            <w:tcW w:w="960" w:type="dxa"/>
            <w:vAlign w:val="bottom"/>
            <w:tcBorders>
              <w:top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w:t>
            </w:r>
          </w:p>
        </w:tc>
        <w:tc>
          <w:tcPr>
            <w:tcW w:w="400" w:type="dxa"/>
            <w:vAlign w:val="bottom"/>
            <w:tcBorders>
              <w:top w:val="single" w:sz="8" w:color="1352DE"/>
            </w:tcBorders>
          </w:tcPr>
          <w:p>
            <w:pPr>
              <w:spacing w:after="0"/>
              <w:rPr>
                <w:sz w:val="18"/>
                <w:szCs w:val="18"/>
                <w:color w:val="auto"/>
              </w:rPr>
            </w:pPr>
          </w:p>
        </w:tc>
        <w:tc>
          <w:tcPr>
            <w:tcW w:w="820" w:type="dxa"/>
            <w:vAlign w:val="bottom"/>
            <w:tcBorders>
              <w:top w:val="single" w:sz="8" w:color="1352DE"/>
            </w:tcBorders>
          </w:tcPr>
          <w:p>
            <w:pPr>
              <w:jc w:val="right"/>
              <w:spacing w:after="0"/>
              <w:rPr>
                <w:sz w:val="20"/>
                <w:szCs w:val="20"/>
                <w:color w:val="auto"/>
              </w:rPr>
            </w:pPr>
            <w:r>
              <w:rPr>
                <w:rFonts w:ascii="Arial" w:cs="Arial" w:eastAsia="Arial" w:hAnsi="Arial"/>
                <w:sz w:val="16"/>
                <w:szCs w:val="16"/>
                <w:b w:val="1"/>
                <w:bCs w:val="1"/>
                <w:color w:val="1252DE"/>
              </w:rPr>
              <w:t>154</w:t>
            </w:r>
          </w:p>
        </w:tc>
        <w:tc>
          <w:tcPr>
            <w:tcW w:w="240" w:type="dxa"/>
            <w:vAlign w:val="bottom"/>
            <w:tcBorders>
              <w:top w:val="single" w:sz="8" w:color="1352DE"/>
            </w:tcBorders>
          </w:tcPr>
          <w:p>
            <w:pPr>
              <w:spacing w:after="0"/>
              <w:rPr>
                <w:sz w:val="18"/>
                <w:szCs w:val="18"/>
                <w:color w:val="auto"/>
              </w:rPr>
            </w:pPr>
          </w:p>
        </w:tc>
        <w:tc>
          <w:tcPr>
            <w:tcW w:w="60" w:type="dxa"/>
            <w:vAlign w:val="bottom"/>
            <w:tcBorders>
              <w:top w:val="single" w:sz="8" w:color="1352DE"/>
            </w:tcBorders>
          </w:tcPr>
          <w:p>
            <w:pPr>
              <w:spacing w:after="0"/>
              <w:rPr>
                <w:sz w:val="18"/>
                <w:szCs w:val="18"/>
                <w:color w:val="auto"/>
              </w:rPr>
            </w:pPr>
          </w:p>
        </w:tc>
        <w:tc>
          <w:tcPr>
            <w:tcW w:w="1340" w:type="dxa"/>
            <w:vAlign w:val="bottom"/>
            <w:tcBorders>
              <w:top w:val="single" w:sz="8" w:color="1352DE"/>
            </w:tcBorders>
          </w:tcPr>
          <w:p>
            <w:pPr>
              <w:jc w:val="right"/>
              <w:spacing w:after="0"/>
              <w:rPr>
                <w:sz w:val="20"/>
                <w:szCs w:val="20"/>
                <w:color w:val="auto"/>
              </w:rPr>
            </w:pPr>
            <w:r>
              <w:rPr>
                <w:rFonts w:ascii="Arial" w:cs="Arial" w:eastAsia="Arial" w:hAnsi="Arial"/>
                <w:sz w:val="16"/>
                <w:szCs w:val="16"/>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40"/>
              <w:spacing w:after="0"/>
              <w:rPr>
                <w:sz w:val="20"/>
                <w:szCs w:val="20"/>
                <w:color w:val="auto"/>
              </w:rPr>
            </w:pPr>
            <w:r>
              <w:rPr>
                <w:rFonts w:ascii="Arial" w:cs="Arial" w:eastAsia="Arial" w:hAnsi="Arial"/>
                <w:sz w:val="16"/>
                <w:szCs w:val="16"/>
                <w:color w:val="auto"/>
              </w:rPr>
              <w:t>Croatia</w:t>
            </w:r>
          </w:p>
        </w:tc>
        <w:tc>
          <w:tcPr>
            <w:tcW w:w="5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1252DE"/>
              </w:rPr>
              <w:t>16</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1252DE"/>
              </w:rPr>
              <w:t>—</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252DE"/>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1252DE"/>
              </w:rPr>
              <w:t>16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00" w:type="dxa"/>
            <w:vAlign w:val="bottom"/>
            <w:tcBorders>
              <w:bottom w:val="single" w:sz="8" w:color="1352DE"/>
            </w:tcBorders>
          </w:tcPr>
          <w:p>
            <w:pPr>
              <w:ind w:left="140"/>
              <w:spacing w:after="0"/>
              <w:rPr>
                <w:sz w:val="20"/>
                <w:szCs w:val="20"/>
                <w:color w:val="auto"/>
              </w:rPr>
            </w:pPr>
            <w:r>
              <w:rPr>
                <w:rFonts w:ascii="Arial" w:cs="Arial" w:eastAsia="Arial" w:hAnsi="Arial"/>
                <w:sz w:val="16"/>
                <w:szCs w:val="16"/>
                <w:color w:val="auto"/>
              </w:rPr>
              <w:t>Other - Remainder of Europe</w:t>
            </w:r>
          </w:p>
        </w:tc>
        <w:tc>
          <w:tcPr>
            <w:tcW w:w="580" w:type="dxa"/>
            <w:vAlign w:val="bottom"/>
            <w:tcBorders>
              <w:bottom w:val="single" w:sz="8" w:color="1352DE"/>
            </w:tcBorders>
          </w:tcPr>
          <w:p>
            <w:pPr>
              <w:spacing w:after="0"/>
              <w:rPr>
                <w:sz w:val="18"/>
                <w:szCs w:val="18"/>
                <w:color w:val="auto"/>
              </w:rPr>
            </w:pPr>
          </w:p>
        </w:tc>
        <w:tc>
          <w:tcPr>
            <w:tcW w:w="108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24</w:t>
            </w:r>
          </w:p>
        </w:tc>
        <w:tc>
          <w:tcPr>
            <w:tcW w:w="34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31</w:t>
            </w:r>
          </w:p>
        </w:tc>
        <w:tc>
          <w:tcPr>
            <w:tcW w:w="280" w:type="dxa"/>
            <w:vAlign w:val="bottom"/>
            <w:tcBorders>
              <w:bottom w:val="single" w:sz="8" w:color="1352DE"/>
            </w:tcBorders>
          </w:tcPr>
          <w:p>
            <w:pPr>
              <w:spacing w:after="0"/>
              <w:rPr>
                <w:sz w:val="18"/>
                <w:szCs w:val="18"/>
                <w:color w:val="auto"/>
              </w:rPr>
            </w:pPr>
          </w:p>
        </w:tc>
        <w:tc>
          <w:tcPr>
            <w:tcW w:w="120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20</w:t>
            </w:r>
          </w:p>
        </w:tc>
        <w:tc>
          <w:tcPr>
            <w:tcW w:w="300" w:type="dxa"/>
            <w:vAlign w:val="bottom"/>
            <w:tcBorders>
              <w:bottom w:val="single" w:sz="8" w:color="1352DE"/>
            </w:tcBorders>
          </w:tcPr>
          <w:p>
            <w:pPr>
              <w:spacing w:after="0"/>
              <w:rPr>
                <w:sz w:val="18"/>
                <w:szCs w:val="18"/>
                <w:color w:val="auto"/>
              </w:rPr>
            </w:pPr>
          </w:p>
        </w:tc>
        <w:tc>
          <w:tcPr>
            <w:tcW w:w="96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41</w:t>
            </w:r>
          </w:p>
        </w:tc>
        <w:tc>
          <w:tcPr>
            <w:tcW w:w="40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116</w:t>
            </w:r>
          </w:p>
        </w:tc>
        <w:tc>
          <w:tcPr>
            <w:tcW w:w="240" w:type="dxa"/>
            <w:vAlign w:val="bottom"/>
            <w:tcBorders>
              <w:bottom w:val="single" w:sz="8" w:color="1352DE"/>
            </w:tcBorders>
          </w:tcPr>
          <w:p>
            <w:pPr>
              <w:spacing w:after="0"/>
              <w:rPr>
                <w:sz w:val="18"/>
                <w:szCs w:val="18"/>
                <w:color w:val="auto"/>
              </w:rPr>
            </w:pPr>
          </w:p>
        </w:tc>
        <w:tc>
          <w:tcPr>
            <w:tcW w:w="60" w:type="dxa"/>
            <w:vAlign w:val="bottom"/>
            <w:tcBorders>
              <w:bottom w:val="single" w:sz="8" w:color="1352DE"/>
            </w:tcBorders>
          </w:tcPr>
          <w:p>
            <w:pPr>
              <w:spacing w:after="0"/>
              <w:rPr>
                <w:sz w:val="18"/>
                <w:szCs w:val="18"/>
                <w:color w:val="auto"/>
              </w:rPr>
            </w:pPr>
          </w:p>
        </w:tc>
        <w:tc>
          <w:tcPr>
            <w:tcW w:w="134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1352DE"/>
            </w:tcBorders>
          </w:tcPr>
          <w:p>
            <w:pPr>
              <w:ind w:left="20"/>
              <w:spacing w:after="0"/>
              <w:rPr>
                <w:sz w:val="20"/>
                <w:szCs w:val="20"/>
                <w:color w:val="auto"/>
              </w:rPr>
            </w:pPr>
            <w:r>
              <w:rPr>
                <w:rFonts w:ascii="Arial" w:cs="Arial" w:eastAsia="Arial" w:hAnsi="Arial"/>
                <w:sz w:val="16"/>
                <w:szCs w:val="16"/>
                <w:b w:val="1"/>
                <w:bCs w:val="1"/>
                <w:color w:val="1252DE"/>
              </w:rPr>
              <w:t>Total - Remainder of Europe</w:t>
            </w: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w:t>
            </w:r>
          </w:p>
        </w:tc>
        <w:tc>
          <w:tcPr>
            <w:tcW w:w="108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602</w:t>
            </w:r>
          </w:p>
        </w:tc>
        <w:tc>
          <w:tcPr>
            <w:tcW w:w="34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b w:val="1"/>
                <w:bCs w:val="1"/>
                <w:color w:val="1252DE"/>
              </w:rPr>
              <w:t>$</w:t>
            </w:r>
          </w:p>
        </w:tc>
        <w:tc>
          <w:tcPr>
            <w:tcW w:w="92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1,826</w:t>
            </w:r>
          </w:p>
        </w:tc>
        <w:tc>
          <w:tcPr>
            <w:tcW w:w="280" w:type="dxa"/>
            <w:vAlign w:val="bottom"/>
            <w:tcBorders>
              <w:bottom w:val="single" w:sz="8" w:color="1352DE"/>
            </w:tcBorders>
          </w:tcPr>
          <w:p>
            <w:pPr>
              <w:ind w:left="60"/>
              <w:spacing w:after="0"/>
              <w:rPr>
                <w:sz w:val="20"/>
                <w:szCs w:val="20"/>
                <w:color w:val="auto"/>
              </w:rPr>
            </w:pPr>
            <w:r>
              <w:rPr>
                <w:rFonts w:ascii="Arial" w:cs="Arial" w:eastAsia="Arial" w:hAnsi="Arial"/>
                <w:sz w:val="16"/>
                <w:szCs w:val="16"/>
                <w:b w:val="1"/>
                <w:bCs w:val="1"/>
                <w:color w:val="1252DE"/>
              </w:rPr>
              <w:t>$</w:t>
            </w:r>
          </w:p>
        </w:tc>
        <w:tc>
          <w:tcPr>
            <w:tcW w:w="120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2,206</w:t>
            </w:r>
          </w:p>
        </w:tc>
        <w:tc>
          <w:tcPr>
            <w:tcW w:w="30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b w:val="1"/>
                <w:bCs w:val="1"/>
                <w:color w:val="1252DE"/>
              </w:rPr>
              <w:t>$</w:t>
            </w:r>
          </w:p>
        </w:tc>
        <w:tc>
          <w:tcPr>
            <w:tcW w:w="96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478</w:t>
            </w:r>
          </w:p>
        </w:tc>
        <w:tc>
          <w:tcPr>
            <w:tcW w:w="400" w:type="dxa"/>
            <w:vAlign w:val="bottom"/>
            <w:tcBorders>
              <w:bottom w:val="single" w:sz="8" w:color="1352DE"/>
            </w:tcBorders>
          </w:tcPr>
          <w:p>
            <w:pPr>
              <w:jc w:val="right"/>
              <w:ind w:right="179"/>
              <w:spacing w:after="0"/>
              <w:rPr>
                <w:sz w:val="20"/>
                <w:szCs w:val="20"/>
                <w:color w:val="auto"/>
              </w:rPr>
            </w:pPr>
            <w:r>
              <w:rPr>
                <w:rFonts w:ascii="Arial" w:cs="Arial" w:eastAsia="Arial" w:hAnsi="Arial"/>
                <w:sz w:val="16"/>
                <w:szCs w:val="16"/>
                <w:b w:val="1"/>
                <w:bCs w:val="1"/>
                <w:color w:val="1252DE"/>
              </w:rPr>
              <w:t>$</w:t>
            </w: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5,112</w:t>
            </w:r>
          </w:p>
        </w:tc>
        <w:tc>
          <w:tcPr>
            <w:tcW w:w="300" w:type="dxa"/>
            <w:vAlign w:val="bottom"/>
            <w:tcBorders>
              <w:bottom w:val="single" w:sz="8" w:color="1352DE"/>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5,176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1352DE"/>
            </w:tcBorders>
          </w:tcPr>
          <w:p>
            <w:pPr>
              <w:ind w:left="20"/>
              <w:spacing w:after="0"/>
              <w:rPr>
                <w:sz w:val="20"/>
                <w:szCs w:val="20"/>
                <w:color w:val="auto"/>
              </w:rPr>
            </w:pPr>
            <w:r>
              <w:rPr>
                <w:rFonts w:ascii="Arial" w:cs="Arial" w:eastAsia="Arial" w:hAnsi="Arial"/>
                <w:sz w:val="16"/>
                <w:szCs w:val="16"/>
                <w:b w:val="1"/>
                <w:bCs w:val="1"/>
                <w:color w:val="1252DE"/>
              </w:rPr>
              <w:t>Total</w:t>
            </w: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w:t>
            </w:r>
          </w:p>
        </w:tc>
        <w:tc>
          <w:tcPr>
            <w:tcW w:w="108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1,649</w:t>
            </w:r>
          </w:p>
        </w:tc>
        <w:tc>
          <w:tcPr>
            <w:tcW w:w="34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b w:val="1"/>
                <w:bCs w:val="1"/>
                <w:color w:val="1252DE"/>
              </w:rPr>
              <w:t>$</w:t>
            </w:r>
          </w:p>
        </w:tc>
        <w:tc>
          <w:tcPr>
            <w:tcW w:w="92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5,157</w:t>
            </w:r>
          </w:p>
        </w:tc>
        <w:tc>
          <w:tcPr>
            <w:tcW w:w="280" w:type="dxa"/>
            <w:vAlign w:val="bottom"/>
            <w:tcBorders>
              <w:bottom w:val="single" w:sz="8" w:color="1352DE"/>
            </w:tcBorders>
          </w:tcPr>
          <w:p>
            <w:pPr>
              <w:ind w:left="60"/>
              <w:spacing w:after="0"/>
              <w:rPr>
                <w:sz w:val="20"/>
                <w:szCs w:val="20"/>
                <w:color w:val="auto"/>
              </w:rPr>
            </w:pPr>
            <w:r>
              <w:rPr>
                <w:rFonts w:ascii="Arial" w:cs="Arial" w:eastAsia="Arial" w:hAnsi="Arial"/>
                <w:sz w:val="16"/>
                <w:szCs w:val="16"/>
                <w:b w:val="1"/>
                <w:bCs w:val="1"/>
                <w:color w:val="1252DE"/>
              </w:rPr>
              <w:t>$</w:t>
            </w:r>
          </w:p>
        </w:tc>
        <w:tc>
          <w:tcPr>
            <w:tcW w:w="120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4,746</w:t>
            </w:r>
          </w:p>
        </w:tc>
        <w:tc>
          <w:tcPr>
            <w:tcW w:w="30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b w:val="1"/>
                <w:bCs w:val="1"/>
                <w:color w:val="1252DE"/>
              </w:rPr>
              <w:t>$</w:t>
            </w:r>
          </w:p>
        </w:tc>
        <w:tc>
          <w:tcPr>
            <w:tcW w:w="960" w:type="dxa"/>
            <w:vAlign w:val="bottom"/>
            <w:tcBorders>
              <w:bottom w:val="single" w:sz="8" w:color="1352DE"/>
            </w:tcBorders>
          </w:tcPr>
          <w:p>
            <w:pPr>
              <w:jc w:val="right"/>
              <w:ind w:right="19"/>
              <w:spacing w:after="0"/>
              <w:rPr>
                <w:sz w:val="20"/>
                <w:szCs w:val="20"/>
                <w:color w:val="auto"/>
              </w:rPr>
            </w:pPr>
            <w:r>
              <w:rPr>
                <w:rFonts w:ascii="Arial" w:cs="Arial" w:eastAsia="Arial" w:hAnsi="Arial"/>
                <w:sz w:val="16"/>
                <w:szCs w:val="16"/>
                <w:b w:val="1"/>
                <w:bCs w:val="1"/>
                <w:color w:val="1252DE"/>
              </w:rPr>
              <w:t>1,075</w:t>
            </w:r>
          </w:p>
        </w:tc>
        <w:tc>
          <w:tcPr>
            <w:tcW w:w="400" w:type="dxa"/>
            <w:vAlign w:val="bottom"/>
            <w:tcBorders>
              <w:bottom w:val="single" w:sz="8" w:color="1352DE"/>
            </w:tcBorders>
          </w:tcPr>
          <w:p>
            <w:pPr>
              <w:jc w:val="right"/>
              <w:ind w:right="179"/>
              <w:spacing w:after="0"/>
              <w:rPr>
                <w:sz w:val="20"/>
                <w:szCs w:val="20"/>
                <w:color w:val="auto"/>
              </w:rPr>
            </w:pPr>
            <w:r>
              <w:rPr>
                <w:rFonts w:ascii="Arial" w:cs="Arial" w:eastAsia="Arial" w:hAnsi="Arial"/>
                <w:sz w:val="16"/>
                <w:szCs w:val="16"/>
                <w:b w:val="1"/>
                <w:bCs w:val="1"/>
                <w:color w:val="1252DE"/>
              </w:rPr>
              <w:t>$</w:t>
            </w: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12,627</w:t>
            </w:r>
          </w:p>
        </w:tc>
        <w:tc>
          <w:tcPr>
            <w:tcW w:w="300" w:type="dxa"/>
            <w:vAlign w:val="bottom"/>
            <w:tcBorders>
              <w:bottom w:val="single" w:sz="8" w:color="1352DE"/>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13,023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Investments in Municipal Bonds</w:t>
      </w:r>
    </w:p>
    <w:p>
      <w:pPr>
        <w:spacing w:after="0" w:line="81"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At September 30, 2026, the U.S. municipal bond portfolio was composed primarily of essential service revenue bonds and high-quality tax-exempt bonds with 98 percent of the portfolio rated A or higher.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fair values of our available for sale U.S. municipal bond portfolio by state and municipal bond type: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Borders>
              <w:top w:val="single" w:sz="8" w:color="1352DE"/>
            </w:tcBorders>
          </w:tcPr>
          <w:p>
            <w:pPr>
              <w:spacing w:after="0"/>
              <w:rPr>
                <w:sz w:val="18"/>
                <w:szCs w:val="18"/>
                <w:color w:val="auto"/>
              </w:rPr>
            </w:pPr>
          </w:p>
        </w:tc>
        <w:tc>
          <w:tcPr>
            <w:tcW w:w="400" w:type="dxa"/>
            <w:vAlign w:val="bottom"/>
            <w:tcBorders>
              <w:top w:val="single" w:sz="8" w:color="1352DE"/>
              <w:bottom w:val="single" w:sz="8" w:color="1352DE"/>
            </w:tcBorders>
          </w:tcPr>
          <w:p>
            <w:pPr>
              <w:spacing w:after="0"/>
              <w:rPr>
                <w:sz w:val="18"/>
                <w:szCs w:val="18"/>
                <w:color w:val="auto"/>
              </w:rPr>
            </w:pPr>
          </w:p>
        </w:tc>
        <w:tc>
          <w:tcPr>
            <w:tcW w:w="920" w:type="dxa"/>
            <w:vAlign w:val="bottom"/>
            <w:tcBorders>
              <w:top w:val="single" w:sz="8" w:color="1352DE"/>
              <w:bottom w:val="single" w:sz="8" w:color="1352DE"/>
            </w:tcBorders>
          </w:tcPr>
          <w:p>
            <w:pPr>
              <w:spacing w:after="0"/>
              <w:rPr>
                <w:sz w:val="18"/>
                <w:szCs w:val="18"/>
                <w:color w:val="auto"/>
              </w:rPr>
            </w:pPr>
          </w:p>
        </w:tc>
        <w:tc>
          <w:tcPr>
            <w:tcW w:w="340" w:type="dxa"/>
            <w:vAlign w:val="bottom"/>
            <w:tcBorders>
              <w:top w:val="single" w:sz="8" w:color="1352DE"/>
              <w:bottom w:val="single" w:sz="8" w:color="1352DE"/>
            </w:tcBorders>
          </w:tcPr>
          <w:p>
            <w:pPr>
              <w:spacing w:after="0"/>
              <w:rPr>
                <w:sz w:val="18"/>
                <w:szCs w:val="18"/>
                <w:color w:val="auto"/>
              </w:rPr>
            </w:pPr>
          </w:p>
        </w:tc>
        <w:tc>
          <w:tcPr>
            <w:tcW w:w="1560" w:type="dxa"/>
            <w:vAlign w:val="bottom"/>
            <w:tcBorders>
              <w:top w:val="single" w:sz="8" w:color="1352DE"/>
              <w:bottom w:val="single" w:sz="8" w:color="1352DE"/>
            </w:tcBorders>
            <w:gridSpan w:val="2"/>
          </w:tcPr>
          <w:p>
            <w:pPr>
              <w:jc w:val="right"/>
              <w:spacing w:after="0"/>
              <w:rPr>
                <w:sz w:val="20"/>
                <w:szCs w:val="20"/>
                <w:color w:val="auto"/>
              </w:rPr>
            </w:pPr>
            <w:r>
              <w:rPr>
                <w:rFonts w:ascii="Arial" w:cs="Arial" w:eastAsia="Arial" w:hAnsi="Arial"/>
                <w:sz w:val="14"/>
                <w:szCs w:val="14"/>
                <w:b w:val="1"/>
                <w:bCs w:val="1"/>
                <w:color w:val="1252DE"/>
              </w:rPr>
              <w:t>September 30, 2026</w:t>
            </w:r>
          </w:p>
        </w:tc>
        <w:tc>
          <w:tcPr>
            <w:tcW w:w="640" w:type="dxa"/>
            <w:vAlign w:val="bottom"/>
            <w:tcBorders>
              <w:top w:val="single" w:sz="8" w:color="1352DE"/>
              <w:bottom w:val="single" w:sz="8" w:color="1352DE"/>
            </w:tcBorders>
          </w:tcPr>
          <w:p>
            <w:pPr>
              <w:spacing w:after="0"/>
              <w:rPr>
                <w:sz w:val="18"/>
                <w:szCs w:val="18"/>
                <w:color w:val="auto"/>
              </w:rPr>
            </w:pPr>
          </w:p>
        </w:tc>
        <w:tc>
          <w:tcPr>
            <w:tcW w:w="460" w:type="dxa"/>
            <w:vAlign w:val="bottom"/>
            <w:tcBorders>
              <w:top w:val="single" w:sz="8" w:color="1352DE"/>
              <w:bottom w:val="single" w:sz="8" w:color="1352DE"/>
            </w:tcBorders>
          </w:tcPr>
          <w:p>
            <w:pPr>
              <w:spacing w:after="0"/>
              <w:rPr>
                <w:sz w:val="18"/>
                <w:szCs w:val="18"/>
                <w:color w:val="auto"/>
              </w:rPr>
            </w:pPr>
          </w:p>
        </w:tc>
        <w:tc>
          <w:tcPr>
            <w:tcW w:w="760" w:type="dxa"/>
            <w:vAlign w:val="bottom"/>
            <w:tcBorders>
              <w:top w:val="single" w:sz="8" w:color="1352DE"/>
              <w:bottom w:val="single" w:sz="8" w:color="1352DE"/>
            </w:tcBorders>
          </w:tcPr>
          <w:p>
            <w:pPr>
              <w:spacing w:after="0"/>
              <w:rPr>
                <w:sz w:val="18"/>
                <w:szCs w:val="18"/>
                <w:color w:val="auto"/>
              </w:rPr>
            </w:pPr>
          </w:p>
        </w:tc>
        <w:tc>
          <w:tcPr>
            <w:tcW w:w="340" w:type="dxa"/>
            <w:vAlign w:val="bottom"/>
            <w:tcBorders>
              <w:top w:val="single" w:sz="8" w:color="1352DE"/>
            </w:tcBorders>
          </w:tcPr>
          <w:p>
            <w:pPr>
              <w:spacing w:after="0"/>
              <w:rPr>
                <w:sz w:val="18"/>
                <w:szCs w:val="18"/>
                <w:color w:val="auto"/>
              </w:rPr>
            </w:pPr>
          </w:p>
        </w:tc>
        <w:tc>
          <w:tcPr>
            <w:tcW w:w="1440" w:type="dxa"/>
            <w:vAlign w:val="bottom"/>
            <w:tcBorders>
              <w:top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1252DE"/>
              </w:rPr>
              <w:t>State</w:t>
            </w:r>
          </w:p>
        </w:tc>
        <w:tc>
          <w:tcPr>
            <w:tcW w:w="340" w:type="dxa"/>
            <w:vAlign w:val="bottom"/>
          </w:tcPr>
          <w:p>
            <w:pPr>
              <w:spacing w:after="0"/>
              <w:rPr>
                <w:sz w:val="12"/>
                <w:szCs w:val="12"/>
                <w:color w:val="auto"/>
              </w:rPr>
            </w:pPr>
          </w:p>
        </w:tc>
        <w:tc>
          <w:tcPr>
            <w:tcW w:w="940" w:type="dxa"/>
            <w:vAlign w:val="bottom"/>
          </w:tcPr>
          <w:p>
            <w:pPr>
              <w:jc w:val="right"/>
              <w:ind w:right="8"/>
              <w:spacing w:after="0" w:line="147" w:lineRule="exact"/>
              <w:rPr>
                <w:sz w:val="20"/>
                <w:szCs w:val="20"/>
                <w:color w:val="auto"/>
              </w:rPr>
            </w:pPr>
            <w:r>
              <w:rPr>
                <w:rFonts w:ascii="Arial" w:cs="Arial" w:eastAsia="Arial" w:hAnsi="Arial"/>
                <w:sz w:val="14"/>
                <w:szCs w:val="14"/>
                <w:color w:val="1252DE"/>
              </w:rPr>
              <w:t>Local</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1252DE"/>
              </w:rPr>
              <w:t>Total</w:t>
            </w:r>
          </w:p>
        </w:tc>
        <w:tc>
          <w:tcPr>
            <w:tcW w:w="3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1252DE"/>
              </w:rPr>
              <w:t>December 31, 2025</w:t>
            </w: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1252DE"/>
              </w:rPr>
              <w:t>General</w:t>
            </w:r>
          </w:p>
        </w:tc>
        <w:tc>
          <w:tcPr>
            <w:tcW w:w="340" w:type="dxa"/>
            <w:vAlign w:val="bottom"/>
          </w:tcPr>
          <w:p>
            <w:pPr>
              <w:spacing w:after="0"/>
              <w:rPr>
                <w:sz w:val="12"/>
                <w:szCs w:val="12"/>
                <w:color w:val="auto"/>
              </w:rPr>
            </w:pPr>
          </w:p>
        </w:tc>
        <w:tc>
          <w:tcPr>
            <w:tcW w:w="940" w:type="dxa"/>
            <w:vAlign w:val="bottom"/>
          </w:tcPr>
          <w:p>
            <w:pPr>
              <w:jc w:val="right"/>
              <w:ind w:right="8"/>
              <w:spacing w:after="0" w:line="145" w:lineRule="exact"/>
              <w:rPr>
                <w:sz w:val="20"/>
                <w:szCs w:val="20"/>
                <w:color w:val="auto"/>
              </w:rPr>
            </w:pPr>
            <w:r>
              <w:rPr>
                <w:rFonts w:ascii="Arial" w:cs="Arial" w:eastAsia="Arial" w:hAnsi="Arial"/>
                <w:sz w:val="14"/>
                <w:szCs w:val="14"/>
                <w:color w:val="1252DE"/>
              </w:rPr>
              <w:t>General</w:t>
            </w:r>
          </w:p>
        </w:tc>
        <w:tc>
          <w:tcPr>
            <w:tcW w:w="6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1252DE"/>
                <w:w w:val="99"/>
              </w:rPr>
              <w:t>Revenue</w:t>
            </w:r>
          </w:p>
        </w:tc>
        <w:tc>
          <w:tcPr>
            <w:tcW w:w="46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1252DE"/>
              </w:rPr>
              <w:t>Fair</w:t>
            </w:r>
          </w:p>
        </w:tc>
        <w:tc>
          <w:tcPr>
            <w:tcW w:w="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40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Obligation</w:t>
            </w:r>
          </w:p>
        </w:tc>
        <w:tc>
          <w:tcPr>
            <w:tcW w:w="34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252DE"/>
              </w:rPr>
              <w:t>Obligation</w:t>
            </w:r>
          </w:p>
        </w:tc>
        <w:tc>
          <w:tcPr>
            <w:tcW w:w="62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vMerge w:val="continue"/>
          </w:tcPr>
          <w:p>
            <w:pPr>
              <w:spacing w:after="0"/>
              <w:rPr>
                <w:sz w:val="16"/>
                <w:szCs w:val="16"/>
                <w:color w:val="auto"/>
              </w:rPr>
            </w:pPr>
          </w:p>
        </w:tc>
        <w:tc>
          <w:tcPr>
            <w:tcW w:w="46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Value</w:t>
            </w:r>
          </w:p>
        </w:tc>
        <w:tc>
          <w:tcPr>
            <w:tcW w:w="340" w:type="dxa"/>
            <w:vAlign w:val="bottom"/>
            <w:tcBorders>
              <w:bottom w:val="single" w:sz="8" w:color="1352DE"/>
            </w:tcBorders>
          </w:tcPr>
          <w:p>
            <w:pPr>
              <w:spacing w:after="0"/>
              <w:rPr>
                <w:sz w:val="16"/>
                <w:szCs w:val="16"/>
                <w:color w:val="auto"/>
              </w:rPr>
            </w:pPr>
          </w:p>
        </w:tc>
        <w:tc>
          <w:tcPr>
            <w:tcW w:w="1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Total Fair Value</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40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182</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120</w:t>
            </w:r>
          </w:p>
        </w:tc>
        <w:tc>
          <w:tcPr>
            <w:tcW w:w="620" w:type="dxa"/>
            <w:vAlign w:val="bottom"/>
          </w:tcPr>
          <w:p>
            <w:pPr>
              <w:jc w:val="right"/>
              <w:ind w:right="408"/>
              <w:spacing w:after="0"/>
              <w:rPr>
                <w:sz w:val="20"/>
                <w:szCs w:val="20"/>
                <w:color w:val="auto"/>
              </w:rPr>
            </w:pPr>
            <w:r>
              <w:rPr>
                <w:rFonts w:ascii="Arial" w:cs="Arial" w:eastAsia="Arial" w:hAnsi="Arial"/>
                <w:sz w:val="14"/>
                <w:szCs w:val="14"/>
                <w:b w:val="1"/>
                <w:bCs w:val="1"/>
                <w:color w:val="1252DE"/>
              </w:rPr>
              <w:t>$</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278</w:t>
            </w:r>
          </w:p>
        </w:tc>
        <w:tc>
          <w:tcPr>
            <w:tcW w:w="460" w:type="dxa"/>
            <w:vAlign w:val="bottom"/>
          </w:tcPr>
          <w:p>
            <w:pPr>
              <w:jc w:val="right"/>
              <w:ind w:right="248"/>
              <w:spacing w:after="0"/>
              <w:rPr>
                <w:sz w:val="20"/>
                <w:szCs w:val="20"/>
                <w:color w:val="auto"/>
              </w:rPr>
            </w:pPr>
            <w:r>
              <w:rPr>
                <w:rFonts w:ascii="Arial" w:cs="Arial" w:eastAsia="Arial" w:hAnsi="Arial"/>
                <w:sz w:val="14"/>
                <w:szCs w:val="14"/>
                <w:b w:val="1"/>
                <w:bCs w:val="1"/>
                <w:color w:val="1252DE"/>
              </w:rPr>
              <w:t>$</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580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New York</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28</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83</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225</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336</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36</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8</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98</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142</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Texas</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9</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31</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67</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107</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Connecticut</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26</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78</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104</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Florida</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1</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94</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95</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22</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69</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91</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Illinois</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4</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17</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47</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68</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Hawaii</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63</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63</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Oregon</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2</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41</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18</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61</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Virginia</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3</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50</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53</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Maryland</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10</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35</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45</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Michigan</w:t>
            </w:r>
          </w:p>
        </w:tc>
        <w:tc>
          <w:tcPr>
            <w:tcW w:w="4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6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1252DE"/>
              </w:rPr>
              <w:t>44</w:t>
            </w:r>
          </w:p>
        </w:tc>
        <w:tc>
          <w:tcPr>
            <w:tcW w:w="4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1252DE"/>
              </w:rPr>
              <w:t>44</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4"/>
        </w:trPr>
        <w:tc>
          <w:tcPr>
            <w:tcW w:w="436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All other states</w:t>
            </w:r>
          </w:p>
        </w:tc>
        <w:tc>
          <w:tcPr>
            <w:tcW w:w="40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39</w:t>
            </w:r>
          </w:p>
        </w:tc>
        <w:tc>
          <w:tcPr>
            <w:tcW w:w="34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15</w:t>
            </w:r>
          </w:p>
        </w:tc>
        <w:tc>
          <w:tcPr>
            <w:tcW w:w="620" w:type="dxa"/>
            <w:vAlign w:val="bottom"/>
            <w:tcBorders>
              <w:bottom w:val="single" w:sz="8" w:color="1352DE"/>
            </w:tcBorders>
          </w:tcPr>
          <w:p>
            <w:pPr>
              <w:spacing w:after="0"/>
              <w:rPr>
                <w:sz w:val="17"/>
                <w:szCs w:val="17"/>
                <w:color w:val="auto"/>
              </w:rPr>
            </w:pPr>
          </w:p>
        </w:tc>
        <w:tc>
          <w:tcPr>
            <w:tcW w:w="6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486</w:t>
            </w:r>
          </w:p>
        </w:tc>
        <w:tc>
          <w:tcPr>
            <w:tcW w:w="46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540</w:t>
            </w:r>
          </w:p>
        </w:tc>
        <w:tc>
          <w:tcPr>
            <w:tcW w:w="340" w:type="dxa"/>
            <w:vAlign w:val="bottom"/>
            <w:tcBorders>
              <w:bottom w:val="single" w:sz="8" w:color="1352DE"/>
            </w:tcBorders>
          </w:tcPr>
          <w:p>
            <w:pPr>
              <w:spacing w:after="0"/>
              <w:rPr>
                <w:sz w:val="17"/>
                <w:szCs w:val="17"/>
                <w:color w:val="auto"/>
              </w:rPr>
            </w:pPr>
          </w:p>
        </w:tc>
        <w:tc>
          <w:tcPr>
            <w:tcW w:w="1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40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412</w:t>
            </w:r>
          </w:p>
        </w:tc>
        <w:tc>
          <w:tcPr>
            <w:tcW w:w="34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328</w:t>
            </w:r>
          </w:p>
        </w:tc>
        <w:tc>
          <w:tcPr>
            <w:tcW w:w="620" w:type="dxa"/>
            <w:vAlign w:val="bottom"/>
            <w:tcBorders>
              <w:bottom w:val="single" w:sz="8" w:color="1352DE"/>
            </w:tcBorders>
          </w:tcPr>
          <w:p>
            <w:pPr>
              <w:jc w:val="right"/>
              <w:ind w:right="408"/>
              <w:spacing w:after="0"/>
              <w:rPr>
                <w:sz w:val="20"/>
                <w:szCs w:val="20"/>
                <w:color w:val="auto"/>
              </w:rPr>
            </w:pPr>
            <w:r>
              <w:rPr>
                <w:rFonts w:ascii="Arial" w:cs="Arial" w:eastAsia="Arial" w:hAnsi="Arial"/>
                <w:sz w:val="14"/>
                <w:szCs w:val="14"/>
                <w:b w:val="1"/>
                <w:bCs w:val="1"/>
                <w:color w:val="1252DE"/>
              </w:rPr>
              <w:t>$</w:t>
            </w:r>
          </w:p>
        </w:tc>
        <w:tc>
          <w:tcPr>
            <w:tcW w:w="6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1,589</w:t>
            </w:r>
          </w:p>
        </w:tc>
        <w:tc>
          <w:tcPr>
            <w:tcW w:w="46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b w:val="1"/>
                <w:bCs w:val="1"/>
                <w:color w:val="1252DE"/>
              </w:rPr>
              <w:t>$</w:t>
            </w:r>
          </w:p>
        </w:tc>
        <w:tc>
          <w:tcPr>
            <w:tcW w:w="7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2,329</w:t>
            </w:r>
          </w:p>
        </w:tc>
        <w:tc>
          <w:tcPr>
            <w:tcW w:w="34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Investments in Corporate Debt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fair value of our available for sale corporate debt securities by industry categories: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400" w:type="dxa"/>
            <w:vAlign w:val="bottom"/>
            <w:tcBorders>
              <w:top w:val="single" w:sz="8" w:color="1352DE"/>
              <w:bottom w:val="single" w:sz="8" w:color="1352DE"/>
            </w:tcBorders>
          </w:tcPr>
          <w:p>
            <w:pPr>
              <w:spacing w:after="0"/>
              <w:rPr>
                <w:sz w:val="18"/>
                <w:szCs w:val="18"/>
                <w:color w:val="auto"/>
              </w:rPr>
            </w:pPr>
          </w:p>
        </w:tc>
        <w:tc>
          <w:tcPr>
            <w:tcW w:w="1760" w:type="dxa"/>
            <w:vAlign w:val="bottom"/>
            <w:tcBorders>
              <w:top w:val="single" w:sz="8" w:color="1352DE"/>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September 30, 2026</w:t>
            </w:r>
          </w:p>
        </w:tc>
        <w:tc>
          <w:tcPr>
            <w:tcW w:w="480" w:type="dxa"/>
            <w:vAlign w:val="bottom"/>
            <w:tcBorders>
              <w:top w:val="single" w:sz="8" w:color="1352DE"/>
              <w:bottom w:val="single" w:sz="8" w:color="1352DE"/>
            </w:tcBorders>
          </w:tcPr>
          <w:p>
            <w:pPr>
              <w:spacing w:after="0"/>
              <w:rPr>
                <w:sz w:val="18"/>
                <w:szCs w:val="18"/>
                <w:color w:val="auto"/>
              </w:rPr>
            </w:pPr>
          </w:p>
        </w:tc>
        <w:tc>
          <w:tcPr>
            <w:tcW w:w="15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December 31, 2025</w:t>
            </w: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Financial institutions:</w:t>
            </w:r>
          </w:p>
        </w:tc>
        <w:tc>
          <w:tcPr>
            <w:tcW w:w="2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9"/>
        </w:trPr>
        <w:tc>
          <w:tcPr>
            <w:tcW w:w="5080" w:type="dxa"/>
            <w:vAlign w:val="bottom"/>
          </w:tcPr>
          <w:p>
            <w:pPr>
              <w:ind w:left="140"/>
              <w:spacing w:after="0"/>
              <w:rPr>
                <w:sz w:val="20"/>
                <w:szCs w:val="20"/>
                <w:color w:val="auto"/>
              </w:rPr>
            </w:pPr>
            <w:r>
              <w:rPr>
                <w:rFonts w:ascii="Arial" w:cs="Arial" w:eastAsia="Arial" w:hAnsi="Arial"/>
                <w:sz w:val="14"/>
                <w:szCs w:val="14"/>
                <w:color w:val="auto"/>
              </w:rPr>
              <w:t>Banks</w:t>
            </w:r>
          </w:p>
        </w:tc>
        <w:tc>
          <w:tcPr>
            <w:tcW w:w="2400" w:type="dxa"/>
            <w:vAlign w:val="bottom"/>
          </w:tcPr>
          <w:p>
            <w:pPr>
              <w:jc w:val="right"/>
              <w:ind w:right="168"/>
              <w:spacing w:after="0"/>
              <w:rPr>
                <w:sz w:val="20"/>
                <w:szCs w:val="20"/>
                <w:color w:val="auto"/>
              </w:rPr>
            </w:pPr>
            <w:r>
              <w:rPr>
                <w:rFonts w:ascii="Arial" w:cs="Arial" w:eastAsia="Arial" w:hAnsi="Arial"/>
                <w:sz w:val="14"/>
                <w:szCs w:val="14"/>
                <w:b w:val="1"/>
                <w:bCs w:val="1"/>
                <w:color w:val="1252DE"/>
              </w:rPr>
              <w:t>$</w:t>
            </w: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8,044</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8,086</w:t>
            </w:r>
          </w:p>
        </w:tc>
      </w:tr>
      <w:tr>
        <w:trPr>
          <w:trHeight w:val="203"/>
        </w:trPr>
        <w:tc>
          <w:tcPr>
            <w:tcW w:w="5080" w:type="dxa"/>
            <w:vAlign w:val="bottom"/>
          </w:tcPr>
          <w:p>
            <w:pPr>
              <w:ind w:left="140"/>
              <w:spacing w:after="0"/>
              <w:rPr>
                <w:sz w:val="20"/>
                <w:szCs w:val="20"/>
                <w:color w:val="auto"/>
              </w:rPr>
            </w:pPr>
            <w:r>
              <w:rPr>
                <w:rFonts w:ascii="Arial" w:cs="Arial" w:eastAsia="Arial" w:hAnsi="Arial"/>
                <w:sz w:val="14"/>
                <w:szCs w:val="14"/>
                <w:color w:val="auto"/>
              </w:rPr>
              <w:t>Insurance</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1,566</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1,378</w:t>
            </w:r>
          </w:p>
        </w:tc>
      </w:tr>
      <w:tr>
        <w:trPr>
          <w:trHeight w:val="203"/>
        </w:trPr>
        <w:tc>
          <w:tcPr>
            <w:tcW w:w="5080" w:type="dxa"/>
            <w:vAlign w:val="bottom"/>
          </w:tcPr>
          <w:p>
            <w:pPr>
              <w:ind w:left="140"/>
              <w:spacing w:after="0"/>
              <w:rPr>
                <w:sz w:val="20"/>
                <w:szCs w:val="20"/>
                <w:color w:val="auto"/>
              </w:rPr>
            </w:pPr>
            <w:r>
              <w:rPr>
                <w:rFonts w:ascii="Arial" w:cs="Arial" w:eastAsia="Arial" w:hAnsi="Arial"/>
                <w:sz w:val="14"/>
                <w:szCs w:val="14"/>
                <w:color w:val="auto"/>
              </w:rPr>
              <w:t>Securities firms and other finance companies</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994</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203"/>
        </w:trPr>
        <w:tc>
          <w:tcPr>
            <w:tcW w:w="5080" w:type="dxa"/>
            <w:vAlign w:val="bottom"/>
          </w:tcPr>
          <w:p>
            <w:pPr>
              <w:ind w:left="140"/>
              <w:spacing w:after="0"/>
              <w:rPr>
                <w:sz w:val="20"/>
                <w:szCs w:val="20"/>
                <w:color w:val="auto"/>
              </w:rPr>
            </w:pPr>
            <w:r>
              <w:rPr>
                <w:rFonts w:ascii="Arial" w:cs="Arial" w:eastAsia="Arial" w:hAnsi="Arial"/>
                <w:sz w:val="14"/>
                <w:szCs w:val="14"/>
                <w:color w:val="auto"/>
              </w:rPr>
              <w:t>Other financial institutions</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5,469</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5,733</w:t>
            </w:r>
          </w:p>
        </w:tc>
      </w:tr>
      <w:tr>
        <w:trPr>
          <w:trHeight w:val="203"/>
        </w:trPr>
        <w:tc>
          <w:tcPr>
            <w:tcW w:w="5080" w:type="dxa"/>
            <w:vAlign w:val="bottom"/>
          </w:tcPr>
          <w:p>
            <w:pPr>
              <w:ind w:left="20"/>
              <w:spacing w:after="0"/>
              <w:rPr>
                <w:sz w:val="20"/>
                <w:szCs w:val="20"/>
                <w:color w:val="auto"/>
              </w:rPr>
            </w:pPr>
            <w:r>
              <w:rPr>
                <w:rFonts w:ascii="Arial" w:cs="Arial" w:eastAsia="Arial" w:hAnsi="Arial"/>
                <w:sz w:val="14"/>
                <w:szCs w:val="14"/>
                <w:color w:val="auto"/>
              </w:rPr>
              <w:t>Utilities</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3,386</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3,231</w:t>
            </w:r>
          </w:p>
        </w:tc>
      </w:tr>
      <w:tr>
        <w:trPr>
          <w:trHeight w:val="203"/>
        </w:trPr>
        <w:tc>
          <w:tcPr>
            <w:tcW w:w="5080" w:type="dxa"/>
            <w:vAlign w:val="bottom"/>
          </w:tcPr>
          <w:p>
            <w:pPr>
              <w:ind w:left="20"/>
              <w:spacing w:after="0"/>
              <w:rPr>
                <w:sz w:val="20"/>
                <w:szCs w:val="20"/>
                <w:color w:val="auto"/>
              </w:rPr>
            </w:pPr>
            <w:r>
              <w:rPr>
                <w:rFonts w:ascii="Arial" w:cs="Arial" w:eastAsia="Arial" w:hAnsi="Arial"/>
                <w:sz w:val="14"/>
                <w:szCs w:val="14"/>
                <w:color w:val="auto"/>
              </w:rPr>
              <w:t>Communications</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2,402</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2,188</w:t>
            </w:r>
          </w:p>
        </w:tc>
      </w:tr>
      <w:tr>
        <w:trPr>
          <w:trHeight w:val="203"/>
        </w:trPr>
        <w:tc>
          <w:tcPr>
            <w:tcW w:w="5080" w:type="dxa"/>
            <w:vAlign w:val="bottom"/>
          </w:tcPr>
          <w:p>
            <w:pPr>
              <w:ind w:left="20"/>
              <w:spacing w:after="0"/>
              <w:rPr>
                <w:sz w:val="20"/>
                <w:szCs w:val="20"/>
                <w:color w:val="auto"/>
              </w:rPr>
            </w:pPr>
            <w:r>
              <w:rPr>
                <w:rFonts w:ascii="Arial" w:cs="Arial" w:eastAsia="Arial" w:hAnsi="Arial"/>
                <w:sz w:val="14"/>
                <w:szCs w:val="14"/>
                <w:color w:val="auto"/>
              </w:rPr>
              <w:t>Consumer noncyclical</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2,640</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2,706</w:t>
            </w:r>
          </w:p>
        </w:tc>
      </w:tr>
      <w:tr>
        <w:trPr>
          <w:trHeight w:val="203"/>
        </w:trPr>
        <w:tc>
          <w:tcPr>
            <w:tcW w:w="5080" w:type="dxa"/>
            <w:vAlign w:val="bottom"/>
          </w:tcPr>
          <w:p>
            <w:pPr>
              <w:ind w:left="20"/>
              <w:spacing w:after="0"/>
              <w:rPr>
                <w:sz w:val="20"/>
                <w:szCs w:val="20"/>
                <w:color w:val="auto"/>
              </w:rPr>
            </w:pPr>
            <w:r>
              <w:rPr>
                <w:rFonts w:ascii="Arial" w:cs="Arial" w:eastAsia="Arial" w:hAnsi="Arial"/>
                <w:sz w:val="14"/>
                <w:szCs w:val="14"/>
                <w:color w:val="auto"/>
              </w:rPr>
              <w:t>Capital goods</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1,737</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1,805</w:t>
            </w:r>
          </w:p>
        </w:tc>
      </w:tr>
      <w:tr>
        <w:trPr>
          <w:trHeight w:val="203"/>
        </w:trPr>
        <w:tc>
          <w:tcPr>
            <w:tcW w:w="5080" w:type="dxa"/>
            <w:vAlign w:val="bottom"/>
          </w:tcPr>
          <w:p>
            <w:pPr>
              <w:ind w:left="20"/>
              <w:spacing w:after="0"/>
              <w:rPr>
                <w:sz w:val="20"/>
                <w:szCs w:val="20"/>
                <w:color w:val="auto"/>
              </w:rPr>
            </w:pPr>
            <w:r>
              <w:rPr>
                <w:rFonts w:ascii="Arial" w:cs="Arial" w:eastAsia="Arial" w:hAnsi="Arial"/>
                <w:sz w:val="14"/>
                <w:szCs w:val="14"/>
                <w:color w:val="auto"/>
              </w:rPr>
              <w:t>Energy</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2,149</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2,010</w:t>
            </w:r>
          </w:p>
        </w:tc>
      </w:tr>
      <w:tr>
        <w:trPr>
          <w:trHeight w:val="203"/>
        </w:trPr>
        <w:tc>
          <w:tcPr>
            <w:tcW w:w="5080" w:type="dxa"/>
            <w:vAlign w:val="bottom"/>
          </w:tcPr>
          <w:p>
            <w:pPr>
              <w:ind w:left="20"/>
              <w:spacing w:after="0"/>
              <w:rPr>
                <w:sz w:val="20"/>
                <w:szCs w:val="20"/>
                <w:color w:val="auto"/>
              </w:rPr>
            </w:pPr>
            <w:r>
              <w:rPr>
                <w:rFonts w:ascii="Arial" w:cs="Arial" w:eastAsia="Arial" w:hAnsi="Arial"/>
                <w:sz w:val="14"/>
                <w:szCs w:val="14"/>
                <w:color w:val="auto"/>
              </w:rPr>
              <w:t>Consumer cyclical</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3,821</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3,649</w:t>
            </w:r>
          </w:p>
        </w:tc>
      </w:tr>
      <w:tr>
        <w:trPr>
          <w:trHeight w:val="203"/>
        </w:trPr>
        <w:tc>
          <w:tcPr>
            <w:tcW w:w="5080" w:type="dxa"/>
            <w:vAlign w:val="bottom"/>
          </w:tcPr>
          <w:p>
            <w:pPr>
              <w:ind w:left="20"/>
              <w:spacing w:after="0"/>
              <w:rPr>
                <w:sz w:val="20"/>
                <w:szCs w:val="20"/>
                <w:color w:val="auto"/>
              </w:rPr>
            </w:pPr>
            <w:r>
              <w:rPr>
                <w:rFonts w:ascii="Arial" w:cs="Arial" w:eastAsia="Arial" w:hAnsi="Arial"/>
                <w:sz w:val="14"/>
                <w:szCs w:val="14"/>
                <w:color w:val="auto"/>
              </w:rPr>
              <w:t>Basic materials</w:t>
            </w:r>
          </w:p>
        </w:tc>
        <w:tc>
          <w:tcPr>
            <w:tcW w:w="2400" w:type="dxa"/>
            <w:vAlign w:val="bottom"/>
          </w:tcPr>
          <w:p>
            <w:pPr>
              <w:spacing w:after="0"/>
              <w:rPr>
                <w:sz w:val="17"/>
                <w:szCs w:val="17"/>
                <w:color w:val="auto"/>
              </w:rPr>
            </w:pP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1252DE"/>
              </w:rPr>
              <w:t>2,323</w:t>
            </w:r>
          </w:p>
        </w:tc>
        <w:tc>
          <w:tcPr>
            <w:tcW w:w="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2,093</w:t>
            </w:r>
          </w:p>
        </w:tc>
      </w:tr>
      <w:tr>
        <w:trPr>
          <w:trHeight w:val="203"/>
        </w:trPr>
        <w:tc>
          <w:tcPr>
            <w:tcW w:w="50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Other</w:t>
            </w:r>
          </w:p>
        </w:tc>
        <w:tc>
          <w:tcPr>
            <w:tcW w:w="2400" w:type="dxa"/>
            <w:vAlign w:val="bottom"/>
            <w:tcBorders>
              <w:bottom w:val="single" w:sz="8" w:color="1352DE"/>
            </w:tcBorders>
          </w:tcPr>
          <w:p>
            <w:pPr>
              <w:spacing w:after="0"/>
              <w:rPr>
                <w:sz w:val="17"/>
                <w:szCs w:val="17"/>
                <w:color w:val="auto"/>
              </w:rPr>
            </w:pPr>
          </w:p>
        </w:tc>
        <w:tc>
          <w:tcPr>
            <w:tcW w:w="176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3,752</w:t>
            </w:r>
          </w:p>
        </w:tc>
        <w:tc>
          <w:tcPr>
            <w:tcW w:w="480" w:type="dxa"/>
            <w:vAlign w:val="bottom"/>
            <w:tcBorders>
              <w:bottom w:val="single" w:sz="8" w:color="1352DE"/>
            </w:tcBorders>
          </w:tcPr>
          <w:p>
            <w:pPr>
              <w:spacing w:after="0"/>
              <w:rPr>
                <w:sz w:val="17"/>
                <w:szCs w:val="17"/>
                <w:color w:val="auto"/>
              </w:rPr>
            </w:pPr>
          </w:p>
        </w:tc>
        <w:tc>
          <w:tcPr>
            <w:tcW w:w="1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3,500</w:t>
            </w:r>
          </w:p>
        </w:tc>
      </w:tr>
      <w:tr>
        <w:trPr>
          <w:trHeight w:val="196"/>
        </w:trPr>
        <w:tc>
          <w:tcPr>
            <w:tcW w:w="508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240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2DE"/>
              </w:rPr>
              <w:t>$</w:t>
            </w:r>
          </w:p>
        </w:tc>
        <w:tc>
          <w:tcPr>
            <w:tcW w:w="176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38,283</w:t>
            </w:r>
          </w:p>
        </w:tc>
        <w:tc>
          <w:tcPr>
            <w:tcW w:w="48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37,235</w:t>
            </w:r>
          </w:p>
        </w:tc>
      </w:tr>
    </w:tbl>
    <w:p>
      <w:pPr>
        <w:spacing w:after="0" w:line="144" w:lineRule="exact"/>
        <w:rPr>
          <w:sz w:val="20"/>
          <w:szCs w:val="20"/>
          <w:color w:val="auto"/>
        </w:rPr>
      </w:pPr>
    </w:p>
    <w:p>
      <w:pPr>
        <w:ind w:left="220" w:hanging="212"/>
        <w:spacing w:after="0"/>
        <w:tabs>
          <w:tab w:leader="none" w:pos="2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At September 30, 2026 and December 31, 2025, approximately 88 percent and 88 percent, respectively, of these investments were rated investment 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4771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60" w:hanging="734"/>
        <w:spacing w:after="0"/>
        <w:tabs>
          <w:tab w:leader="none" w:pos="760" w:val="left"/>
        </w:tabs>
        <w:numPr>
          <w:ilvl w:val="0"/>
          <w:numId w:val="92"/>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Investments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Commercial Mortgage Loans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2026, we had direct commercial mortgage loan exposure of $2.1 billion.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commercial mortgage loan exposure by location and class of loan based on amortized cost: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tcBorders>
              <w:top w:val="single" w:sz="8" w:color="1352DE"/>
            </w:tcBorders>
          </w:tcPr>
          <w:p>
            <w:pPr>
              <w:spacing w:after="0"/>
              <w:rPr>
                <w:sz w:val="18"/>
                <w:szCs w:val="18"/>
                <w:color w:val="auto"/>
              </w:rPr>
            </w:pPr>
          </w:p>
        </w:tc>
        <w:tc>
          <w:tcPr>
            <w:tcW w:w="10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Number</w:t>
            </w:r>
          </w:p>
        </w:tc>
        <w:tc>
          <w:tcPr>
            <w:tcW w:w="160" w:type="dxa"/>
            <w:vAlign w:val="bottom"/>
            <w:tcBorders>
              <w:top w:val="single" w:sz="8" w:color="1352DE"/>
            </w:tcBorders>
          </w:tcPr>
          <w:p>
            <w:pPr>
              <w:spacing w:after="0"/>
              <w:rPr>
                <w:sz w:val="18"/>
                <w:szCs w:val="18"/>
                <w:color w:val="auto"/>
              </w:rPr>
            </w:pPr>
          </w:p>
        </w:tc>
        <w:tc>
          <w:tcPr>
            <w:tcW w:w="200" w:type="dxa"/>
            <w:vAlign w:val="bottom"/>
            <w:tcBorders>
              <w:top w:val="single" w:sz="8" w:color="1352DE"/>
              <w:bottom w:val="single" w:sz="8" w:color="1352DE"/>
            </w:tcBorders>
          </w:tcPr>
          <w:p>
            <w:pPr>
              <w:spacing w:after="0"/>
              <w:rPr>
                <w:sz w:val="18"/>
                <w:szCs w:val="18"/>
                <w:color w:val="auto"/>
              </w:rPr>
            </w:pPr>
          </w:p>
        </w:tc>
        <w:tc>
          <w:tcPr>
            <w:tcW w:w="980" w:type="dxa"/>
            <w:vAlign w:val="bottom"/>
            <w:tcBorders>
              <w:top w:val="single" w:sz="8" w:color="1352DE"/>
              <w:bottom w:val="single" w:sz="8" w:color="1352DE"/>
            </w:tcBorders>
          </w:tcPr>
          <w:p>
            <w:pPr>
              <w:spacing w:after="0"/>
              <w:rPr>
                <w:sz w:val="18"/>
                <w:szCs w:val="18"/>
                <w:color w:val="auto"/>
              </w:rPr>
            </w:pPr>
          </w:p>
        </w:tc>
        <w:tc>
          <w:tcPr>
            <w:tcW w:w="300" w:type="dxa"/>
            <w:vAlign w:val="bottom"/>
            <w:tcBorders>
              <w:top w:val="single" w:sz="8" w:color="1352DE"/>
              <w:bottom w:val="single" w:sz="8" w:color="1352DE"/>
            </w:tcBorders>
          </w:tcPr>
          <w:p>
            <w:pPr>
              <w:spacing w:after="0"/>
              <w:rPr>
                <w:sz w:val="18"/>
                <w:szCs w:val="18"/>
                <w:color w:val="auto"/>
              </w:rPr>
            </w:pPr>
          </w:p>
        </w:tc>
        <w:tc>
          <w:tcPr>
            <w:tcW w:w="660" w:type="dxa"/>
            <w:vAlign w:val="bottom"/>
            <w:tcBorders>
              <w:top w:val="single" w:sz="8" w:color="1352DE"/>
              <w:bottom w:val="single" w:sz="8" w:color="1352DE"/>
            </w:tcBorders>
          </w:tcPr>
          <w:p>
            <w:pPr>
              <w:spacing w:after="0"/>
              <w:rPr>
                <w:sz w:val="18"/>
                <w:szCs w:val="18"/>
                <w:color w:val="auto"/>
              </w:rPr>
            </w:pPr>
          </w:p>
        </w:tc>
        <w:tc>
          <w:tcPr>
            <w:tcW w:w="340" w:type="dxa"/>
            <w:vAlign w:val="bottom"/>
            <w:tcBorders>
              <w:top w:val="single" w:sz="8" w:color="1352DE"/>
              <w:bottom w:val="single" w:sz="8" w:color="1352DE"/>
            </w:tcBorders>
          </w:tcPr>
          <w:p>
            <w:pPr>
              <w:spacing w:after="0"/>
              <w:rPr>
                <w:sz w:val="18"/>
                <w:szCs w:val="18"/>
                <w:color w:val="auto"/>
              </w:rPr>
            </w:pPr>
          </w:p>
        </w:tc>
        <w:tc>
          <w:tcPr>
            <w:tcW w:w="920" w:type="dxa"/>
            <w:vAlign w:val="bottom"/>
            <w:tcBorders>
              <w:top w:val="single" w:sz="8" w:color="1352DE"/>
              <w:bottom w:val="single" w:sz="8" w:color="1352DE"/>
            </w:tcBorders>
            <w:gridSpan w:val="2"/>
          </w:tcPr>
          <w:p>
            <w:pPr>
              <w:jc w:val="right"/>
              <w:ind w:right="128"/>
              <w:spacing w:after="0"/>
              <w:rPr>
                <w:sz w:val="20"/>
                <w:szCs w:val="20"/>
                <w:color w:val="auto"/>
              </w:rPr>
            </w:pPr>
            <w:r>
              <w:rPr>
                <w:rFonts w:ascii="Arial" w:cs="Arial" w:eastAsia="Arial" w:hAnsi="Arial"/>
                <w:sz w:val="14"/>
                <w:szCs w:val="14"/>
                <w:color w:val="1252DE"/>
              </w:rPr>
              <w:t>Class</w:t>
            </w:r>
          </w:p>
        </w:tc>
        <w:tc>
          <w:tcPr>
            <w:tcW w:w="800" w:type="dxa"/>
            <w:vAlign w:val="bottom"/>
            <w:tcBorders>
              <w:top w:val="single" w:sz="8" w:color="1352DE"/>
              <w:bottom w:val="single" w:sz="8" w:color="1352DE"/>
            </w:tcBorders>
          </w:tcPr>
          <w:p>
            <w:pPr>
              <w:spacing w:after="0"/>
              <w:rPr>
                <w:sz w:val="18"/>
                <w:szCs w:val="18"/>
                <w:color w:val="auto"/>
              </w:rPr>
            </w:pPr>
          </w:p>
        </w:tc>
        <w:tc>
          <w:tcPr>
            <w:tcW w:w="340" w:type="dxa"/>
            <w:vAlign w:val="bottom"/>
            <w:tcBorders>
              <w:top w:val="single" w:sz="8" w:color="1352DE"/>
              <w:bottom w:val="single" w:sz="8" w:color="1352DE"/>
            </w:tcBorders>
          </w:tcPr>
          <w:p>
            <w:pPr>
              <w:spacing w:after="0"/>
              <w:rPr>
                <w:sz w:val="18"/>
                <w:szCs w:val="18"/>
                <w:color w:val="auto"/>
              </w:rPr>
            </w:pPr>
          </w:p>
        </w:tc>
        <w:tc>
          <w:tcPr>
            <w:tcW w:w="580" w:type="dxa"/>
            <w:vAlign w:val="bottom"/>
            <w:tcBorders>
              <w:top w:val="single" w:sz="8" w:color="1352DE"/>
              <w:bottom w:val="single" w:sz="8" w:color="1352DE"/>
            </w:tcBorders>
          </w:tcPr>
          <w:p>
            <w:pPr>
              <w:spacing w:after="0"/>
              <w:rPr>
                <w:sz w:val="18"/>
                <w:szCs w:val="18"/>
                <w:color w:val="auto"/>
              </w:rPr>
            </w:pPr>
          </w:p>
        </w:tc>
        <w:tc>
          <w:tcPr>
            <w:tcW w:w="320" w:type="dxa"/>
            <w:vAlign w:val="bottom"/>
            <w:tcBorders>
              <w:top w:val="single" w:sz="8" w:color="1352DE"/>
              <w:bottom w:val="single" w:sz="8" w:color="1352DE"/>
            </w:tcBorders>
          </w:tcPr>
          <w:p>
            <w:pPr>
              <w:spacing w:after="0"/>
              <w:rPr>
                <w:sz w:val="18"/>
                <w:szCs w:val="18"/>
                <w:color w:val="auto"/>
              </w:rPr>
            </w:pPr>
          </w:p>
        </w:tc>
        <w:tc>
          <w:tcPr>
            <w:tcW w:w="620" w:type="dxa"/>
            <w:vAlign w:val="bottom"/>
            <w:tcBorders>
              <w:top w:val="single" w:sz="8" w:color="1352DE"/>
              <w:bottom w:val="single" w:sz="8" w:color="1352DE"/>
            </w:tcBorders>
          </w:tcPr>
          <w:p>
            <w:pPr>
              <w:spacing w:after="0"/>
              <w:rPr>
                <w:sz w:val="18"/>
                <w:szCs w:val="18"/>
                <w:color w:val="auto"/>
              </w:rPr>
            </w:pPr>
          </w:p>
        </w:tc>
        <w:tc>
          <w:tcPr>
            <w:tcW w:w="420" w:type="dxa"/>
            <w:vAlign w:val="bottom"/>
            <w:tcBorders>
              <w:top w:val="single" w:sz="8" w:color="1352DE"/>
            </w:tcBorders>
          </w:tcPr>
          <w:p>
            <w:pPr>
              <w:spacing w:after="0"/>
              <w:rPr>
                <w:sz w:val="18"/>
                <w:szCs w:val="18"/>
                <w:color w:val="auto"/>
              </w:rPr>
            </w:pPr>
          </w:p>
        </w:tc>
        <w:tc>
          <w:tcPr>
            <w:tcW w:w="820" w:type="dxa"/>
            <w:vAlign w:val="bottom"/>
            <w:tcBorders>
              <w:top w:val="single" w:sz="8" w:color="1352DE"/>
            </w:tcBorders>
          </w:tcPr>
          <w:p>
            <w:pPr>
              <w:spacing w:after="0"/>
              <w:rPr>
                <w:sz w:val="18"/>
                <w:szCs w:val="18"/>
                <w:color w:val="auto"/>
              </w:rPr>
            </w:pPr>
          </w:p>
        </w:tc>
        <w:tc>
          <w:tcPr>
            <w:tcW w:w="72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Percent</w:t>
            </w:r>
          </w:p>
        </w:tc>
        <w:tc>
          <w:tcPr>
            <w:tcW w:w="300" w:type="dxa"/>
            <w:vAlign w:val="bottom"/>
            <w:tcBorders>
              <w:top w:val="single" w:sz="8" w:color="1352DE"/>
            </w:tcBorders>
          </w:tcPr>
          <w:p>
            <w:pPr>
              <w:spacing w:after="0"/>
              <w:rPr>
                <w:sz w:val="18"/>
                <w:szCs w:val="18"/>
                <w:color w:val="auto"/>
              </w:rPr>
            </w:pPr>
          </w:p>
        </w:tc>
      </w:tr>
      <w:tr>
        <w:trPr>
          <w:trHeight w:val="200"/>
        </w:trPr>
        <w:tc>
          <w:tcPr>
            <w:tcW w:w="174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(dollars in millions)</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 Loans</w:t>
            </w:r>
          </w:p>
        </w:tc>
        <w:tc>
          <w:tcPr>
            <w:tcW w:w="16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Apartments</w:t>
            </w:r>
          </w:p>
        </w:tc>
        <w:tc>
          <w:tcPr>
            <w:tcW w:w="300" w:type="dxa"/>
            <w:vAlign w:val="bottom"/>
            <w:tcBorders>
              <w:bottom w:val="single" w:sz="8" w:color="1352DE"/>
            </w:tcBorders>
          </w:tcPr>
          <w:p>
            <w:pPr>
              <w:spacing w:after="0"/>
              <w:rPr>
                <w:sz w:val="17"/>
                <w:szCs w:val="17"/>
                <w:color w:val="auto"/>
              </w:rPr>
            </w:pPr>
          </w:p>
        </w:tc>
        <w:tc>
          <w:tcPr>
            <w:tcW w:w="6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Offices</w:t>
            </w:r>
          </w:p>
        </w:tc>
        <w:tc>
          <w:tcPr>
            <w:tcW w:w="34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Retail</w:t>
            </w:r>
          </w:p>
        </w:tc>
        <w:tc>
          <w:tcPr>
            <w:tcW w:w="32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Industrial</w:t>
            </w:r>
          </w:p>
        </w:tc>
        <w:tc>
          <w:tcPr>
            <w:tcW w:w="34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Hotel</w:t>
            </w:r>
          </w:p>
        </w:tc>
        <w:tc>
          <w:tcPr>
            <w:tcW w:w="32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Others</w:t>
            </w:r>
          </w:p>
        </w:tc>
        <w:tc>
          <w:tcPr>
            <w:tcW w:w="42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color w:val="1252DE"/>
              </w:rPr>
              <w:t>Total</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 Total</w:t>
            </w:r>
          </w:p>
        </w:tc>
        <w:tc>
          <w:tcPr>
            <w:tcW w:w="300" w:type="dxa"/>
            <w:vAlign w:val="bottom"/>
            <w:tcBorders>
              <w:bottom w:val="single" w:sz="8" w:color="1352DE"/>
            </w:tcBorders>
          </w:tcPr>
          <w:p>
            <w:pPr>
              <w:spacing w:after="0"/>
              <w:rPr>
                <w:sz w:val="17"/>
                <w:szCs w:val="17"/>
                <w:color w:val="auto"/>
              </w:rPr>
            </w:pPr>
          </w:p>
        </w:tc>
      </w:tr>
      <w:tr>
        <w:trPr>
          <w:trHeight w:val="194"/>
        </w:trPr>
        <w:tc>
          <w:tcPr>
            <w:tcW w:w="1740" w:type="dxa"/>
            <w:vAlign w:val="bottom"/>
          </w:tcPr>
          <w:p>
            <w:pPr>
              <w:ind w:left="20"/>
              <w:spacing w:after="0"/>
              <w:rPr>
                <w:sz w:val="20"/>
                <w:szCs w:val="20"/>
                <w:color w:val="auto"/>
              </w:rPr>
            </w:pPr>
            <w:r>
              <w:rPr>
                <w:rFonts w:ascii="Arial" w:cs="Arial" w:eastAsia="Arial" w:hAnsi="Arial"/>
                <w:sz w:val="14"/>
                <w:szCs w:val="14"/>
                <w:b w:val="1"/>
                <w:bCs w:val="1"/>
                <w:color w:val="1252DE"/>
              </w:rPr>
              <w:t>September 30, 2026</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3"/>
        </w:trPr>
        <w:tc>
          <w:tcPr>
            <w:tcW w:w="1740" w:type="dxa"/>
            <w:vAlign w:val="bottom"/>
          </w:tcPr>
          <w:p>
            <w:pPr>
              <w:ind w:left="20"/>
              <w:spacing w:after="0"/>
              <w:rPr>
                <w:sz w:val="20"/>
                <w:szCs w:val="20"/>
                <w:color w:val="auto"/>
              </w:rPr>
            </w:pPr>
            <w:r>
              <w:rPr>
                <w:rFonts w:ascii="Arial" w:cs="Arial" w:eastAsia="Arial" w:hAnsi="Arial"/>
                <w:sz w:val="14"/>
                <w:szCs w:val="14"/>
                <w:b w:val="1"/>
                <w:bCs w:val="1"/>
                <w:color w:val="1252DE"/>
              </w:rPr>
              <w:t>State: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California</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17</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88</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1252DE"/>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192</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25</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17</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15</w:t>
            </w: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1252DE"/>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Pr>
          <w:p>
            <w:pPr>
              <w:jc w:val="right"/>
              <w:ind w:right="168"/>
              <w:spacing w:after="0"/>
              <w:rPr>
                <w:sz w:val="20"/>
                <w:szCs w:val="20"/>
                <w:color w:val="auto"/>
              </w:rPr>
            </w:pPr>
            <w:r>
              <w:rPr>
                <w:rFonts w:ascii="Arial" w:cs="Arial" w:eastAsia="Arial" w:hAnsi="Arial"/>
                <w:sz w:val="14"/>
                <w:szCs w:val="14"/>
                <w:b w:val="1"/>
                <w:bCs w:val="1"/>
                <w:color w:val="1252DE"/>
              </w:rPr>
              <w:t>$</w:t>
            </w: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337</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16</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1252DE"/>
                <w:w w:val="96"/>
              </w:rPr>
              <w:t>%</w:t>
            </w: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New York</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30</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174</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44</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19</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32</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299</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14</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Texas</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17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50</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133</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1</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29</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40</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253</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12</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Massachusetts</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124</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47</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6</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177</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8</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Florida</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36</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59</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7</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38</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140</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7</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Pennsylvania</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30</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59</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15</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18</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122</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6</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Illinois</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88</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8</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5</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101</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5</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New Jersey</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55</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10</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65</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3</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Washington</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49</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49</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2</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Ohio</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15</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27</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42</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2</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Other states</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1252DE"/>
              </w:rPr>
              <w:t>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1252DE"/>
              </w:rPr>
              <w:t>79</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1252DE"/>
              </w:rPr>
              <w:t>23</w:t>
            </w:r>
          </w:p>
        </w:tc>
        <w:tc>
          <w:tcPr>
            <w:tcW w:w="3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1252DE"/>
              </w:rPr>
              <w:t>29</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1252DE"/>
              </w:rPr>
              <w:t>3</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1252DE"/>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1252DE"/>
              </w:rPr>
              <w:t>134</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1252DE"/>
              </w:rPr>
              <w:t>7</w:t>
            </w:r>
          </w:p>
        </w:tc>
        <w:tc>
          <w:tcPr>
            <w:tcW w:w="300" w:type="dxa"/>
            <w:vAlign w:val="bottom"/>
          </w:tcPr>
          <w:p>
            <w:pPr>
              <w:spacing w:after="0"/>
              <w:rPr>
                <w:sz w:val="17"/>
                <w:szCs w:val="17"/>
                <w:color w:val="auto"/>
              </w:rPr>
            </w:pPr>
          </w:p>
        </w:tc>
      </w:tr>
      <w:tr>
        <w:trPr>
          <w:trHeight w:val="204"/>
        </w:trPr>
        <w:tc>
          <w:tcPr>
            <w:tcW w:w="17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Foreign</w:t>
            </w:r>
          </w:p>
        </w:tc>
        <w:tc>
          <w:tcPr>
            <w:tcW w:w="10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18</w:t>
            </w:r>
          </w:p>
        </w:tc>
        <w:tc>
          <w:tcPr>
            <w:tcW w:w="160" w:type="dxa"/>
            <w:vAlign w:val="bottom"/>
            <w:tcBorders>
              <w:bottom w:val="single" w:sz="8" w:color="1352DE"/>
            </w:tcBorders>
          </w:tcPr>
          <w:p>
            <w:pPr>
              <w:spacing w:after="0"/>
              <w:rPr>
                <w:sz w:val="17"/>
                <w:szCs w:val="17"/>
                <w:color w:val="auto"/>
              </w:rPr>
            </w:pPr>
          </w:p>
        </w:tc>
        <w:tc>
          <w:tcPr>
            <w:tcW w:w="20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80</w:t>
            </w:r>
          </w:p>
        </w:tc>
        <w:tc>
          <w:tcPr>
            <w:tcW w:w="300" w:type="dxa"/>
            <w:vAlign w:val="bottom"/>
            <w:tcBorders>
              <w:bottom w:val="single" w:sz="8" w:color="1352DE"/>
            </w:tcBorders>
          </w:tcPr>
          <w:p>
            <w:pPr>
              <w:spacing w:after="0"/>
              <w:rPr>
                <w:sz w:val="17"/>
                <w:szCs w:val="17"/>
                <w:color w:val="auto"/>
              </w:rPr>
            </w:pP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152</w:t>
            </w:r>
          </w:p>
        </w:tc>
        <w:tc>
          <w:tcPr>
            <w:tcW w:w="34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40</w:t>
            </w:r>
          </w:p>
        </w:tc>
        <w:tc>
          <w:tcPr>
            <w:tcW w:w="320" w:type="dxa"/>
            <w:vAlign w:val="bottom"/>
            <w:tcBorders>
              <w:bottom w:val="single" w:sz="8" w:color="1352DE"/>
            </w:tcBorders>
          </w:tcPr>
          <w:p>
            <w:pPr>
              <w:spacing w:after="0"/>
              <w:rPr>
                <w:sz w:val="17"/>
                <w:szCs w:val="17"/>
                <w:color w:val="auto"/>
              </w:rPr>
            </w:pPr>
          </w:p>
        </w:tc>
        <w:tc>
          <w:tcPr>
            <w:tcW w:w="8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27</w:t>
            </w:r>
          </w:p>
        </w:tc>
        <w:tc>
          <w:tcPr>
            <w:tcW w:w="340" w:type="dxa"/>
            <w:vAlign w:val="bottom"/>
            <w:tcBorders>
              <w:bottom w:val="single" w:sz="8" w:color="1352DE"/>
            </w:tcBorders>
          </w:tcPr>
          <w:p>
            <w:pPr>
              <w:spacing w:after="0"/>
              <w:rPr>
                <w:sz w:val="17"/>
                <w:szCs w:val="17"/>
                <w:color w:val="auto"/>
              </w:rPr>
            </w:pPr>
          </w:p>
        </w:tc>
        <w:tc>
          <w:tcPr>
            <w:tcW w:w="5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78</w:t>
            </w:r>
          </w:p>
        </w:tc>
        <w:tc>
          <w:tcPr>
            <w:tcW w:w="320" w:type="dxa"/>
            <w:vAlign w:val="bottom"/>
            <w:tcBorders>
              <w:bottom w:val="single" w:sz="8" w:color="1352DE"/>
            </w:tcBorders>
          </w:tcPr>
          <w:p>
            <w:pPr>
              <w:spacing w:after="0"/>
              <w:rPr>
                <w:sz w:val="17"/>
                <w:szCs w:val="17"/>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42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2DE"/>
              </w:rPr>
              <w:t>377</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18</w:t>
            </w:r>
          </w:p>
        </w:tc>
        <w:tc>
          <w:tcPr>
            <w:tcW w:w="300" w:type="dxa"/>
            <w:vAlign w:val="bottom"/>
            <w:tcBorders>
              <w:bottom w:val="single" w:sz="8" w:color="1352DE"/>
            </w:tcBorders>
          </w:tcPr>
          <w:p>
            <w:pPr>
              <w:spacing w:after="0"/>
              <w:rPr>
                <w:sz w:val="17"/>
                <w:szCs w:val="17"/>
                <w:color w:val="auto"/>
              </w:rPr>
            </w:pPr>
          </w:p>
        </w:tc>
      </w:tr>
      <w:tr>
        <w:trPr>
          <w:trHeight w:val="196"/>
        </w:trPr>
        <w:tc>
          <w:tcPr>
            <w:tcW w:w="17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10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124</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200" w:type="dxa"/>
            <w:vAlign w:val="bottom"/>
            <w:tcBorders>
              <w:bottom w:val="single" w:sz="8" w:color="1352DE"/>
            </w:tcBorders>
          </w:tcPr>
          <w:p>
            <w:pPr>
              <w:spacing w:after="0"/>
              <w:rPr>
                <w:sz w:val="17"/>
                <w:szCs w:val="17"/>
                <w:color w:val="auto"/>
              </w:rPr>
            </w:pPr>
          </w:p>
        </w:tc>
        <w:tc>
          <w:tcPr>
            <w:tcW w:w="9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600</w:t>
            </w:r>
          </w:p>
        </w:tc>
        <w:tc>
          <w:tcPr>
            <w:tcW w:w="3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865</w:t>
            </w:r>
          </w:p>
        </w:tc>
        <w:tc>
          <w:tcPr>
            <w:tcW w:w="34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6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287</w:t>
            </w:r>
          </w:p>
        </w:tc>
        <w:tc>
          <w:tcPr>
            <w:tcW w:w="32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8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126</w:t>
            </w:r>
          </w:p>
        </w:tc>
        <w:tc>
          <w:tcPr>
            <w:tcW w:w="34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5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163</w:t>
            </w:r>
          </w:p>
        </w:tc>
        <w:tc>
          <w:tcPr>
            <w:tcW w:w="3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w:t>
            </w: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55</w:t>
            </w:r>
          </w:p>
        </w:tc>
        <w:tc>
          <w:tcPr>
            <w:tcW w:w="42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2DE"/>
              </w:rPr>
              <w:t>$</w:t>
            </w:r>
          </w:p>
        </w:tc>
        <w:tc>
          <w:tcPr>
            <w:tcW w:w="82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2DE"/>
              </w:rPr>
              <w:t>2,096</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100</w:t>
            </w:r>
          </w:p>
        </w:tc>
        <w:tc>
          <w:tcPr>
            <w:tcW w:w="3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w w:val="96"/>
              </w:rPr>
              <w:t>%</w:t>
            </w:r>
          </w:p>
        </w:tc>
      </w:tr>
      <w:tr>
        <w:trPr>
          <w:trHeight w:val="297"/>
        </w:trPr>
        <w:tc>
          <w:tcPr>
            <w:tcW w:w="1740" w:type="dxa"/>
            <w:vAlign w:val="bottom"/>
          </w:tcPr>
          <w:p>
            <w:pPr>
              <w:ind w:left="20"/>
              <w:spacing w:after="0"/>
              <w:rPr>
                <w:sz w:val="20"/>
                <w:szCs w:val="20"/>
                <w:color w:val="auto"/>
              </w:rPr>
            </w:pPr>
            <w:r>
              <w:rPr>
                <w:rFonts w:ascii="Arial" w:cs="Arial" w:eastAsia="Arial" w:hAnsi="Arial"/>
                <w:sz w:val="14"/>
                <w:szCs w:val="14"/>
                <w:color w:val="1252DE"/>
              </w:rPr>
              <w:t>December 31, 2025</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8"/>
        </w:trPr>
        <w:tc>
          <w:tcPr>
            <w:tcW w:w="1740" w:type="dxa"/>
            <w:vAlign w:val="bottom"/>
          </w:tcPr>
          <w:p>
            <w:pPr>
              <w:ind w:left="20"/>
              <w:spacing w:after="0"/>
              <w:rPr>
                <w:sz w:val="20"/>
                <w:szCs w:val="20"/>
                <w:color w:val="auto"/>
              </w:rPr>
            </w:pPr>
            <w:r>
              <w:rPr>
                <w:rFonts w:ascii="Arial" w:cs="Arial" w:eastAsia="Arial" w:hAnsi="Arial"/>
                <w:sz w:val="14"/>
                <w:szCs w:val="14"/>
                <w:b w:val="1"/>
                <w:bCs w:val="1"/>
                <w:color w:val="1252DE"/>
              </w:rPr>
              <w:t>State: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7"/>
        </w:trPr>
        <w:tc>
          <w:tcPr>
            <w:tcW w:w="1740" w:type="dxa"/>
            <w:vAlign w:val="bottom"/>
          </w:tcPr>
          <w:p>
            <w:pPr>
              <w:ind w:left="140"/>
              <w:spacing w:after="0"/>
              <w:rPr>
                <w:sz w:val="20"/>
                <w:szCs w:val="20"/>
                <w:color w:val="auto"/>
              </w:rPr>
            </w:pPr>
            <w:r>
              <w:rPr>
                <w:rFonts w:ascii="Arial" w:cs="Arial" w:eastAsia="Arial" w:hAnsi="Arial"/>
                <w:sz w:val="14"/>
                <w:szCs w:val="14"/>
                <w:color w:val="auto"/>
              </w:rPr>
              <w:t>California</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355</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96"/>
              </w:rPr>
              <w:t>%</w:t>
            </w: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New York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332</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Texas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248</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Massachusetts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230</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Florida</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173</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Pennsylvania</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118</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Illinois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101</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New Jersey</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68</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Washington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49</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Colorado</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43</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7"/>
                <w:szCs w:val="17"/>
                <w:color w:val="auto"/>
              </w:rPr>
            </w:pPr>
          </w:p>
        </w:tc>
      </w:tr>
      <w:tr>
        <w:trPr>
          <w:trHeight w:val="203"/>
        </w:trPr>
        <w:tc>
          <w:tcPr>
            <w:tcW w:w="1740" w:type="dxa"/>
            <w:vAlign w:val="bottom"/>
          </w:tcPr>
          <w:p>
            <w:pPr>
              <w:ind w:left="140"/>
              <w:spacing w:after="0"/>
              <w:rPr>
                <w:sz w:val="20"/>
                <w:szCs w:val="20"/>
                <w:color w:val="auto"/>
              </w:rPr>
            </w:pPr>
            <w:r>
              <w:rPr>
                <w:rFonts w:ascii="Arial" w:cs="Arial" w:eastAsia="Arial" w:hAnsi="Arial"/>
                <w:sz w:val="14"/>
                <w:szCs w:val="14"/>
                <w:color w:val="auto"/>
              </w:rPr>
              <w:t>Other states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3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34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217</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7"/>
                <w:szCs w:val="17"/>
                <w:color w:val="auto"/>
              </w:rPr>
            </w:pPr>
          </w:p>
        </w:tc>
      </w:tr>
      <w:tr>
        <w:trPr>
          <w:trHeight w:val="210"/>
        </w:trPr>
        <w:tc>
          <w:tcPr>
            <w:tcW w:w="17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Foreign</w:t>
            </w:r>
          </w:p>
        </w:tc>
        <w:tc>
          <w:tcPr>
            <w:tcW w:w="10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1352DE"/>
            </w:tcBorders>
          </w:tcPr>
          <w:p>
            <w:pPr>
              <w:spacing w:after="0"/>
              <w:rPr>
                <w:sz w:val="18"/>
                <w:szCs w:val="18"/>
                <w:color w:val="auto"/>
              </w:rPr>
            </w:pPr>
          </w:p>
        </w:tc>
        <w:tc>
          <w:tcPr>
            <w:tcW w:w="200" w:type="dxa"/>
            <w:vAlign w:val="bottom"/>
            <w:tcBorders>
              <w:bottom w:val="single" w:sz="8" w:color="1352DE"/>
            </w:tcBorders>
          </w:tcPr>
          <w:p>
            <w:pPr>
              <w:spacing w:after="0"/>
              <w:rPr>
                <w:sz w:val="18"/>
                <w:szCs w:val="18"/>
                <w:color w:val="auto"/>
              </w:rPr>
            </w:pPr>
          </w:p>
        </w:tc>
        <w:tc>
          <w:tcPr>
            <w:tcW w:w="9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180</w:t>
            </w:r>
          </w:p>
        </w:tc>
        <w:tc>
          <w:tcPr>
            <w:tcW w:w="300" w:type="dxa"/>
            <w:vAlign w:val="bottom"/>
            <w:tcBorders>
              <w:bottom w:val="single" w:sz="8" w:color="1352DE"/>
            </w:tcBorders>
          </w:tcPr>
          <w:p>
            <w:pPr>
              <w:spacing w:after="0"/>
              <w:rPr>
                <w:sz w:val="18"/>
                <w:szCs w:val="18"/>
                <w:color w:val="auto"/>
              </w:rPr>
            </w:pP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196</w:t>
            </w:r>
          </w:p>
        </w:tc>
        <w:tc>
          <w:tcPr>
            <w:tcW w:w="340" w:type="dxa"/>
            <w:vAlign w:val="bottom"/>
            <w:tcBorders>
              <w:bottom w:val="single" w:sz="8" w:color="1352DE"/>
            </w:tcBorders>
          </w:tcPr>
          <w:p>
            <w:pPr>
              <w:spacing w:after="0"/>
              <w:rPr>
                <w:sz w:val="18"/>
                <w:szCs w:val="18"/>
                <w:color w:val="auto"/>
              </w:rPr>
            </w:pPr>
          </w:p>
        </w:tc>
        <w:tc>
          <w:tcPr>
            <w:tcW w:w="6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78</w:t>
            </w:r>
          </w:p>
        </w:tc>
        <w:tc>
          <w:tcPr>
            <w:tcW w:w="320" w:type="dxa"/>
            <w:vAlign w:val="bottom"/>
            <w:tcBorders>
              <w:bottom w:val="single" w:sz="8" w:color="1352DE"/>
            </w:tcBorders>
          </w:tcPr>
          <w:p>
            <w:pPr>
              <w:spacing w:after="0"/>
              <w:rPr>
                <w:sz w:val="18"/>
                <w:szCs w:val="18"/>
                <w:color w:val="auto"/>
              </w:rPr>
            </w:pPr>
          </w:p>
        </w:tc>
        <w:tc>
          <w:tcPr>
            <w:tcW w:w="8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27</w:t>
            </w:r>
          </w:p>
        </w:tc>
        <w:tc>
          <w:tcPr>
            <w:tcW w:w="340" w:type="dxa"/>
            <w:vAlign w:val="bottom"/>
            <w:tcBorders>
              <w:bottom w:val="single" w:sz="8" w:color="1352DE"/>
            </w:tcBorders>
          </w:tcPr>
          <w:p>
            <w:pPr>
              <w:spacing w:after="0"/>
              <w:rPr>
                <w:sz w:val="18"/>
                <w:szCs w:val="18"/>
                <w:color w:val="auto"/>
              </w:rPr>
            </w:pPr>
          </w:p>
        </w:tc>
        <w:tc>
          <w:tcPr>
            <w:tcW w:w="5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80</w:t>
            </w:r>
          </w:p>
        </w:tc>
        <w:tc>
          <w:tcPr>
            <w:tcW w:w="320" w:type="dxa"/>
            <w:vAlign w:val="bottom"/>
            <w:tcBorders>
              <w:bottom w:val="single" w:sz="8" w:color="1352DE"/>
            </w:tcBorders>
          </w:tcPr>
          <w:p>
            <w:pPr>
              <w:spacing w:after="0"/>
              <w:rPr>
                <w:sz w:val="18"/>
                <w:szCs w:val="18"/>
                <w:color w:val="auto"/>
              </w:rPr>
            </w:pP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auto"/>
              </w:rPr>
              <w:t>561</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22</w:t>
            </w:r>
          </w:p>
        </w:tc>
        <w:tc>
          <w:tcPr>
            <w:tcW w:w="300" w:type="dxa"/>
            <w:vAlign w:val="bottom"/>
            <w:tcBorders>
              <w:bottom w:val="single" w:sz="8" w:color="1352DE"/>
            </w:tcBorders>
          </w:tcPr>
          <w:p>
            <w:pPr>
              <w:spacing w:after="0"/>
              <w:rPr>
                <w:sz w:val="18"/>
                <w:szCs w:val="18"/>
                <w:color w:val="auto"/>
              </w:rPr>
            </w:pPr>
          </w:p>
        </w:tc>
      </w:tr>
      <w:tr>
        <w:trPr>
          <w:trHeight w:val="196"/>
        </w:trPr>
        <w:tc>
          <w:tcPr>
            <w:tcW w:w="17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10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145</w:t>
            </w:r>
          </w:p>
        </w:tc>
        <w:tc>
          <w:tcPr>
            <w:tcW w:w="360" w:type="dxa"/>
            <w:vAlign w:val="bottom"/>
            <w:tcBorders>
              <w:bottom w:val="single" w:sz="8" w:color="1352DE"/>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793</w:t>
            </w:r>
          </w:p>
        </w:tc>
        <w:tc>
          <w:tcPr>
            <w:tcW w:w="3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986</w:t>
            </w:r>
          </w:p>
        </w:tc>
        <w:tc>
          <w:tcPr>
            <w:tcW w:w="34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357</w:t>
            </w:r>
          </w:p>
        </w:tc>
        <w:tc>
          <w:tcPr>
            <w:tcW w:w="3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158</w:t>
            </w:r>
          </w:p>
        </w:tc>
        <w:tc>
          <w:tcPr>
            <w:tcW w:w="34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191</w:t>
            </w:r>
          </w:p>
        </w:tc>
        <w:tc>
          <w:tcPr>
            <w:tcW w:w="3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w:t>
            </w:r>
          </w:p>
        </w:tc>
        <w:tc>
          <w:tcPr>
            <w:tcW w:w="42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auto"/>
              </w:rPr>
              <w:t>2,495</w:t>
            </w:r>
          </w:p>
        </w:tc>
        <w:tc>
          <w:tcPr>
            <w:tcW w:w="7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w w:val="96"/>
              </w:rPr>
              <w:t>%</w:t>
            </w:r>
          </w:p>
        </w:tc>
      </w:tr>
    </w:tbl>
    <w:p>
      <w:pPr>
        <w:spacing w:after="0" w:line="144"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Does not reflect allowance for credit losses.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commercial mortgage loans, see Note 6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61</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Investments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Net Realized Gains and Losses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components of Net realized gains (losses):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Borders>
              <w:top w:val="single" w:sz="8" w:color="1352DE"/>
            </w:tcBorders>
          </w:tcPr>
          <w:p>
            <w:pPr>
              <w:ind w:left="20"/>
              <w:spacing w:after="0"/>
              <w:rPr>
                <w:sz w:val="20"/>
                <w:szCs w:val="20"/>
                <w:color w:val="auto"/>
              </w:rPr>
            </w:pPr>
            <w:r>
              <w:rPr>
                <w:rFonts w:ascii="Arial" w:cs="Arial" w:eastAsia="Arial" w:hAnsi="Arial"/>
                <w:sz w:val="14"/>
                <w:szCs w:val="14"/>
                <w:b w:val="1"/>
                <w:bCs w:val="1"/>
                <w:color w:val="1252DE"/>
              </w:rPr>
              <w:t>Three Months Ended September 30,</w:t>
            </w:r>
          </w:p>
        </w:tc>
        <w:tc>
          <w:tcPr>
            <w:tcW w:w="220" w:type="dxa"/>
            <w:vAlign w:val="bottom"/>
            <w:tcBorders>
              <w:top w:val="single" w:sz="8" w:color="1352DE"/>
              <w:bottom w:val="single" w:sz="8" w:color="1352DE"/>
            </w:tcBorders>
          </w:tcPr>
          <w:p>
            <w:pPr>
              <w:spacing w:after="0"/>
              <w:rPr>
                <w:sz w:val="18"/>
                <w:szCs w:val="18"/>
                <w:color w:val="auto"/>
              </w:rPr>
            </w:pPr>
          </w:p>
        </w:tc>
        <w:tc>
          <w:tcPr>
            <w:tcW w:w="700" w:type="dxa"/>
            <w:vAlign w:val="bottom"/>
            <w:tcBorders>
              <w:top w:val="single" w:sz="8" w:color="1352DE"/>
              <w:bottom w:val="single" w:sz="8" w:color="1352DE"/>
            </w:tcBorders>
          </w:tcPr>
          <w:p>
            <w:pPr>
              <w:spacing w:after="0"/>
              <w:rPr>
                <w:sz w:val="18"/>
                <w:szCs w:val="18"/>
                <w:color w:val="auto"/>
              </w:rPr>
            </w:pPr>
          </w:p>
        </w:tc>
        <w:tc>
          <w:tcPr>
            <w:tcW w:w="180" w:type="dxa"/>
            <w:vAlign w:val="bottom"/>
            <w:tcBorders>
              <w:top w:val="single" w:sz="8" w:color="1352DE"/>
              <w:bottom w:val="single" w:sz="8" w:color="1352DE"/>
            </w:tcBorders>
          </w:tcPr>
          <w:p>
            <w:pPr>
              <w:spacing w:after="0"/>
              <w:rPr>
                <w:sz w:val="18"/>
                <w:szCs w:val="18"/>
                <w:color w:val="auto"/>
              </w:rPr>
            </w:pPr>
          </w:p>
        </w:tc>
        <w:tc>
          <w:tcPr>
            <w:tcW w:w="680" w:type="dxa"/>
            <w:vAlign w:val="bottom"/>
            <w:tcBorders>
              <w:top w:val="single" w:sz="8" w:color="1352DE"/>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2026</w:t>
            </w:r>
          </w:p>
        </w:tc>
        <w:tc>
          <w:tcPr>
            <w:tcW w:w="300" w:type="dxa"/>
            <w:vAlign w:val="bottom"/>
            <w:tcBorders>
              <w:top w:val="single" w:sz="8" w:color="1352DE"/>
              <w:bottom w:val="single" w:sz="8" w:color="1352DE"/>
            </w:tcBorders>
          </w:tcPr>
          <w:p>
            <w:pPr>
              <w:spacing w:after="0"/>
              <w:rPr>
                <w:sz w:val="18"/>
                <w:szCs w:val="18"/>
                <w:color w:val="auto"/>
              </w:rPr>
            </w:pPr>
          </w:p>
        </w:tc>
        <w:tc>
          <w:tcPr>
            <w:tcW w:w="500" w:type="dxa"/>
            <w:vAlign w:val="bottom"/>
            <w:tcBorders>
              <w:top w:val="single" w:sz="8" w:color="1352DE"/>
              <w:bottom w:val="single" w:sz="8" w:color="1352DE"/>
            </w:tcBorders>
          </w:tcPr>
          <w:p>
            <w:pPr>
              <w:spacing w:after="0"/>
              <w:rPr>
                <w:sz w:val="18"/>
                <w:szCs w:val="18"/>
                <w:color w:val="auto"/>
              </w:rPr>
            </w:pPr>
          </w:p>
        </w:tc>
        <w:tc>
          <w:tcPr>
            <w:tcW w:w="160" w:type="dxa"/>
            <w:vAlign w:val="bottom"/>
            <w:tcBorders>
              <w:top w:val="single" w:sz="8" w:color="1352DE"/>
            </w:tcBorders>
          </w:tcPr>
          <w:p>
            <w:pPr>
              <w:spacing w:after="0"/>
              <w:rPr>
                <w:sz w:val="18"/>
                <w:szCs w:val="18"/>
                <w:color w:val="auto"/>
              </w:rPr>
            </w:pPr>
          </w:p>
        </w:tc>
        <w:tc>
          <w:tcPr>
            <w:tcW w:w="220" w:type="dxa"/>
            <w:vAlign w:val="bottom"/>
            <w:tcBorders>
              <w:top w:val="single" w:sz="8" w:color="1352DE"/>
              <w:bottom w:val="single" w:sz="8" w:color="1352DE"/>
            </w:tcBorders>
          </w:tcPr>
          <w:p>
            <w:pPr>
              <w:spacing w:after="0"/>
              <w:rPr>
                <w:sz w:val="18"/>
                <w:szCs w:val="18"/>
                <w:color w:val="auto"/>
              </w:rPr>
            </w:pPr>
          </w:p>
        </w:tc>
        <w:tc>
          <w:tcPr>
            <w:tcW w:w="700" w:type="dxa"/>
            <w:vAlign w:val="bottom"/>
            <w:tcBorders>
              <w:top w:val="single" w:sz="8" w:color="1352DE"/>
              <w:bottom w:val="single" w:sz="8" w:color="1352DE"/>
            </w:tcBorders>
          </w:tcPr>
          <w:p>
            <w:pPr>
              <w:spacing w:after="0"/>
              <w:rPr>
                <w:sz w:val="18"/>
                <w:szCs w:val="18"/>
                <w:color w:val="auto"/>
              </w:rPr>
            </w:pPr>
          </w:p>
        </w:tc>
        <w:tc>
          <w:tcPr>
            <w:tcW w:w="180" w:type="dxa"/>
            <w:vAlign w:val="bottom"/>
            <w:tcBorders>
              <w:top w:val="single" w:sz="8" w:color="1352DE"/>
              <w:bottom w:val="single" w:sz="8" w:color="1352DE"/>
            </w:tcBorders>
          </w:tcPr>
          <w:p>
            <w:pPr>
              <w:spacing w:after="0"/>
              <w:rPr>
                <w:sz w:val="18"/>
                <w:szCs w:val="18"/>
                <w:color w:val="auto"/>
              </w:rPr>
            </w:pPr>
          </w:p>
        </w:tc>
        <w:tc>
          <w:tcPr>
            <w:tcW w:w="680" w:type="dxa"/>
            <w:vAlign w:val="bottom"/>
            <w:tcBorders>
              <w:top w:val="single" w:sz="8" w:color="1352DE"/>
              <w:bottom w:val="single" w:sz="8" w:color="1352DE"/>
            </w:tcBorders>
          </w:tcPr>
          <w:p>
            <w:pPr>
              <w:jc w:val="right"/>
              <w:ind w:right="148"/>
              <w:spacing w:after="0"/>
              <w:rPr>
                <w:sz w:val="20"/>
                <w:szCs w:val="20"/>
                <w:color w:val="auto"/>
              </w:rPr>
            </w:pPr>
            <w:r>
              <w:rPr>
                <w:rFonts w:ascii="Arial" w:cs="Arial" w:eastAsia="Arial" w:hAnsi="Arial"/>
                <w:sz w:val="14"/>
                <w:szCs w:val="14"/>
                <w:color w:val="1252DE"/>
              </w:rPr>
              <w:t>2025</w:t>
            </w:r>
          </w:p>
        </w:tc>
        <w:tc>
          <w:tcPr>
            <w:tcW w:w="300" w:type="dxa"/>
            <w:vAlign w:val="bottom"/>
            <w:tcBorders>
              <w:top w:val="single" w:sz="8" w:color="1352DE"/>
              <w:bottom w:val="single" w:sz="8" w:color="1352DE"/>
            </w:tcBorders>
          </w:tcPr>
          <w:p>
            <w:pPr>
              <w:spacing w:after="0"/>
              <w:rPr>
                <w:sz w:val="18"/>
                <w:szCs w:val="18"/>
                <w:color w:val="auto"/>
              </w:rPr>
            </w:pPr>
          </w:p>
        </w:tc>
        <w:tc>
          <w:tcPr>
            <w:tcW w:w="50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1352DE"/>
                <w:w w:val="98"/>
              </w:rPr>
              <w:t>Excluding</w:t>
            </w:r>
          </w:p>
        </w:tc>
        <w:tc>
          <w:tcPr>
            <w:tcW w:w="180" w:type="dxa"/>
            <w:vAlign w:val="bottom"/>
          </w:tcPr>
          <w:p>
            <w:pPr>
              <w:spacing w:after="0"/>
              <w:rPr>
                <w:sz w:val="12"/>
                <w:szCs w:val="12"/>
                <w:color w:val="auto"/>
              </w:rPr>
            </w:pPr>
          </w:p>
        </w:tc>
        <w:tc>
          <w:tcPr>
            <w:tcW w:w="680" w:type="dxa"/>
            <w:vAlign w:val="bottom"/>
          </w:tcPr>
          <w:p>
            <w:pPr>
              <w:jc w:val="right"/>
              <w:ind w:right="8"/>
              <w:spacing w:after="0" w:line="147" w:lineRule="exact"/>
              <w:rPr>
                <w:sz w:val="20"/>
                <w:szCs w:val="20"/>
                <w:color w:val="auto"/>
              </w:rPr>
            </w:pPr>
            <w:r>
              <w:rPr>
                <w:rFonts w:ascii="Arial" w:cs="Arial" w:eastAsia="Arial" w:hAnsi="Arial"/>
                <w:sz w:val="14"/>
                <w:szCs w:val="14"/>
                <w:color w:val="1352DE"/>
              </w:rPr>
              <w:t>Fortitude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1352DE"/>
                <w:w w:val="98"/>
              </w:rPr>
              <w:t>Excluding</w:t>
            </w:r>
          </w:p>
        </w:tc>
        <w:tc>
          <w:tcPr>
            <w:tcW w:w="180" w:type="dxa"/>
            <w:vAlign w:val="bottom"/>
          </w:tcPr>
          <w:p>
            <w:pPr>
              <w:spacing w:after="0"/>
              <w:rPr>
                <w:sz w:val="12"/>
                <w:szCs w:val="12"/>
                <w:color w:val="auto"/>
              </w:rPr>
            </w:pPr>
          </w:p>
        </w:tc>
        <w:tc>
          <w:tcPr>
            <w:tcW w:w="680" w:type="dxa"/>
            <w:vAlign w:val="bottom"/>
          </w:tcPr>
          <w:p>
            <w:pPr>
              <w:jc w:val="right"/>
              <w:ind w:right="8"/>
              <w:spacing w:after="0" w:line="147" w:lineRule="exact"/>
              <w:rPr>
                <w:sz w:val="20"/>
                <w:szCs w:val="20"/>
                <w:color w:val="auto"/>
              </w:rPr>
            </w:pPr>
            <w:r>
              <w:rPr>
                <w:rFonts w:ascii="Arial" w:cs="Arial" w:eastAsia="Arial" w:hAnsi="Arial"/>
                <w:sz w:val="14"/>
                <w:szCs w:val="14"/>
                <w:color w:val="1352DE"/>
              </w:rPr>
              <w:t>Fortitude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Fortitude</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Fortitude</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1352DE"/>
                <w:w w:val="98"/>
              </w:rPr>
              <w:t>Re Funds</w:t>
            </w:r>
          </w:p>
        </w:tc>
        <w:tc>
          <w:tcPr>
            <w:tcW w:w="180" w:type="dxa"/>
            <w:vAlign w:val="bottom"/>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Funds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1352DE"/>
                <w:w w:val="98"/>
              </w:rPr>
              <w:t>Re Funds</w:t>
            </w:r>
          </w:p>
        </w:tc>
        <w:tc>
          <w:tcPr>
            <w:tcW w:w="180" w:type="dxa"/>
            <w:vAlign w:val="bottom"/>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Funds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Withheld</w:t>
            </w:r>
          </w:p>
        </w:tc>
        <w:tc>
          <w:tcPr>
            <w:tcW w:w="180" w:type="dxa"/>
            <w:vAlign w:val="bottom"/>
          </w:tcPr>
          <w:p>
            <w:pPr>
              <w:spacing w:after="0"/>
              <w:rPr>
                <w:sz w:val="12"/>
                <w:szCs w:val="12"/>
                <w:color w:val="auto"/>
              </w:rPr>
            </w:pPr>
          </w:p>
        </w:tc>
        <w:tc>
          <w:tcPr>
            <w:tcW w:w="68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Withheld</w:t>
            </w:r>
          </w:p>
        </w:tc>
        <w:tc>
          <w:tcPr>
            <w:tcW w:w="300" w:type="dxa"/>
            <w:vAlign w:val="bottom"/>
          </w:tcPr>
          <w:p>
            <w:pPr>
              <w:spacing w:after="0"/>
              <w:rPr>
                <w:sz w:val="12"/>
                <w:szCs w:val="1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1352DE"/>
              </w:rPr>
              <w:t>Total</w:t>
            </w:r>
          </w:p>
        </w:tc>
        <w:tc>
          <w:tcPr>
            <w:tcW w:w="220" w:type="dxa"/>
            <w:vAlign w:val="bottom"/>
          </w:tcPr>
          <w:p>
            <w:pPr>
              <w:spacing w:after="0"/>
              <w:rPr>
                <w:sz w:val="12"/>
                <w:szCs w:val="12"/>
                <w:color w:val="auto"/>
              </w:rPr>
            </w:pPr>
          </w:p>
        </w:tc>
        <w:tc>
          <w:tcPr>
            <w:tcW w:w="70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Withheld</w:t>
            </w:r>
          </w:p>
        </w:tc>
        <w:tc>
          <w:tcPr>
            <w:tcW w:w="180" w:type="dxa"/>
            <w:vAlign w:val="bottom"/>
          </w:tcPr>
          <w:p>
            <w:pPr>
              <w:spacing w:after="0"/>
              <w:rPr>
                <w:sz w:val="12"/>
                <w:szCs w:val="12"/>
                <w:color w:val="auto"/>
              </w:rPr>
            </w:pPr>
          </w:p>
        </w:tc>
        <w:tc>
          <w:tcPr>
            <w:tcW w:w="68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Withheld</w:t>
            </w:r>
          </w:p>
        </w:tc>
        <w:tc>
          <w:tcPr>
            <w:tcW w:w="3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1352DE"/>
              </w:rPr>
              <w:t>Total</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300" w:type="dxa"/>
            <w:vAlign w:val="bottom"/>
            <w:tcBorders>
              <w:bottom w:val="single" w:sz="8" w:color="1352DE"/>
            </w:tcBorders>
          </w:tcPr>
          <w:p>
            <w:pPr>
              <w:spacing w:after="0"/>
              <w:rPr>
                <w:sz w:val="16"/>
                <w:szCs w:val="16"/>
                <w:color w:val="auto"/>
              </w:rPr>
            </w:pPr>
          </w:p>
        </w:tc>
        <w:tc>
          <w:tcPr>
            <w:tcW w:w="660" w:type="dxa"/>
            <w:vAlign w:val="bottom"/>
            <w:tcBorders>
              <w:bottom w:val="single" w:sz="8" w:color="1352DE"/>
            </w:tcBorders>
            <w:gridSpan w:val="2"/>
            <w:vMerge w:val="continue"/>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30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0"/>
              <w:spacing w:after="0"/>
              <w:rPr>
                <w:sz w:val="20"/>
                <w:szCs w:val="20"/>
                <w:color w:val="auto"/>
              </w:rPr>
            </w:pPr>
            <w:r>
              <w:rPr>
                <w:rFonts w:ascii="Arial" w:cs="Arial" w:eastAsia="Arial" w:hAnsi="Arial"/>
                <w:sz w:val="14"/>
                <w:szCs w:val="14"/>
                <w:color w:val="auto"/>
              </w:rPr>
              <w:t>Sales and impairments of fixed maturity securities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(202)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(29)</w:t>
            </w: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1252DE"/>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(231)</w:t>
            </w: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Change in allowance for credit losses on fixed maturity securities</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11</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Change in allowance for credit losses on loans</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(10)</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4"/>
                <w:szCs w:val="14"/>
                <w:color w:val="auto"/>
              </w:rPr>
              <w:t>Foreign exchange transactions</w:t>
            </w: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(12)</w:t>
            </w:r>
          </w:p>
        </w:tc>
        <w:tc>
          <w:tcPr>
            <w:tcW w:w="1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Derivatives and hedge accounting</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22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1</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Sales of alternative investments</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(11)</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35</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35</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(262)</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8"/>
        </w:trPr>
        <w:tc>
          <w:tcPr>
            <w:tcW w:w="5900" w:type="dxa"/>
            <w:vAlign w:val="bottom"/>
          </w:tcPr>
          <w:p>
            <w:pPr>
              <w:ind w:left="20"/>
              <w:spacing w:after="0"/>
              <w:rPr>
                <w:sz w:val="20"/>
                <w:szCs w:val="20"/>
                <w:color w:val="auto"/>
              </w:rPr>
            </w:pPr>
            <w:r>
              <w:rPr>
                <w:rFonts w:ascii="Arial" w:cs="Arial" w:eastAsia="Arial" w:hAnsi="Arial"/>
                <w:sz w:val="14"/>
                <w:szCs w:val="14"/>
                <w:b w:val="1"/>
                <w:bCs w:val="1"/>
                <w:color w:val="1252DE"/>
              </w:rPr>
              <w:t>Net realized losses – excluding Fortitude Re funds withheld embedded derivative</w:t>
            </w: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(167)</w:t>
            </w: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(28)</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(431)</w:t>
            </w: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Net realized gains (losses) on Fortitude Re funds withheld embedded derivative</w:t>
            </w: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85</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85</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(54)</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4"/>
        </w:trPr>
        <w:tc>
          <w:tcPr>
            <w:tcW w:w="5900" w:type="dxa"/>
            <w:vAlign w:val="bottom"/>
            <w:tcBorders>
              <w:bottom w:val="single" w:sz="8" w:color="3051F2"/>
            </w:tcBorders>
          </w:tcPr>
          <w:p>
            <w:pPr>
              <w:ind w:left="20"/>
              <w:spacing w:after="0"/>
              <w:rPr>
                <w:sz w:val="20"/>
                <w:szCs w:val="20"/>
                <w:color w:val="auto"/>
              </w:rPr>
            </w:pPr>
            <w:r>
              <w:rPr>
                <w:rFonts w:ascii="Arial" w:cs="Arial" w:eastAsia="Arial" w:hAnsi="Arial"/>
                <w:sz w:val="14"/>
                <w:szCs w:val="14"/>
                <w:b w:val="1"/>
                <w:bCs w:val="1"/>
                <w:color w:val="1252DE"/>
              </w:rPr>
              <w:t>Net realized gains (losses)</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b w:val="1"/>
                <w:bCs w:val="1"/>
                <w:color w:val="1252DE"/>
              </w:rPr>
              <w:t>(167)</w:t>
            </w: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w:t>
            </w:r>
          </w:p>
        </w:tc>
        <w:tc>
          <w:tcPr>
            <w:tcW w:w="680" w:type="dxa"/>
            <w:vAlign w:val="bottom"/>
            <w:tcBorders>
              <w:bottom w:val="single" w:sz="8" w:color="3051F2"/>
            </w:tcBorders>
          </w:tcPr>
          <w:p>
            <w:pPr>
              <w:jc w:val="right"/>
              <w:ind w:right="48"/>
              <w:spacing w:after="0"/>
              <w:rPr>
                <w:sz w:val="20"/>
                <w:szCs w:val="20"/>
                <w:color w:val="auto"/>
              </w:rPr>
            </w:pPr>
            <w:r>
              <w:rPr>
                <w:rFonts w:ascii="Arial" w:cs="Arial" w:eastAsia="Arial" w:hAnsi="Arial"/>
                <w:sz w:val="14"/>
                <w:szCs w:val="14"/>
                <w:b w:val="1"/>
                <w:bCs w:val="1"/>
                <w:color w:val="1252DE"/>
              </w:rPr>
              <w:t>57</w:t>
            </w:r>
          </w:p>
        </w:tc>
        <w:tc>
          <w:tcPr>
            <w:tcW w:w="300" w:type="dxa"/>
            <w:vAlign w:val="bottom"/>
            <w:tcBorders>
              <w:bottom w:val="single" w:sz="8" w:color="3051F2"/>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500" w:type="dxa"/>
            <w:vAlign w:val="bottom"/>
            <w:tcBorders>
              <w:bottom w:val="single" w:sz="8" w:color="3051F2"/>
            </w:tcBorders>
          </w:tcPr>
          <w:p>
            <w:pPr>
              <w:jc w:val="right"/>
              <w:spacing w:after="0"/>
              <w:rPr>
                <w:sz w:val="20"/>
                <w:szCs w:val="20"/>
                <w:color w:val="auto"/>
              </w:rPr>
            </w:pPr>
            <w:r>
              <w:rPr>
                <w:rFonts w:ascii="Arial" w:cs="Arial" w:eastAsia="Arial" w:hAnsi="Arial"/>
                <w:sz w:val="14"/>
                <w:szCs w:val="14"/>
                <w:b w:val="1"/>
                <w:bCs w:val="1"/>
                <w:color w:val="1252DE"/>
              </w:rPr>
              <w:t>(110)</w:t>
            </w:r>
          </w:p>
        </w:tc>
        <w:tc>
          <w:tcPr>
            <w:tcW w:w="160" w:type="dxa"/>
            <w:vAlign w:val="bottom"/>
            <w:tcBorders>
              <w:bottom w:val="single" w:sz="8" w:color="3051F2"/>
            </w:tcBorders>
          </w:tcPr>
          <w:p>
            <w:pPr>
              <w:spacing w:after="0"/>
              <w:rPr>
                <w:sz w:val="17"/>
                <w:szCs w:val="17"/>
                <w:color w:val="auto"/>
              </w:rPr>
            </w:pP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(431)</w:t>
            </w: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3051F2"/>
            </w:tcBorders>
          </w:tcPr>
          <w:p>
            <w:pPr>
              <w:jc w:val="right"/>
              <w:ind w:right="8"/>
              <w:spacing w:after="0"/>
              <w:rPr>
                <w:sz w:val="20"/>
                <w:szCs w:val="20"/>
                <w:color w:val="auto"/>
              </w:rPr>
            </w:pPr>
            <w:r>
              <w:rPr>
                <w:rFonts w:ascii="Arial" w:cs="Arial" w:eastAsia="Arial" w:hAnsi="Arial"/>
                <w:sz w:val="14"/>
                <w:szCs w:val="14"/>
                <w:color w:val="auto"/>
              </w:rPr>
              <w:t>(59)</w:t>
            </w:r>
          </w:p>
        </w:tc>
        <w:tc>
          <w:tcPr>
            <w:tcW w:w="300" w:type="dxa"/>
            <w:vAlign w:val="bottom"/>
            <w:tcBorders>
              <w:bottom w:val="single" w:sz="8" w:color="3051F2"/>
            </w:tcBorders>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3051F2"/>
            </w:tcBorders>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21"/>
        </w:trPr>
        <w:tc>
          <w:tcPr>
            <w:tcW w:w="590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700" w:type="dxa"/>
            <w:vAlign w:val="bottom"/>
            <w:tcBorders>
              <w:bottom w:val="single" w:sz="8" w:color="1352DE"/>
            </w:tcBorders>
          </w:tcPr>
          <w:p>
            <w:pPr>
              <w:spacing w:after="0"/>
              <w:rPr>
                <w:sz w:val="10"/>
                <w:szCs w:val="10"/>
                <w:color w:val="auto"/>
              </w:rPr>
            </w:pPr>
          </w:p>
        </w:tc>
        <w:tc>
          <w:tcPr>
            <w:tcW w:w="180" w:type="dxa"/>
            <w:vAlign w:val="bottom"/>
            <w:tcBorders>
              <w:bottom w:val="single" w:sz="8" w:color="1352DE"/>
            </w:tcBorders>
          </w:tcPr>
          <w:p>
            <w:pPr>
              <w:spacing w:after="0"/>
              <w:rPr>
                <w:sz w:val="10"/>
                <w:szCs w:val="10"/>
                <w:color w:val="auto"/>
              </w:rPr>
            </w:pPr>
          </w:p>
        </w:tc>
        <w:tc>
          <w:tcPr>
            <w:tcW w:w="680" w:type="dxa"/>
            <w:vAlign w:val="bottom"/>
            <w:tcBorders>
              <w:bottom w:val="single" w:sz="8" w:color="1352DE"/>
            </w:tcBorders>
          </w:tcPr>
          <w:p>
            <w:pPr>
              <w:spacing w:after="0"/>
              <w:rPr>
                <w:sz w:val="10"/>
                <w:szCs w:val="10"/>
                <w:color w:val="auto"/>
              </w:rPr>
            </w:pPr>
          </w:p>
        </w:tc>
        <w:tc>
          <w:tcPr>
            <w:tcW w:w="300" w:type="dxa"/>
            <w:vAlign w:val="bottom"/>
            <w:tcBorders>
              <w:bottom w:val="single" w:sz="8" w:color="1352DE"/>
            </w:tcBorders>
          </w:tcPr>
          <w:p>
            <w:pPr>
              <w:spacing w:after="0"/>
              <w:rPr>
                <w:sz w:val="10"/>
                <w:szCs w:val="10"/>
                <w:color w:val="auto"/>
              </w:rPr>
            </w:pPr>
          </w:p>
        </w:tc>
        <w:tc>
          <w:tcPr>
            <w:tcW w:w="500" w:type="dxa"/>
            <w:vAlign w:val="bottom"/>
            <w:tcBorders>
              <w:bottom w:val="single" w:sz="8" w:color="1352DE"/>
            </w:tcBorders>
          </w:tcPr>
          <w:p>
            <w:pPr>
              <w:spacing w:after="0"/>
              <w:rPr>
                <w:sz w:val="10"/>
                <w:szCs w:val="10"/>
                <w:color w:val="auto"/>
              </w:rPr>
            </w:pPr>
          </w:p>
        </w:tc>
        <w:tc>
          <w:tcPr>
            <w:tcW w:w="160" w:type="dxa"/>
            <w:vAlign w:val="bottom"/>
            <w:tcBorders>
              <w:bottom w:val="single" w:sz="8" w:color="1352DE"/>
            </w:tcBorders>
          </w:tcPr>
          <w:p>
            <w:pPr>
              <w:spacing w:after="0"/>
              <w:rPr>
                <w:sz w:val="10"/>
                <w:szCs w:val="10"/>
                <w:color w:val="auto"/>
              </w:rPr>
            </w:pPr>
          </w:p>
        </w:tc>
        <w:tc>
          <w:tcPr>
            <w:tcW w:w="220" w:type="dxa"/>
            <w:vAlign w:val="bottom"/>
            <w:tcBorders>
              <w:bottom w:val="single" w:sz="8" w:color="1352DE"/>
            </w:tcBorders>
          </w:tcPr>
          <w:p>
            <w:pPr>
              <w:spacing w:after="0"/>
              <w:rPr>
                <w:sz w:val="10"/>
                <w:szCs w:val="10"/>
                <w:color w:val="auto"/>
              </w:rPr>
            </w:pPr>
          </w:p>
        </w:tc>
        <w:tc>
          <w:tcPr>
            <w:tcW w:w="700" w:type="dxa"/>
            <w:vAlign w:val="bottom"/>
            <w:tcBorders>
              <w:bottom w:val="single" w:sz="8" w:color="1352DE"/>
            </w:tcBorders>
          </w:tcPr>
          <w:p>
            <w:pPr>
              <w:spacing w:after="0"/>
              <w:rPr>
                <w:sz w:val="10"/>
                <w:szCs w:val="10"/>
                <w:color w:val="auto"/>
              </w:rPr>
            </w:pPr>
          </w:p>
        </w:tc>
        <w:tc>
          <w:tcPr>
            <w:tcW w:w="180" w:type="dxa"/>
            <w:vAlign w:val="bottom"/>
            <w:tcBorders>
              <w:bottom w:val="single" w:sz="8" w:color="1352DE"/>
            </w:tcBorders>
          </w:tcPr>
          <w:p>
            <w:pPr>
              <w:spacing w:after="0"/>
              <w:rPr>
                <w:sz w:val="10"/>
                <w:szCs w:val="10"/>
                <w:color w:val="auto"/>
              </w:rPr>
            </w:pPr>
          </w:p>
        </w:tc>
        <w:tc>
          <w:tcPr>
            <w:tcW w:w="680" w:type="dxa"/>
            <w:vAlign w:val="bottom"/>
            <w:tcBorders>
              <w:bottom w:val="single" w:sz="8" w:color="1352DE"/>
            </w:tcBorders>
          </w:tcPr>
          <w:p>
            <w:pPr>
              <w:spacing w:after="0"/>
              <w:rPr>
                <w:sz w:val="10"/>
                <w:szCs w:val="10"/>
                <w:color w:val="auto"/>
              </w:rPr>
            </w:pPr>
          </w:p>
        </w:tc>
        <w:tc>
          <w:tcPr>
            <w:tcW w:w="300" w:type="dxa"/>
            <w:vAlign w:val="bottom"/>
            <w:tcBorders>
              <w:bottom w:val="single" w:sz="8" w:color="1352DE"/>
            </w:tcBorders>
          </w:tcPr>
          <w:p>
            <w:pPr>
              <w:spacing w:after="0"/>
              <w:rPr>
                <w:sz w:val="10"/>
                <w:szCs w:val="10"/>
                <w:color w:val="auto"/>
              </w:rPr>
            </w:pPr>
          </w:p>
        </w:tc>
        <w:tc>
          <w:tcPr>
            <w:tcW w:w="500" w:type="dxa"/>
            <w:vAlign w:val="bottom"/>
            <w:tcBorders>
              <w:bottom w:val="single" w:sz="8" w:color="1352DE"/>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900" w:type="dxa"/>
            <w:vAlign w:val="bottom"/>
          </w:tcPr>
          <w:p>
            <w:pPr>
              <w:ind w:left="20"/>
              <w:spacing w:after="0"/>
              <w:rPr>
                <w:sz w:val="20"/>
                <w:szCs w:val="20"/>
                <w:color w:val="auto"/>
              </w:rPr>
            </w:pPr>
            <w:r>
              <w:rPr>
                <w:rFonts w:ascii="Arial" w:cs="Arial" w:eastAsia="Arial" w:hAnsi="Arial"/>
                <w:sz w:val="14"/>
                <w:szCs w:val="14"/>
                <w:b w:val="1"/>
                <w:bCs w:val="1"/>
                <w:color w:val="1252DE"/>
              </w:rPr>
              <w:t>Nine Months Ended September 30,</w:t>
            </w: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b w:val="1"/>
                <w:bCs w:val="1"/>
                <w:color w:val="1252DE"/>
              </w:rPr>
              <w:t>2026</w:t>
            </w:r>
          </w:p>
        </w:tc>
        <w:tc>
          <w:tcPr>
            <w:tcW w:w="30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248"/>
              <w:spacing w:after="0"/>
              <w:rPr>
                <w:sz w:val="20"/>
                <w:szCs w:val="20"/>
                <w:color w:val="auto"/>
              </w:rPr>
            </w:pPr>
            <w:r>
              <w:rPr>
                <w:rFonts w:ascii="Arial" w:cs="Arial" w:eastAsia="Arial" w:hAnsi="Arial"/>
                <w:sz w:val="14"/>
                <w:szCs w:val="14"/>
                <w:color w:val="1252DE"/>
              </w:rPr>
              <w:t>2025</w:t>
            </w:r>
          </w:p>
        </w:tc>
        <w:tc>
          <w:tcPr>
            <w:tcW w:w="30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1352DE"/>
                <w:w w:val="98"/>
              </w:rPr>
              <w:t>Excluding</w:t>
            </w:r>
          </w:p>
        </w:tc>
        <w:tc>
          <w:tcPr>
            <w:tcW w:w="180" w:type="dxa"/>
            <w:vAlign w:val="bottom"/>
          </w:tcPr>
          <w:p>
            <w:pPr>
              <w:spacing w:after="0"/>
              <w:rPr>
                <w:sz w:val="12"/>
                <w:szCs w:val="12"/>
                <w:color w:val="auto"/>
              </w:rPr>
            </w:pPr>
          </w:p>
        </w:tc>
        <w:tc>
          <w:tcPr>
            <w:tcW w:w="680" w:type="dxa"/>
            <w:vAlign w:val="bottom"/>
          </w:tcPr>
          <w:p>
            <w:pPr>
              <w:jc w:val="right"/>
              <w:ind w:right="8"/>
              <w:spacing w:after="0" w:line="147" w:lineRule="exact"/>
              <w:rPr>
                <w:sz w:val="20"/>
                <w:szCs w:val="20"/>
                <w:color w:val="auto"/>
              </w:rPr>
            </w:pPr>
            <w:r>
              <w:rPr>
                <w:rFonts w:ascii="Arial" w:cs="Arial" w:eastAsia="Arial" w:hAnsi="Arial"/>
                <w:sz w:val="14"/>
                <w:szCs w:val="14"/>
                <w:color w:val="1352DE"/>
              </w:rPr>
              <w:t>Fortitude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1352DE"/>
                <w:w w:val="98"/>
              </w:rPr>
              <w:t>Excluding</w:t>
            </w:r>
          </w:p>
        </w:tc>
        <w:tc>
          <w:tcPr>
            <w:tcW w:w="180" w:type="dxa"/>
            <w:vAlign w:val="bottom"/>
          </w:tcPr>
          <w:p>
            <w:pPr>
              <w:spacing w:after="0"/>
              <w:rPr>
                <w:sz w:val="12"/>
                <w:szCs w:val="12"/>
                <w:color w:val="auto"/>
              </w:rPr>
            </w:pPr>
          </w:p>
        </w:tc>
        <w:tc>
          <w:tcPr>
            <w:tcW w:w="680" w:type="dxa"/>
            <w:vAlign w:val="bottom"/>
          </w:tcPr>
          <w:p>
            <w:pPr>
              <w:jc w:val="right"/>
              <w:ind w:right="8"/>
              <w:spacing w:after="0" w:line="147" w:lineRule="exact"/>
              <w:rPr>
                <w:sz w:val="20"/>
                <w:szCs w:val="20"/>
                <w:color w:val="auto"/>
              </w:rPr>
            </w:pPr>
            <w:r>
              <w:rPr>
                <w:rFonts w:ascii="Arial" w:cs="Arial" w:eastAsia="Arial" w:hAnsi="Arial"/>
                <w:sz w:val="14"/>
                <w:szCs w:val="14"/>
                <w:color w:val="1352DE"/>
              </w:rPr>
              <w:t>Fortitude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Fortitude</w:t>
            </w:r>
          </w:p>
        </w:tc>
        <w:tc>
          <w:tcPr>
            <w:tcW w:w="180" w:type="dxa"/>
            <w:vAlign w:val="bottom"/>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Fortitude</w:t>
            </w:r>
          </w:p>
        </w:tc>
        <w:tc>
          <w:tcPr>
            <w:tcW w:w="180" w:type="dxa"/>
            <w:vAlign w:val="bottom"/>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1352DE"/>
              </w:rPr>
              <w:t>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39" w:lineRule="exact"/>
              <w:rPr>
                <w:sz w:val="20"/>
                <w:szCs w:val="20"/>
                <w:color w:val="auto"/>
              </w:rPr>
            </w:pPr>
            <w:r>
              <w:rPr>
                <w:rFonts w:ascii="Arial" w:cs="Arial" w:eastAsia="Arial" w:hAnsi="Arial"/>
                <w:sz w:val="14"/>
                <w:szCs w:val="14"/>
                <w:color w:val="1352DE"/>
                <w:w w:val="98"/>
              </w:rPr>
              <w:t>Re Funds</w:t>
            </w:r>
          </w:p>
        </w:tc>
        <w:tc>
          <w:tcPr>
            <w:tcW w:w="180" w:type="dxa"/>
            <w:vAlign w:val="bottom"/>
          </w:tcPr>
          <w:p>
            <w:pPr>
              <w:spacing w:after="0"/>
              <w:rPr>
                <w:sz w:val="12"/>
                <w:szCs w:val="12"/>
                <w:color w:val="auto"/>
              </w:rPr>
            </w:pPr>
          </w:p>
        </w:tc>
        <w:tc>
          <w:tcPr>
            <w:tcW w:w="68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Funds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
              <w:spacing w:after="0" w:line="139" w:lineRule="exact"/>
              <w:rPr>
                <w:sz w:val="20"/>
                <w:szCs w:val="20"/>
                <w:color w:val="auto"/>
              </w:rPr>
            </w:pPr>
            <w:r>
              <w:rPr>
                <w:rFonts w:ascii="Arial" w:cs="Arial" w:eastAsia="Arial" w:hAnsi="Arial"/>
                <w:sz w:val="14"/>
                <w:szCs w:val="14"/>
                <w:color w:val="1352DE"/>
                <w:w w:val="98"/>
              </w:rPr>
              <w:t>Re Funds</w:t>
            </w:r>
          </w:p>
        </w:tc>
        <w:tc>
          <w:tcPr>
            <w:tcW w:w="180" w:type="dxa"/>
            <w:vAlign w:val="bottom"/>
          </w:tcPr>
          <w:p>
            <w:pPr>
              <w:spacing w:after="0"/>
              <w:rPr>
                <w:sz w:val="12"/>
                <w:szCs w:val="12"/>
                <w:color w:val="auto"/>
              </w:rPr>
            </w:pPr>
          </w:p>
        </w:tc>
        <w:tc>
          <w:tcPr>
            <w:tcW w:w="680" w:type="dxa"/>
            <w:vAlign w:val="bottom"/>
          </w:tcPr>
          <w:p>
            <w:pPr>
              <w:jc w:val="right"/>
              <w:ind w:right="8"/>
              <w:spacing w:after="0" w:line="139" w:lineRule="exact"/>
              <w:rPr>
                <w:sz w:val="20"/>
                <w:szCs w:val="20"/>
                <w:color w:val="auto"/>
              </w:rPr>
            </w:pPr>
            <w:r>
              <w:rPr>
                <w:rFonts w:ascii="Arial" w:cs="Arial" w:eastAsia="Arial" w:hAnsi="Arial"/>
                <w:sz w:val="14"/>
                <w:szCs w:val="14"/>
                <w:color w:val="1352DE"/>
              </w:rPr>
              <w:t>Funds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vMerge w:val="restart"/>
          </w:tcPr>
          <w:p>
            <w:pPr>
              <w:ind w:left="20"/>
              <w:spacing w:after="0"/>
              <w:rPr>
                <w:sz w:val="20"/>
                <w:szCs w:val="20"/>
                <w:color w:val="auto"/>
              </w:rPr>
            </w:pPr>
            <w:r>
              <w:rPr>
                <w:rFonts w:ascii="Arial" w:cs="Arial" w:eastAsia="Arial" w:hAnsi="Arial"/>
                <w:sz w:val="13"/>
                <w:szCs w:val="13"/>
                <w:i w:val="1"/>
                <w:iCs w:val="1"/>
                <w:color w:val="1252DE"/>
              </w:rPr>
              <w:t>(in millions)</w:t>
            </w: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Withheld</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Withheld</w:t>
            </w:r>
          </w:p>
        </w:tc>
        <w:tc>
          <w:tcPr>
            <w:tcW w:w="300" w:type="dxa"/>
            <w:vAlign w:val="bottom"/>
          </w:tcPr>
          <w:p>
            <w:pPr>
              <w:spacing w:after="0"/>
              <w:rPr>
                <w:sz w:val="12"/>
                <w:szCs w:val="1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1352DE"/>
              </w:rPr>
              <w:t>Total</w:t>
            </w: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Withheld</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1352DE"/>
              </w:rPr>
              <w:t>Withheld</w:t>
            </w:r>
          </w:p>
        </w:tc>
        <w:tc>
          <w:tcPr>
            <w:tcW w:w="3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1352DE"/>
              </w:rPr>
              <w:t>Total</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1352DE"/>
            </w:tcBorders>
            <w:vMerge w:val="continue"/>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300" w:type="dxa"/>
            <w:vAlign w:val="bottom"/>
            <w:tcBorders>
              <w:bottom w:val="single" w:sz="8" w:color="1352DE"/>
            </w:tcBorders>
          </w:tcPr>
          <w:p>
            <w:pPr>
              <w:spacing w:after="0"/>
              <w:rPr>
                <w:sz w:val="16"/>
                <w:szCs w:val="16"/>
                <w:color w:val="auto"/>
              </w:rPr>
            </w:pPr>
          </w:p>
        </w:tc>
        <w:tc>
          <w:tcPr>
            <w:tcW w:w="660" w:type="dxa"/>
            <w:vAlign w:val="bottom"/>
            <w:tcBorders>
              <w:bottom w:val="single" w:sz="8" w:color="1352DE"/>
            </w:tcBorders>
            <w:gridSpan w:val="2"/>
            <w:vMerge w:val="continue"/>
          </w:tcPr>
          <w:p>
            <w:pPr>
              <w:spacing w:after="0"/>
              <w:rPr>
                <w:sz w:val="16"/>
                <w:szCs w:val="16"/>
                <w:color w:val="auto"/>
              </w:rPr>
            </w:pPr>
          </w:p>
        </w:tc>
        <w:tc>
          <w:tcPr>
            <w:tcW w:w="220" w:type="dxa"/>
            <w:vAlign w:val="bottom"/>
            <w:tcBorders>
              <w:bottom w:val="single" w:sz="8" w:color="1352DE"/>
            </w:tcBorders>
          </w:tcPr>
          <w:p>
            <w:pPr>
              <w:spacing w:after="0"/>
              <w:rPr>
                <w:sz w:val="16"/>
                <w:szCs w:val="16"/>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180" w:type="dxa"/>
            <w:vAlign w:val="bottom"/>
            <w:tcBorders>
              <w:bottom w:val="single" w:sz="8" w:color="1352DE"/>
            </w:tcBorders>
          </w:tcPr>
          <w:p>
            <w:pPr>
              <w:spacing w:after="0"/>
              <w:rPr>
                <w:sz w:val="16"/>
                <w:szCs w:val="16"/>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352DE"/>
              </w:rPr>
              <w:t>Assets</w:t>
            </w:r>
          </w:p>
        </w:tc>
        <w:tc>
          <w:tcPr>
            <w:tcW w:w="30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0"/>
              <w:spacing w:after="0"/>
              <w:rPr>
                <w:sz w:val="20"/>
                <w:szCs w:val="20"/>
                <w:color w:val="auto"/>
              </w:rPr>
            </w:pPr>
            <w:r>
              <w:rPr>
                <w:rFonts w:ascii="Arial" w:cs="Arial" w:eastAsia="Arial" w:hAnsi="Arial"/>
                <w:sz w:val="14"/>
                <w:szCs w:val="14"/>
                <w:color w:val="auto"/>
              </w:rPr>
              <w:t>Sales and impairments of fixed maturity securities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(376)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1252DE"/>
              </w:rPr>
              <w: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(48)</w:t>
            </w: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1252DE"/>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(424)</w:t>
            </w: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(453)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4"/>
                <w:szCs w:val="14"/>
                <w:color w:val="auto"/>
              </w:rPr>
              <w:t>Change in allowance for credit losses on fixed maturity securities</w:t>
            </w:r>
          </w:p>
        </w:tc>
        <w:tc>
          <w:tcPr>
            <w:tcW w:w="2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12</w:t>
            </w:r>
          </w:p>
        </w:tc>
        <w:tc>
          <w:tcPr>
            <w:tcW w:w="1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Change in allowance for credit losses on loans</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22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1</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Foreign exchange transactions</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(39)</w:t>
            </w: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(2)</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(41)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Derivatives and hedge accounting</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1252DE"/>
              </w:rPr>
              <w:t>4</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3</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Arial" w:cs="Arial" w:eastAsia="Arial" w:hAnsi="Arial"/>
                <w:sz w:val="14"/>
                <w:szCs w:val="14"/>
                <w:color w:val="auto"/>
              </w:rPr>
              <w:t>Sales of alternative investments</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(27)</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(27)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(103)</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(105)</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(270)</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9"/>
        </w:trPr>
        <w:tc>
          <w:tcPr>
            <w:tcW w:w="5900" w:type="dxa"/>
            <w:vAlign w:val="bottom"/>
          </w:tcPr>
          <w:p>
            <w:pPr>
              <w:ind w:left="40"/>
              <w:spacing w:after="0"/>
              <w:rPr>
                <w:sz w:val="20"/>
                <w:szCs w:val="20"/>
                <w:color w:val="auto"/>
              </w:rPr>
            </w:pPr>
            <w:r>
              <w:rPr>
                <w:rFonts w:ascii="Arial" w:cs="Arial" w:eastAsia="Arial" w:hAnsi="Arial"/>
                <w:sz w:val="14"/>
                <w:szCs w:val="14"/>
                <w:b w:val="1"/>
                <w:bCs w:val="1"/>
                <w:color w:val="1252DE"/>
              </w:rPr>
              <w:t>Net realized losses – excluding Fortitude Re funds withheld embedded derivative</w:t>
            </w: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252DE"/>
              </w:rPr>
              <w:t>(507)</w:t>
            </w: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252DE"/>
              </w:rPr>
              <w:t>(47)</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1252DE"/>
              </w:rPr>
              <w:t>(554)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4"/>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Net realized gains (losses) on Fortitude Re funds withheld embedded derivative</w:t>
            </w: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44</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44</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spacing w:after="0"/>
              <w:rPr>
                <w:sz w:val="17"/>
                <w:szCs w:val="17"/>
                <w:color w:val="auto"/>
              </w:rPr>
            </w:pPr>
          </w:p>
        </w:tc>
        <w:tc>
          <w:tcPr>
            <w:tcW w:w="7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spacing w:after="0"/>
              <w:rPr>
                <w:sz w:val="17"/>
                <w:szCs w:val="17"/>
                <w:color w:val="auto"/>
              </w:rPr>
            </w:pP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(109)</w:t>
            </w:r>
          </w:p>
        </w:tc>
        <w:tc>
          <w:tcPr>
            <w:tcW w:w="30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6"/>
        </w:trPr>
        <w:tc>
          <w:tcPr>
            <w:tcW w:w="59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Net realized losses</w:t>
            </w: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(507)</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w:t>
            </w: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(3)</w:t>
            </w:r>
          </w:p>
        </w:tc>
        <w:tc>
          <w:tcPr>
            <w:tcW w:w="30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b w:val="1"/>
                <w:bCs w:val="1"/>
                <w:color w:val="1252DE"/>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(510)</w:t>
            </w:r>
          </w:p>
        </w:tc>
        <w:tc>
          <w:tcPr>
            <w:tcW w:w="160" w:type="dxa"/>
            <w:vAlign w:val="bottom"/>
            <w:tcBorders>
              <w:bottom w:val="single" w:sz="8" w:color="1352DE"/>
            </w:tcBorders>
          </w:tcPr>
          <w:p>
            <w:pPr>
              <w:spacing w:after="0"/>
              <w:rPr>
                <w:sz w:val="17"/>
                <w:szCs w:val="17"/>
                <w:color w:val="auto"/>
              </w:rPr>
            </w:pPr>
          </w:p>
        </w:tc>
        <w:tc>
          <w:tcPr>
            <w:tcW w:w="2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(683)</w:t>
            </w:r>
          </w:p>
        </w:tc>
        <w:tc>
          <w:tcPr>
            <w:tcW w:w="1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(168)</w:t>
            </w:r>
          </w:p>
        </w:tc>
        <w:tc>
          <w:tcPr>
            <w:tcW w:w="300" w:type="dxa"/>
            <w:vAlign w:val="bottom"/>
            <w:tcBorders>
              <w:bottom w:val="single" w:sz="8" w:color="1352DE"/>
            </w:tcBorders>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Other includes impairments on investments in private equity and real estate funds.</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Lower Net realized losses excluding Fortitude Re funds withheld assets in the three months ended September 30, 2026 compared to 2025 were primarily due to lower realized losses as a result of impairments on investments in real estate funds, partially offset by higher losses on fixed maturity securities. Lower Net realized losses excluding Fortitude Re funds withheld assets in the nine months ended September 30, 2026 compared to 2025 were primarily due to lower realized losses as a result of impairments on investments in real estate funds.</w:t>
      </w:r>
    </w:p>
    <w:p>
      <w:pPr>
        <w:spacing w:after="0" w:line="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Net realized gains (losses) on Fortitude Re funds withheld assets primarily reflect changes in the valuation of the modified coinsurance and funds withheld assets. Increases in the valuation of these assets result in losses to AIG as the appreciation on the assets under those reinsurance arrangements must be transferred to Fortitude Re. Decreases in valuation of the assets result in gains to AIG as the depreciation on the assets under those reinsurance arrangements must be transferred to Fortitude Re. </w:t>
      </w:r>
      <w:r>
        <w:rPr>
          <w:rFonts w:ascii="Arial" w:cs="Arial" w:eastAsia="Arial" w:hAnsi="Arial"/>
          <w:sz w:val="16"/>
          <w:szCs w:val="16"/>
          <w:i w:val="1"/>
          <w:iCs w:val="1"/>
          <w:color w:val="auto"/>
        </w:rPr>
        <w:t>For additional information on the impact of the funds withheld arrangements with Fortitude Re, see Note 7</w:t>
      </w:r>
      <w:r>
        <w:rPr>
          <w:rFonts w:ascii="Arial" w:cs="Arial" w:eastAsia="Arial" w:hAnsi="Arial"/>
          <w:sz w:val="16"/>
          <w:szCs w:val="16"/>
          <w:color w:val="auto"/>
        </w:rPr>
        <w:t xml:space="preserve"> </w:t>
      </w:r>
      <w:r>
        <w:rPr>
          <w:rFonts w:ascii="Arial" w:cs="Arial" w:eastAsia="Arial" w:hAnsi="Arial"/>
          <w:sz w:val="16"/>
          <w:szCs w:val="16"/>
          <w:i w:val="1"/>
          <w:iCs w:val="1"/>
          <w:color w:val="auto"/>
        </w:rPr>
        <w:t>to the Condensed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our investment portfolio, see Note 5 to the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Unrealized Gains and Losses on Investments</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Net unrealized investment losses included in shareholders’ equity were $3.8 billion at September 30, 2026 compared with $1.4 billion at September 30, 2025. The change in net unrealized gains and losses on investments in the nine months ended September 30, 2026 was primarily attributable to a change in the fair value of fixed maturity securities mainly due to higher interest rates and slight widening of credit spreads. The change in net unrealized gains and losses on investments in the nine months ended September 30, 2025 was primarily attributable to a change in the fair value of fixed maturity securities mainly due to lower interest rates and narrowing of credit spreads.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24771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760" w:hanging="734"/>
        <w:spacing w:after="0"/>
        <w:tabs>
          <w:tab w:leader="none" w:pos="760" w:val="left"/>
        </w:tabs>
        <w:numPr>
          <w:ilvl w:val="0"/>
          <w:numId w:val="95"/>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Investments</w:t>
      </w:r>
    </w:p>
    <w:p>
      <w:pPr>
        <w:spacing w:after="0" w:line="378"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At September 30, 2026, the Company had $2.0 billion fixed maturity investments reported at fair value for which fair value was less than 80 percent of amortized cost. At December 31, 2025, the Company had $1.4 billion fixed maturity investments reported at fair value for which fair value was less than 80 percent of amortized cost.</w:t>
      </w:r>
    </w:p>
    <w:p>
      <w:pPr>
        <w:spacing w:after="0" w:line="5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At September 30, 2026 and December 31, 2025, below investment grade securities comprised 8 percent and 8 percent, respectively, of the fair value of our fixed maturity investment portfolio. Included in below investment grade securities at September 30, 2026 were securities in an unrealized loss position that, in the aggregate, had an amortized cost of $3.6 billion and a fair value of $3.4 billion, resulting in a net pre-tax unrealized investment loss of $151 million.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our investment portfolio, see Note 5 to the Condensed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CREDIT RATINGS</w:t>
      </w:r>
    </w:p>
    <w:p>
      <w:pPr>
        <w:spacing w:after="0" w:line="117"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Moody’s Investors Service, Inc. (Moody’s), Standard &amp; Poor’s Financial Services LLC, a subsidiary of S&amp;P Global Inc. (S&amp;P), Fitch Ratings Inc. (Fitch), or similar foreign rating services rate a significant portion of our foreign entities’ fixed maturity securities portfolio. Rating services are not available for some foreign-issued securities. We closely monitor the credit quality of the foreign portfolio’s non-rated fixed maturity securities.</w:t>
      </w:r>
    </w:p>
    <w:p>
      <w:pPr>
        <w:spacing w:after="0" w:line="64"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At September 30, 2026, approximately 63 percent of our fixed maturity securities were held by our U.S. entities. Approximately 91 percent of these securities were rated investment grade by one or more of the major rating agencies.</w:t>
      </w:r>
    </w:p>
    <w:p>
      <w:pPr>
        <w:spacing w:after="0" w:line="4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At September 30, 2026, approximately 93 percent of our fixed maturity securities held by our foreign entities were either rated investment grade or, on the basis of analysis of our investment managers, were equivalent from a credit standpoint to securities rated investment grade. Approximately 16 percent of the foreign entities’ fixed maturity securities portfolio is comprised of sovereign fixed maturity securities supporting policy liabilities in the country of issuance.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Composite AIG Credit Ratings</w:t>
      </w:r>
    </w:p>
    <w:p>
      <w:pPr>
        <w:spacing w:after="0" w:line="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With respect to our fixed maturity securities, the credit ratings in the table below reflect: (i) a composite of the ratings of the three major rating agencies, or when agency ratings are not available, the National Association of Insurance Commissioners (NAIC) Designation assigned by the NAIC Securities Valuation Office (SVO) (96 percent of total fixed maturity securities), or (ii) our internal ratings when these investments have not been rated by any of the major rating agencies or the NAIC. The “Non-rated” category consists of fixed maturity securities that have not been rated by any of the major rating agencies, the NAIC or us.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information regarding credit risks associated with investments, see Part II, Item 7. MD&amp;A – Enterprise Risk Management in the 2025 Annual Report.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composite AIG credit ratings of our fixed maturity securities calculated on the basis of their fair value: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Borders>
              <w:top w:val="single" w:sz="8" w:color="1352DE"/>
            </w:tcBorders>
          </w:tcPr>
          <w:p>
            <w:pPr>
              <w:spacing w:after="0"/>
              <w:rPr>
                <w:sz w:val="18"/>
                <w:szCs w:val="18"/>
                <w:color w:val="auto"/>
              </w:rPr>
            </w:pPr>
          </w:p>
        </w:tc>
        <w:tc>
          <w:tcPr>
            <w:tcW w:w="160" w:type="dxa"/>
            <w:vAlign w:val="bottom"/>
            <w:tcBorders>
              <w:top w:val="single" w:sz="8" w:color="1352DE"/>
              <w:bottom w:val="single" w:sz="8" w:color="1352DE"/>
            </w:tcBorders>
          </w:tcPr>
          <w:p>
            <w:pPr>
              <w:spacing w:after="0"/>
              <w:rPr>
                <w:sz w:val="18"/>
                <w:szCs w:val="18"/>
                <w:color w:val="auto"/>
              </w:rPr>
            </w:pPr>
          </w:p>
        </w:tc>
        <w:tc>
          <w:tcPr>
            <w:tcW w:w="2460" w:type="dxa"/>
            <w:vAlign w:val="bottom"/>
            <w:tcBorders>
              <w:top w:val="single" w:sz="8" w:color="1352DE"/>
              <w:bottom w:val="single" w:sz="8" w:color="1352DE"/>
            </w:tcBorders>
            <w:gridSpan w:val="3"/>
          </w:tcPr>
          <w:p>
            <w:pPr>
              <w:jc w:val="right"/>
              <w:ind w:right="688"/>
              <w:spacing w:after="0"/>
              <w:rPr>
                <w:sz w:val="20"/>
                <w:szCs w:val="20"/>
                <w:color w:val="auto"/>
              </w:rPr>
            </w:pPr>
            <w:r>
              <w:rPr>
                <w:rFonts w:ascii="Arial" w:cs="Arial" w:eastAsia="Arial" w:hAnsi="Arial"/>
                <w:sz w:val="14"/>
                <w:szCs w:val="14"/>
                <w:color w:val="1252DE"/>
              </w:rPr>
              <w:t>Available for Sale</w:t>
            </w:r>
          </w:p>
        </w:tc>
        <w:tc>
          <w:tcPr>
            <w:tcW w:w="220" w:type="dxa"/>
            <w:vAlign w:val="bottom"/>
            <w:tcBorders>
              <w:top w:val="single" w:sz="8" w:color="1352DE"/>
            </w:tcBorders>
          </w:tcPr>
          <w:p>
            <w:pPr>
              <w:spacing w:after="0"/>
              <w:rPr>
                <w:sz w:val="18"/>
                <w:szCs w:val="18"/>
                <w:color w:val="auto"/>
              </w:rPr>
            </w:pPr>
          </w:p>
        </w:tc>
        <w:tc>
          <w:tcPr>
            <w:tcW w:w="180" w:type="dxa"/>
            <w:vAlign w:val="bottom"/>
            <w:tcBorders>
              <w:top w:val="single" w:sz="8" w:color="1352DE"/>
              <w:bottom w:val="single" w:sz="8" w:color="1352DE"/>
            </w:tcBorders>
          </w:tcPr>
          <w:p>
            <w:pPr>
              <w:spacing w:after="0"/>
              <w:rPr>
                <w:sz w:val="18"/>
                <w:szCs w:val="18"/>
                <w:color w:val="auto"/>
              </w:rPr>
            </w:pPr>
          </w:p>
        </w:tc>
        <w:tc>
          <w:tcPr>
            <w:tcW w:w="2460" w:type="dxa"/>
            <w:vAlign w:val="bottom"/>
            <w:tcBorders>
              <w:top w:val="single" w:sz="8" w:color="1352DE"/>
              <w:bottom w:val="single" w:sz="8" w:color="1352DE"/>
            </w:tcBorders>
            <w:gridSpan w:val="4"/>
          </w:tcPr>
          <w:p>
            <w:pPr>
              <w:jc w:val="right"/>
              <w:ind w:right="548"/>
              <w:spacing w:after="0"/>
              <w:rPr>
                <w:sz w:val="20"/>
                <w:szCs w:val="20"/>
                <w:color w:val="auto"/>
              </w:rPr>
            </w:pPr>
            <w:r>
              <w:rPr>
                <w:rFonts w:ascii="Arial" w:cs="Arial" w:eastAsia="Arial" w:hAnsi="Arial"/>
                <w:sz w:val="14"/>
                <w:szCs w:val="14"/>
                <w:color w:val="1252DE"/>
              </w:rPr>
              <w:t>Other Bond Securities</w:t>
            </w:r>
          </w:p>
        </w:tc>
        <w:tc>
          <w:tcPr>
            <w:tcW w:w="200" w:type="dxa"/>
            <w:vAlign w:val="bottom"/>
            <w:tcBorders>
              <w:top w:val="single" w:sz="8" w:color="1352DE"/>
            </w:tcBorders>
          </w:tcPr>
          <w:p>
            <w:pPr>
              <w:spacing w:after="0"/>
              <w:rPr>
                <w:sz w:val="18"/>
                <w:szCs w:val="18"/>
                <w:color w:val="auto"/>
              </w:rPr>
            </w:pPr>
          </w:p>
        </w:tc>
        <w:tc>
          <w:tcPr>
            <w:tcW w:w="180" w:type="dxa"/>
            <w:vAlign w:val="bottom"/>
            <w:tcBorders>
              <w:top w:val="single" w:sz="8" w:color="1352DE"/>
              <w:bottom w:val="single" w:sz="8" w:color="1352DE"/>
            </w:tcBorders>
          </w:tcPr>
          <w:p>
            <w:pPr>
              <w:spacing w:after="0"/>
              <w:rPr>
                <w:sz w:val="18"/>
                <w:szCs w:val="18"/>
                <w:color w:val="auto"/>
              </w:rPr>
            </w:pPr>
          </w:p>
        </w:tc>
        <w:tc>
          <w:tcPr>
            <w:tcW w:w="128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c>
          <w:tcPr>
            <w:tcW w:w="560" w:type="dxa"/>
            <w:vAlign w:val="bottom"/>
            <w:tcBorders>
              <w:top w:val="single" w:sz="8" w:color="1352DE"/>
              <w:bottom w:val="single" w:sz="8" w:color="1352DE"/>
            </w:tcBorders>
          </w:tcPr>
          <w:p>
            <w:pPr>
              <w:spacing w:after="0"/>
              <w:rPr>
                <w:sz w:val="18"/>
                <w:szCs w:val="18"/>
                <w:color w:val="auto"/>
              </w:rPr>
            </w:pPr>
          </w:p>
        </w:tc>
        <w:tc>
          <w:tcPr>
            <w:tcW w:w="600" w:type="dxa"/>
            <w:vAlign w:val="bottom"/>
            <w:tcBorders>
              <w:top w:val="single" w:sz="8" w:color="1352DE"/>
              <w:bottom w:val="single" w:sz="8" w:color="1352DE"/>
            </w:tcBorders>
          </w:tcPr>
          <w:p>
            <w:pPr>
              <w:spacing w:after="0"/>
              <w:rPr>
                <w:sz w:val="18"/>
                <w:szCs w:val="18"/>
                <w:color w:val="auto"/>
              </w:rPr>
            </w:pPr>
          </w:p>
        </w:tc>
        <w:tc>
          <w:tcPr>
            <w:tcW w:w="20" w:type="dxa"/>
            <w:vAlign w:val="bottom"/>
          </w:tcPr>
          <w:p>
            <w:pPr>
              <w:spacing w:after="0"/>
              <w:rPr>
                <w:sz w:val="18"/>
                <w:szCs w:val="18"/>
                <w:color w:val="auto"/>
              </w:rPr>
            </w:pPr>
          </w:p>
        </w:tc>
      </w:tr>
      <w:tr>
        <w:trPr>
          <w:trHeight w:val="150"/>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48"/>
              <w:spacing w:after="0" w:line="151" w:lineRule="exact"/>
              <w:rPr>
                <w:sz w:val="20"/>
                <w:szCs w:val="20"/>
                <w:color w:val="auto"/>
              </w:rPr>
            </w:pPr>
            <w:r>
              <w:rPr>
                <w:rFonts w:ascii="Arial" w:cs="Arial" w:eastAsia="Arial" w:hAnsi="Arial"/>
                <w:sz w:val="14"/>
                <w:szCs w:val="14"/>
                <w:b w:val="1"/>
                <w:bCs w:val="1"/>
                <w:color w:val="1252DE"/>
              </w:rPr>
              <w:t>September 30,</w:t>
            </w:r>
          </w:p>
        </w:tc>
        <w:tc>
          <w:tcPr>
            <w:tcW w:w="280" w:type="dxa"/>
            <w:vAlign w:val="bottom"/>
          </w:tcPr>
          <w:p>
            <w:pPr>
              <w:spacing w:after="0"/>
              <w:rPr>
                <w:sz w:val="13"/>
                <w:szCs w:val="13"/>
                <w:color w:val="auto"/>
              </w:rPr>
            </w:pPr>
          </w:p>
        </w:tc>
        <w:tc>
          <w:tcPr>
            <w:tcW w:w="122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1252DE"/>
              </w:rPr>
              <w:t>December 31,</w:t>
            </w:r>
          </w:p>
        </w:tc>
        <w:tc>
          <w:tcPr>
            <w:tcW w:w="180" w:type="dxa"/>
            <w:vAlign w:val="bottom"/>
          </w:tcPr>
          <w:p>
            <w:pPr>
              <w:spacing w:after="0"/>
              <w:rPr>
                <w:sz w:val="13"/>
                <w:szCs w:val="13"/>
                <w:color w:val="auto"/>
              </w:rPr>
            </w:pPr>
          </w:p>
        </w:tc>
        <w:tc>
          <w:tcPr>
            <w:tcW w:w="1180" w:type="dxa"/>
            <w:vAlign w:val="bottom"/>
          </w:tcPr>
          <w:p>
            <w:pPr>
              <w:jc w:val="right"/>
              <w:ind w:right="48"/>
              <w:spacing w:after="0" w:line="151" w:lineRule="exact"/>
              <w:rPr>
                <w:sz w:val="20"/>
                <w:szCs w:val="20"/>
                <w:color w:val="auto"/>
              </w:rPr>
            </w:pPr>
            <w:r>
              <w:rPr>
                <w:rFonts w:ascii="Arial" w:cs="Arial" w:eastAsia="Arial" w:hAnsi="Arial"/>
                <w:sz w:val="14"/>
                <w:szCs w:val="14"/>
                <w:b w:val="1"/>
                <w:bCs w:val="1"/>
                <w:color w:val="1252DE"/>
              </w:rPr>
              <w:t>September 30,</w:t>
            </w:r>
          </w:p>
        </w:tc>
        <w:tc>
          <w:tcPr>
            <w:tcW w:w="280" w:type="dxa"/>
            <w:vAlign w:val="bottom"/>
          </w:tcPr>
          <w:p>
            <w:pPr>
              <w:spacing w:after="0"/>
              <w:rPr>
                <w:sz w:val="13"/>
                <w:szCs w:val="13"/>
                <w:color w:val="auto"/>
              </w:rPr>
            </w:pPr>
          </w:p>
        </w:tc>
        <w:tc>
          <w:tcPr>
            <w:tcW w:w="1200" w:type="dxa"/>
            <w:vAlign w:val="bottom"/>
            <w:gridSpan w:val="3"/>
          </w:tcPr>
          <w:p>
            <w:pPr>
              <w:jc w:val="right"/>
              <w:ind w:right="220"/>
              <w:spacing w:after="0" w:line="151" w:lineRule="exact"/>
              <w:rPr>
                <w:sz w:val="20"/>
                <w:szCs w:val="20"/>
                <w:color w:val="auto"/>
              </w:rPr>
            </w:pPr>
            <w:r>
              <w:rPr>
                <w:rFonts w:ascii="Arial" w:cs="Arial" w:eastAsia="Arial" w:hAnsi="Arial"/>
                <w:sz w:val="14"/>
                <w:szCs w:val="14"/>
                <w:color w:val="1252DE"/>
              </w:rPr>
              <w:t>December 31,</w:t>
            </w:r>
          </w:p>
        </w:tc>
        <w:tc>
          <w:tcPr>
            <w:tcW w:w="180" w:type="dxa"/>
            <w:vAlign w:val="bottom"/>
          </w:tcPr>
          <w:p>
            <w:pPr>
              <w:spacing w:after="0"/>
              <w:rPr>
                <w:sz w:val="13"/>
                <w:szCs w:val="13"/>
                <w:color w:val="auto"/>
              </w:rPr>
            </w:pPr>
          </w:p>
        </w:tc>
        <w:tc>
          <w:tcPr>
            <w:tcW w:w="1280" w:type="dxa"/>
            <w:vAlign w:val="bottom"/>
          </w:tcPr>
          <w:p>
            <w:pPr>
              <w:jc w:val="right"/>
              <w:ind w:right="148"/>
              <w:spacing w:after="0" w:line="151" w:lineRule="exact"/>
              <w:rPr>
                <w:sz w:val="20"/>
                <w:szCs w:val="20"/>
                <w:color w:val="auto"/>
              </w:rPr>
            </w:pPr>
            <w:r>
              <w:rPr>
                <w:rFonts w:ascii="Arial" w:cs="Arial" w:eastAsia="Arial" w:hAnsi="Arial"/>
                <w:sz w:val="14"/>
                <w:szCs w:val="14"/>
                <w:b w:val="1"/>
                <w:bCs w:val="1"/>
                <w:color w:val="1252DE"/>
              </w:rPr>
              <w:t>September 30,</w:t>
            </w:r>
          </w:p>
        </w:tc>
        <w:tc>
          <w:tcPr>
            <w:tcW w:w="1180" w:type="dxa"/>
            <w:vAlign w:val="bottom"/>
            <w:gridSpan w:val="3"/>
          </w:tcPr>
          <w:p>
            <w:pPr>
              <w:jc w:val="right"/>
              <w:ind w:right="40"/>
              <w:spacing w:after="0" w:line="151" w:lineRule="exact"/>
              <w:rPr>
                <w:sz w:val="20"/>
                <w:szCs w:val="20"/>
                <w:color w:val="auto"/>
              </w:rPr>
            </w:pPr>
            <w:r>
              <w:rPr>
                <w:rFonts w:ascii="Arial" w:cs="Arial" w:eastAsia="Arial" w:hAnsi="Arial"/>
                <w:sz w:val="14"/>
                <w:szCs w:val="14"/>
                <w:color w:val="1252DE"/>
              </w:rPr>
              <w:t>December 31,</w:t>
            </w:r>
          </w:p>
        </w:tc>
      </w:tr>
      <w:tr>
        <w:trPr>
          <w:trHeight w:val="185"/>
        </w:trPr>
        <w:tc>
          <w:tcPr>
            <w:tcW w:w="29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60" w:type="dxa"/>
            <w:vAlign w:val="bottom"/>
            <w:tcBorders>
              <w:bottom w:val="single" w:sz="8" w:color="1352DE"/>
            </w:tcBorders>
          </w:tcPr>
          <w:p>
            <w:pPr>
              <w:spacing w:after="0"/>
              <w:rPr>
                <w:sz w:val="16"/>
                <w:szCs w:val="16"/>
                <w:color w:val="auto"/>
              </w:rPr>
            </w:pPr>
          </w:p>
        </w:tc>
        <w:tc>
          <w:tcPr>
            <w:tcW w:w="11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28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2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11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28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1252DE"/>
              </w:rPr>
              <w:t>2025</w:t>
            </w:r>
          </w:p>
        </w:tc>
        <w:tc>
          <w:tcPr>
            <w:tcW w:w="20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12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2026</w:t>
            </w:r>
          </w:p>
        </w:tc>
        <w:tc>
          <w:tcPr>
            <w:tcW w:w="560" w:type="dxa"/>
            <w:vAlign w:val="bottom"/>
            <w:tcBorders>
              <w:bottom w:val="single" w:sz="8" w:color="1352DE"/>
            </w:tcBorders>
          </w:tcPr>
          <w:p>
            <w:pPr>
              <w:spacing w:after="0"/>
              <w:rPr>
                <w:sz w:val="16"/>
                <w:szCs w:val="16"/>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0" w:type="dxa"/>
            <w:vAlign w:val="bottom"/>
          </w:tcPr>
          <w:p>
            <w:pPr>
              <w:spacing w:after="0"/>
              <w:rPr>
                <w:sz w:val="16"/>
                <w:szCs w:val="16"/>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b w:val="1"/>
                <w:bCs w:val="1"/>
                <w:color w:val="1252DE"/>
              </w:rPr>
              <w:t>Rating:</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b w:val="1"/>
                <w:bCs w:val="1"/>
                <w:color w:val="1252DE"/>
              </w:rPr>
              <w:t>Other fixed maturity securities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AAA</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1252DE"/>
                <w:w w:val="76"/>
              </w:rPr>
              <w:t>$</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3,370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4,063</w:t>
            </w:r>
          </w:p>
        </w:tc>
        <w:tc>
          <w:tcPr>
            <w:tcW w:w="2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13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b w:val="1"/>
                <w:bCs w:val="1"/>
                <w:color w:val="1252DE"/>
              </w:rPr>
              <w:t>$</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3,383</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4,077</w:t>
            </w:r>
          </w:p>
        </w:tc>
        <w:tc>
          <w:tcPr>
            <w:tcW w:w="20" w:type="dxa"/>
            <w:vAlign w:val="bottom"/>
          </w:tcPr>
          <w:p>
            <w:pPr>
              <w:spacing w:after="0"/>
              <w:rPr>
                <w:sz w:val="17"/>
                <w:szCs w:val="17"/>
                <w:color w:val="auto"/>
              </w:rPr>
            </w:pPr>
          </w:p>
        </w:tc>
      </w:tr>
      <w:tr>
        <w:trPr>
          <w:trHeight w:val="202"/>
        </w:trPr>
        <w:tc>
          <w:tcPr>
            <w:tcW w:w="2920" w:type="dxa"/>
            <w:vAlign w:val="bottom"/>
          </w:tcPr>
          <w:p>
            <w:pPr>
              <w:ind w:left="140"/>
              <w:spacing w:after="0"/>
              <w:rPr>
                <w:sz w:val="20"/>
                <w:szCs w:val="20"/>
                <w:color w:val="auto"/>
              </w:rPr>
            </w:pPr>
            <w:r>
              <w:rPr>
                <w:rFonts w:ascii="Arial" w:cs="Arial" w:eastAsia="Arial" w:hAnsi="Arial"/>
                <w:sz w:val="14"/>
                <w:szCs w:val="14"/>
                <w:color w:val="auto"/>
              </w:rPr>
              <w:t>AA</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9,090</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8,693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47</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9,137</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8,743</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17,094</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111</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173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17,205</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17,852</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BBB</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15,840</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95</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15,935</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14,665</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Below investment grade</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4,950</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2</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4,952</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4,741</w:t>
            </w:r>
          </w:p>
        </w:tc>
        <w:tc>
          <w:tcPr>
            <w:tcW w:w="20" w:type="dxa"/>
            <w:vAlign w:val="bottom"/>
          </w:tcPr>
          <w:p>
            <w:pPr>
              <w:spacing w:after="0"/>
              <w:rPr>
                <w:sz w:val="17"/>
                <w:szCs w:val="17"/>
                <w:color w:val="auto"/>
              </w:rPr>
            </w:pPr>
          </w:p>
        </w:tc>
      </w:tr>
      <w:tr>
        <w:trPr>
          <w:trHeight w:val="203"/>
        </w:trPr>
        <w:tc>
          <w:tcPr>
            <w:tcW w:w="292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Non-rated</w:t>
            </w:r>
          </w:p>
        </w:tc>
        <w:tc>
          <w:tcPr>
            <w:tcW w:w="160" w:type="dxa"/>
            <w:vAlign w:val="bottom"/>
            <w:tcBorders>
              <w:bottom w:val="single" w:sz="8" w:color="1352DE"/>
            </w:tcBorders>
          </w:tcPr>
          <w:p>
            <w:pPr>
              <w:spacing w:after="0"/>
              <w:rPr>
                <w:sz w:val="17"/>
                <w:szCs w:val="17"/>
                <w:color w:val="auto"/>
              </w:rPr>
            </w:pPr>
          </w:p>
        </w:tc>
        <w:tc>
          <w:tcPr>
            <w:tcW w:w="118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65</w:t>
            </w:r>
          </w:p>
        </w:tc>
        <w:tc>
          <w:tcPr>
            <w:tcW w:w="280" w:type="dxa"/>
            <w:vAlign w:val="bottom"/>
            <w:tcBorders>
              <w:bottom w:val="single" w:sz="8" w:color="1352DE"/>
            </w:tcBorders>
          </w:tcPr>
          <w:p>
            <w:pPr>
              <w:spacing w:after="0"/>
              <w:rPr>
                <w:sz w:val="17"/>
                <w:szCs w:val="17"/>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94</w:t>
            </w:r>
          </w:p>
        </w:tc>
        <w:tc>
          <w:tcPr>
            <w:tcW w:w="22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11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280" w:type="dxa"/>
            <w:vAlign w:val="bottom"/>
            <w:tcBorders>
              <w:bottom w:val="single" w:sz="8" w:color="1352DE"/>
            </w:tcBorders>
          </w:tcPr>
          <w:p>
            <w:pPr>
              <w:spacing w:after="0"/>
              <w:rPr>
                <w:sz w:val="17"/>
                <w:szCs w:val="17"/>
                <w:color w:val="auto"/>
              </w:rPr>
            </w:pPr>
          </w:p>
        </w:tc>
        <w:tc>
          <w:tcPr>
            <w:tcW w:w="160" w:type="dxa"/>
            <w:vAlign w:val="bottom"/>
            <w:tcBorders>
              <w:bottom w:val="single" w:sz="8" w:color="1352DE"/>
            </w:tcBorders>
          </w:tcPr>
          <w:p>
            <w:pPr>
              <w:spacing w:after="0"/>
              <w:rPr>
                <w:sz w:val="17"/>
                <w:szCs w:val="17"/>
                <w:color w:val="auto"/>
              </w:rPr>
            </w:pPr>
          </w:p>
        </w:tc>
        <w:tc>
          <w:tcPr>
            <w:tcW w:w="1040" w:type="dxa"/>
            <w:vAlign w:val="bottom"/>
            <w:tcBorders>
              <w:bottom w:val="single" w:sz="8" w:color="1352DE"/>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spacing w:after="0"/>
              <w:rPr>
                <w:sz w:val="17"/>
                <w:szCs w:val="17"/>
                <w:color w:val="auto"/>
              </w:rPr>
            </w:pPr>
          </w:p>
        </w:tc>
        <w:tc>
          <w:tcPr>
            <w:tcW w:w="128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2DE"/>
              </w:rPr>
              <w:t>65</w:t>
            </w:r>
          </w:p>
        </w:tc>
        <w:tc>
          <w:tcPr>
            <w:tcW w:w="560" w:type="dxa"/>
            <w:vAlign w:val="bottom"/>
            <w:tcBorders>
              <w:bottom w:val="single" w:sz="8" w:color="1352DE"/>
            </w:tcBorders>
          </w:tcPr>
          <w:p>
            <w:pPr>
              <w:spacing w:after="0"/>
              <w:rPr>
                <w:sz w:val="17"/>
                <w:szCs w:val="17"/>
                <w:color w:val="auto"/>
              </w:rPr>
            </w:pP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7"/>
                <w:szCs w:val="17"/>
                <w:color w:val="auto"/>
              </w:rPr>
            </w:pPr>
          </w:p>
        </w:tc>
      </w:tr>
      <w:tr>
        <w:trPr>
          <w:trHeight w:val="196"/>
        </w:trPr>
        <w:tc>
          <w:tcPr>
            <w:tcW w:w="29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1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w w:val="76"/>
              </w:rPr>
              <w:t>$</w:t>
            </w:r>
          </w:p>
        </w:tc>
        <w:tc>
          <w:tcPr>
            <w:tcW w:w="118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50,409</w:t>
            </w:r>
          </w:p>
        </w:tc>
        <w:tc>
          <w:tcPr>
            <w:tcW w:w="2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49,824</w:t>
            </w:r>
          </w:p>
        </w:tc>
        <w:tc>
          <w:tcPr>
            <w:tcW w:w="22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11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268</w:t>
            </w:r>
          </w:p>
        </w:tc>
        <w:tc>
          <w:tcPr>
            <w:tcW w:w="2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1352DE"/>
            </w:tcBorders>
            <w:gridSpan w:val="2"/>
          </w:tcPr>
          <w:p>
            <w:pPr>
              <w:jc w:val="right"/>
              <w:ind w:right="8"/>
              <w:spacing w:after="0"/>
              <w:rPr>
                <w:sz w:val="20"/>
                <w:szCs w:val="20"/>
                <w:color w:val="auto"/>
              </w:rPr>
            </w:pPr>
            <w:r>
              <w:rPr>
                <w:rFonts w:ascii="Arial" w:cs="Arial" w:eastAsia="Arial" w:hAnsi="Arial"/>
                <w:sz w:val="14"/>
                <w:szCs w:val="14"/>
                <w:color w:val="auto"/>
              </w:rPr>
              <w:t>348</w:t>
            </w:r>
          </w:p>
        </w:tc>
        <w:tc>
          <w:tcPr>
            <w:tcW w:w="20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jc w:val="right"/>
              <w:ind w:right="10"/>
              <w:spacing w:after="0"/>
              <w:rPr>
                <w:sz w:val="20"/>
                <w:szCs w:val="20"/>
                <w:color w:val="auto"/>
              </w:rPr>
            </w:pPr>
            <w:r>
              <w:rPr>
                <w:rFonts w:ascii="Arial" w:cs="Arial" w:eastAsia="Arial" w:hAnsi="Arial"/>
                <w:sz w:val="14"/>
                <w:szCs w:val="14"/>
                <w:b w:val="1"/>
                <w:bCs w:val="1"/>
                <w:color w:val="1252DE"/>
              </w:rPr>
              <w:t>$</w:t>
            </w:r>
          </w:p>
        </w:tc>
        <w:tc>
          <w:tcPr>
            <w:tcW w:w="128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2DE"/>
              </w:rPr>
              <w:t>50,677</w:t>
            </w:r>
          </w:p>
        </w:tc>
        <w:tc>
          <w:tcPr>
            <w:tcW w:w="560" w:type="dxa"/>
            <w:vAlign w:val="bottom"/>
            <w:tcBorders>
              <w:bottom w:val="single" w:sz="8" w:color="1352DE"/>
            </w:tcBorders>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50,172</w:t>
            </w:r>
          </w:p>
        </w:tc>
        <w:tc>
          <w:tcPr>
            <w:tcW w:w="20" w:type="dxa"/>
            <w:vAlign w:val="bottom"/>
          </w:tcPr>
          <w:p>
            <w:pPr>
              <w:spacing w:after="0"/>
              <w:rPr>
                <w:sz w:val="17"/>
                <w:szCs w:val="17"/>
                <w:color w:val="auto"/>
              </w:rPr>
            </w:pPr>
          </w:p>
        </w:tc>
      </w:tr>
      <w:tr>
        <w:trPr>
          <w:trHeight w:val="147"/>
        </w:trPr>
        <w:tc>
          <w:tcPr>
            <w:tcW w:w="2920" w:type="dxa"/>
            <w:vAlign w:val="bottom"/>
          </w:tcPr>
          <w:p>
            <w:pPr>
              <w:ind w:left="20"/>
              <w:spacing w:after="0" w:line="147" w:lineRule="exact"/>
              <w:rPr>
                <w:sz w:val="20"/>
                <w:szCs w:val="20"/>
                <w:color w:val="auto"/>
              </w:rPr>
            </w:pPr>
            <w:r>
              <w:rPr>
                <w:rFonts w:ascii="Arial" w:cs="Arial" w:eastAsia="Arial" w:hAnsi="Arial"/>
                <w:sz w:val="14"/>
                <w:szCs w:val="14"/>
                <w:b w:val="1"/>
                <w:bCs w:val="1"/>
                <w:color w:val="1252DE"/>
              </w:rPr>
              <w:t>Mortgage-backed, asset-backed and</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b w:val="1"/>
                <w:bCs w:val="1"/>
                <w:color w:val="1252DE"/>
              </w:rPr>
              <w:t>collateralized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920" w:type="dxa"/>
            <w:vAlign w:val="bottom"/>
          </w:tcPr>
          <w:p>
            <w:pPr>
              <w:ind w:left="140"/>
              <w:spacing w:after="0"/>
              <w:rPr>
                <w:sz w:val="20"/>
                <w:szCs w:val="20"/>
                <w:color w:val="auto"/>
              </w:rPr>
            </w:pPr>
            <w:r>
              <w:rPr>
                <w:rFonts w:ascii="Arial" w:cs="Arial" w:eastAsia="Arial" w:hAnsi="Arial"/>
                <w:sz w:val="14"/>
                <w:szCs w:val="14"/>
                <w:color w:val="auto"/>
              </w:rPr>
              <w:t>AAA</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1252DE"/>
                <w:w w:val="76"/>
              </w:rPr>
              <w:t>$</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11,706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11,198</w:t>
            </w:r>
          </w:p>
        </w:tc>
        <w:tc>
          <w:tcPr>
            <w:tcW w:w="2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77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b w:val="1"/>
                <w:bCs w:val="1"/>
                <w:color w:val="1252DE"/>
              </w:rPr>
              <w:t>$</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11,783</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11,300</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AA</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7,222</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47</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7,269</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7,517</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1,007</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163</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135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1,170</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1,165</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BBB</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374</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64</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438</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488</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Below investment grade</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924</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28</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952</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1,131</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Non-rated</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w:t>
            </w:r>
          </w:p>
        </w:tc>
        <w:tc>
          <w:tcPr>
            <w:tcW w:w="2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2</w:t>
            </w:r>
          </w:p>
        </w:tc>
        <w:tc>
          <w:tcPr>
            <w:tcW w:w="56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96"/>
        </w:trPr>
        <w:tc>
          <w:tcPr>
            <w:tcW w:w="292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160" w:type="dxa"/>
            <w:vAlign w:val="bottom"/>
            <w:tcBorders>
              <w:top w:val="single" w:sz="8" w:color="1352DE"/>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w w:val="76"/>
              </w:rPr>
              <w:t>$</w:t>
            </w:r>
          </w:p>
        </w:tc>
        <w:tc>
          <w:tcPr>
            <w:tcW w:w="1180" w:type="dxa"/>
            <w:vAlign w:val="bottom"/>
            <w:tcBorders>
              <w:top w:val="single" w:sz="8" w:color="1352DE"/>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21,233</w:t>
            </w:r>
          </w:p>
        </w:tc>
        <w:tc>
          <w:tcPr>
            <w:tcW w:w="280" w:type="dxa"/>
            <w:vAlign w:val="bottom"/>
            <w:tcBorders>
              <w:top w:val="single" w:sz="8" w:color="1352DE"/>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auto"/>
              </w:rPr>
              <w:t>21,208</w:t>
            </w:r>
          </w:p>
        </w:tc>
        <w:tc>
          <w:tcPr>
            <w:tcW w:w="220" w:type="dxa"/>
            <w:vAlign w:val="bottom"/>
            <w:tcBorders>
              <w:top w:val="single" w:sz="8" w:color="1352DE"/>
              <w:bottom w:val="single" w:sz="8" w:color="1352DE"/>
            </w:tcBorders>
          </w:tcPr>
          <w:p>
            <w:pPr>
              <w:spacing w:after="0"/>
              <w:rPr>
                <w:sz w:val="17"/>
                <w:szCs w:val="17"/>
                <w:color w:val="auto"/>
              </w:rPr>
            </w:pPr>
          </w:p>
        </w:tc>
        <w:tc>
          <w:tcPr>
            <w:tcW w:w="180" w:type="dxa"/>
            <w:vAlign w:val="bottom"/>
            <w:tcBorders>
              <w:top w:val="single" w:sz="8" w:color="1352DE"/>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1180" w:type="dxa"/>
            <w:vAlign w:val="bottom"/>
            <w:tcBorders>
              <w:top w:val="single" w:sz="8" w:color="1352DE"/>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381</w:t>
            </w:r>
          </w:p>
        </w:tc>
        <w:tc>
          <w:tcPr>
            <w:tcW w:w="280" w:type="dxa"/>
            <w:vAlign w:val="bottom"/>
            <w:tcBorders>
              <w:top w:val="single" w:sz="8" w:color="1352DE"/>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1352DE"/>
              <w:bottom w:val="single" w:sz="8" w:color="1352DE"/>
            </w:tcBorders>
            <w:gridSpan w:val="2"/>
          </w:tcPr>
          <w:p>
            <w:pPr>
              <w:jc w:val="right"/>
              <w:ind w:right="8"/>
              <w:spacing w:after="0"/>
              <w:rPr>
                <w:sz w:val="20"/>
                <w:szCs w:val="20"/>
                <w:color w:val="auto"/>
              </w:rPr>
            </w:pPr>
            <w:r>
              <w:rPr>
                <w:rFonts w:ascii="Arial" w:cs="Arial" w:eastAsia="Arial" w:hAnsi="Arial"/>
                <w:sz w:val="14"/>
                <w:szCs w:val="14"/>
                <w:color w:val="auto"/>
              </w:rPr>
              <w:t>393</w:t>
            </w:r>
          </w:p>
        </w:tc>
        <w:tc>
          <w:tcPr>
            <w:tcW w:w="200" w:type="dxa"/>
            <w:vAlign w:val="bottom"/>
            <w:tcBorders>
              <w:top w:val="single" w:sz="8" w:color="1352DE"/>
              <w:bottom w:val="single" w:sz="8" w:color="1352DE"/>
            </w:tcBorders>
          </w:tcPr>
          <w:p>
            <w:pPr>
              <w:spacing w:after="0"/>
              <w:rPr>
                <w:sz w:val="17"/>
                <w:szCs w:val="17"/>
                <w:color w:val="auto"/>
              </w:rPr>
            </w:pPr>
          </w:p>
        </w:tc>
        <w:tc>
          <w:tcPr>
            <w:tcW w:w="180" w:type="dxa"/>
            <w:vAlign w:val="bottom"/>
            <w:tcBorders>
              <w:top w:val="single" w:sz="8" w:color="1352DE"/>
              <w:bottom w:val="single" w:sz="8" w:color="1352DE"/>
            </w:tcBorders>
          </w:tcPr>
          <w:p>
            <w:pPr>
              <w:jc w:val="right"/>
              <w:ind w:right="10"/>
              <w:spacing w:after="0"/>
              <w:rPr>
                <w:sz w:val="20"/>
                <w:szCs w:val="20"/>
                <w:color w:val="auto"/>
              </w:rPr>
            </w:pPr>
            <w:r>
              <w:rPr>
                <w:rFonts w:ascii="Arial" w:cs="Arial" w:eastAsia="Arial" w:hAnsi="Arial"/>
                <w:sz w:val="14"/>
                <w:szCs w:val="14"/>
                <w:b w:val="1"/>
                <w:bCs w:val="1"/>
                <w:color w:val="1252DE"/>
              </w:rPr>
              <w:t>$</w:t>
            </w:r>
          </w:p>
        </w:tc>
        <w:tc>
          <w:tcPr>
            <w:tcW w:w="1280" w:type="dxa"/>
            <w:vAlign w:val="bottom"/>
            <w:tcBorders>
              <w:top w:val="single" w:sz="8" w:color="1352DE"/>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2DE"/>
              </w:rPr>
              <w:t>21,614</w:t>
            </w:r>
          </w:p>
        </w:tc>
        <w:tc>
          <w:tcPr>
            <w:tcW w:w="560" w:type="dxa"/>
            <w:vAlign w:val="bottom"/>
            <w:tcBorders>
              <w:top w:val="single" w:sz="8" w:color="1352DE"/>
              <w:bottom w:val="single" w:sz="8" w:color="1352DE"/>
            </w:tcBorders>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auto"/>
              </w:rPr>
              <w:t>21,601</w:t>
            </w:r>
          </w:p>
        </w:tc>
        <w:tc>
          <w:tcPr>
            <w:tcW w:w="20" w:type="dxa"/>
            <w:vAlign w:val="bottom"/>
          </w:tcPr>
          <w:p>
            <w:pPr>
              <w:spacing w:after="0"/>
              <w:rPr>
                <w:sz w:val="17"/>
                <w:szCs w:val="17"/>
                <w:color w:val="auto"/>
              </w:rPr>
            </w:pPr>
          </w:p>
        </w:tc>
      </w:tr>
      <w:tr>
        <w:trPr>
          <w:trHeight w:val="195"/>
        </w:trPr>
        <w:tc>
          <w:tcPr>
            <w:tcW w:w="2920" w:type="dxa"/>
            <w:vAlign w:val="bottom"/>
          </w:tcPr>
          <w:p>
            <w:pPr>
              <w:ind w:left="20"/>
              <w:spacing w:after="0"/>
              <w:rPr>
                <w:sz w:val="20"/>
                <w:szCs w:val="20"/>
                <w:color w:val="auto"/>
              </w:rPr>
            </w:pPr>
            <w:r>
              <w:rPr>
                <w:rFonts w:ascii="Arial" w:cs="Arial" w:eastAsia="Arial" w:hAnsi="Arial"/>
                <w:sz w:val="14"/>
                <w:szCs w:val="14"/>
                <w:b w:val="1"/>
                <w:bCs w:val="1"/>
                <w:color w:val="1252DE"/>
              </w:rPr>
              <w:t>Total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AAA</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1252DE"/>
                <w:w w:val="76"/>
              </w:rPr>
              <w:t>$</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15,076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15,261</w:t>
            </w:r>
          </w:p>
        </w:tc>
        <w:tc>
          <w:tcPr>
            <w:tcW w:w="2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1252DE"/>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90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b w:val="1"/>
                <w:bCs w:val="1"/>
                <w:color w:val="1252DE"/>
              </w:rPr>
              <w:t>$</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15,166</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15,377</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AA</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16,312</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94</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16,406</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16,260</w:t>
            </w:r>
          </w:p>
        </w:tc>
        <w:tc>
          <w:tcPr>
            <w:tcW w:w="20" w:type="dxa"/>
            <w:vAlign w:val="bottom"/>
          </w:tcPr>
          <w:p>
            <w:pPr>
              <w:spacing w:after="0"/>
              <w:rPr>
                <w:sz w:val="17"/>
                <w:szCs w:val="17"/>
                <w:color w:val="auto"/>
              </w:rPr>
            </w:pP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18,101</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274</w:t>
            </w:r>
          </w:p>
        </w:tc>
        <w:tc>
          <w:tcPr>
            <w:tcW w:w="28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308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18,375</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19,017</w:t>
            </w:r>
          </w:p>
        </w:tc>
        <w:tc>
          <w:tcPr>
            <w:tcW w:w="20" w:type="dxa"/>
            <w:vAlign w:val="bottom"/>
          </w:tcPr>
          <w:p>
            <w:pPr>
              <w:spacing w:after="0"/>
              <w:rPr>
                <w:sz w:val="17"/>
                <w:szCs w:val="17"/>
                <w:color w:val="auto"/>
              </w:rPr>
            </w:pPr>
          </w:p>
        </w:tc>
      </w:tr>
      <w:tr>
        <w:trPr>
          <w:trHeight w:val="596"/>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001770"/>
            </w:tcBorders>
          </w:tcPr>
          <w:p>
            <w:pPr>
              <w:spacing w:after="0"/>
              <w:rPr>
                <w:sz w:val="24"/>
                <w:szCs w:val="24"/>
                <w:color w:val="auto"/>
              </w:rPr>
            </w:pPr>
          </w:p>
        </w:tc>
        <w:tc>
          <w:tcPr>
            <w:tcW w:w="200" w:type="dxa"/>
            <w:vAlign w:val="bottom"/>
            <w:tcBorders>
              <w:bottom w:val="single" w:sz="8" w:color="001770"/>
            </w:tcBorders>
          </w:tcPr>
          <w:p>
            <w:pPr>
              <w:spacing w:after="0"/>
              <w:rPr>
                <w:sz w:val="24"/>
                <w:szCs w:val="24"/>
                <w:color w:val="auto"/>
              </w:rPr>
            </w:pPr>
          </w:p>
        </w:tc>
        <w:tc>
          <w:tcPr>
            <w:tcW w:w="2020" w:type="dxa"/>
            <w:vAlign w:val="bottom"/>
            <w:tcBorders>
              <w:bottom w:val="single" w:sz="8" w:color="001770"/>
            </w:tcBorders>
            <w:gridSpan w:val="3"/>
          </w:tcPr>
          <w:p>
            <w:pPr>
              <w:spacing w:after="0"/>
              <w:rPr>
                <w:sz w:val="24"/>
                <w:szCs w:val="24"/>
                <w:color w:val="auto"/>
              </w:rPr>
            </w:pPr>
          </w:p>
        </w:tc>
        <w:tc>
          <w:tcPr>
            <w:tcW w:w="600" w:type="dxa"/>
            <w:vAlign w:val="bottom"/>
            <w:tcBorders>
              <w:bottom w:val="single" w:sz="8" w:color="001770"/>
            </w:tcBorders>
          </w:tcPr>
          <w:p>
            <w:pPr>
              <w:spacing w:after="0"/>
              <w:rPr>
                <w:sz w:val="24"/>
                <w:szCs w:val="24"/>
                <w:color w:val="auto"/>
              </w:rPr>
            </w:pPr>
          </w:p>
        </w:tc>
        <w:tc>
          <w:tcPr>
            <w:tcW w:w="20" w:type="dxa"/>
            <w:vAlign w:val="bottom"/>
            <w:tcBorders>
              <w:bottom w:val="single" w:sz="8" w:color="001770"/>
            </w:tcBorders>
          </w:tcPr>
          <w:p>
            <w:pPr>
              <w:spacing w:after="0"/>
              <w:rPr>
                <w:sz w:val="24"/>
                <w:szCs w:val="24"/>
                <w:color w:val="auto"/>
              </w:rPr>
            </w:pPr>
          </w:p>
        </w:tc>
      </w:tr>
      <w:tr>
        <w:trPr>
          <w:trHeight w:val="157"/>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3"/>
          </w:tcPr>
          <w:p>
            <w:pPr>
              <w:jc w:val="right"/>
              <w:ind w:right="28"/>
              <w:spacing w:after="0"/>
              <w:rPr>
                <w:sz w:val="20"/>
                <w:szCs w:val="20"/>
                <w:color w:val="auto"/>
              </w:rPr>
            </w:pPr>
            <w:r>
              <w:rPr>
                <w:rFonts w:ascii="Arial" w:cs="Arial" w:eastAsia="Arial" w:hAnsi="Arial"/>
                <w:sz w:val="12"/>
                <w:szCs w:val="12"/>
                <w:color w:val="auto"/>
                <w:w w:val="98"/>
              </w:rPr>
              <w:t>AIG | Third Quarter 2026 Form 10-Q</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63</w:t>
            </w:r>
          </w:p>
        </w:tc>
        <w:tc>
          <w:tcPr>
            <w:tcW w:w="20" w:type="dxa"/>
            <w:vAlign w:val="bottom"/>
          </w:tcPr>
          <w:p>
            <w:pPr>
              <w:spacing w:after="0"/>
              <w:rPr>
                <w:sz w:val="13"/>
                <w:szCs w:val="13"/>
                <w:color w:val="auto"/>
              </w:rPr>
            </w:pPr>
          </w:p>
        </w:tc>
      </w:tr>
      <w:tr>
        <w:trPr>
          <w:trHeight w:val="208"/>
        </w:trPr>
        <w:tc>
          <w:tcPr>
            <w:tcW w:w="29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Investments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Borders>
              <w:top w:val="single" w:sz="8" w:color="1352DE"/>
            </w:tcBorders>
          </w:tcPr>
          <w:p>
            <w:pPr>
              <w:spacing w:after="0"/>
              <w:rPr>
                <w:sz w:val="18"/>
                <w:szCs w:val="18"/>
                <w:color w:val="auto"/>
              </w:rPr>
            </w:pPr>
          </w:p>
        </w:tc>
        <w:tc>
          <w:tcPr>
            <w:tcW w:w="160" w:type="dxa"/>
            <w:vAlign w:val="bottom"/>
            <w:tcBorders>
              <w:top w:val="single" w:sz="8" w:color="1352DE"/>
              <w:bottom w:val="single" w:sz="8" w:color="1352DE"/>
            </w:tcBorders>
          </w:tcPr>
          <w:p>
            <w:pPr>
              <w:spacing w:after="0"/>
              <w:rPr>
                <w:sz w:val="18"/>
                <w:szCs w:val="18"/>
                <w:color w:val="auto"/>
              </w:rPr>
            </w:pPr>
          </w:p>
        </w:tc>
        <w:tc>
          <w:tcPr>
            <w:tcW w:w="2460" w:type="dxa"/>
            <w:vAlign w:val="bottom"/>
            <w:tcBorders>
              <w:top w:val="single" w:sz="8" w:color="1352DE"/>
              <w:bottom w:val="single" w:sz="8" w:color="1352DE"/>
            </w:tcBorders>
            <w:gridSpan w:val="3"/>
          </w:tcPr>
          <w:p>
            <w:pPr>
              <w:jc w:val="right"/>
              <w:ind w:right="688"/>
              <w:spacing w:after="0"/>
              <w:rPr>
                <w:sz w:val="20"/>
                <w:szCs w:val="20"/>
                <w:color w:val="auto"/>
              </w:rPr>
            </w:pPr>
            <w:r>
              <w:rPr>
                <w:rFonts w:ascii="Arial" w:cs="Arial" w:eastAsia="Arial" w:hAnsi="Arial"/>
                <w:sz w:val="14"/>
                <w:szCs w:val="14"/>
                <w:color w:val="1252DE"/>
              </w:rPr>
              <w:t>Available for Sale</w:t>
            </w:r>
          </w:p>
        </w:tc>
        <w:tc>
          <w:tcPr>
            <w:tcW w:w="220" w:type="dxa"/>
            <w:vAlign w:val="bottom"/>
            <w:tcBorders>
              <w:top w:val="single" w:sz="8" w:color="1352DE"/>
            </w:tcBorders>
          </w:tcPr>
          <w:p>
            <w:pPr>
              <w:spacing w:after="0"/>
              <w:rPr>
                <w:sz w:val="18"/>
                <w:szCs w:val="18"/>
                <w:color w:val="auto"/>
              </w:rPr>
            </w:pPr>
          </w:p>
        </w:tc>
        <w:tc>
          <w:tcPr>
            <w:tcW w:w="180" w:type="dxa"/>
            <w:vAlign w:val="bottom"/>
            <w:tcBorders>
              <w:top w:val="single" w:sz="8" w:color="1352DE"/>
              <w:bottom w:val="single" w:sz="8" w:color="1352DE"/>
            </w:tcBorders>
          </w:tcPr>
          <w:p>
            <w:pPr>
              <w:spacing w:after="0"/>
              <w:rPr>
                <w:sz w:val="18"/>
                <w:szCs w:val="18"/>
                <w:color w:val="auto"/>
              </w:rPr>
            </w:pPr>
          </w:p>
        </w:tc>
        <w:tc>
          <w:tcPr>
            <w:tcW w:w="2460" w:type="dxa"/>
            <w:vAlign w:val="bottom"/>
            <w:tcBorders>
              <w:top w:val="single" w:sz="8" w:color="1352DE"/>
              <w:bottom w:val="single" w:sz="8" w:color="1352DE"/>
            </w:tcBorders>
            <w:gridSpan w:val="3"/>
          </w:tcPr>
          <w:p>
            <w:pPr>
              <w:jc w:val="right"/>
              <w:ind w:right="548"/>
              <w:spacing w:after="0"/>
              <w:rPr>
                <w:sz w:val="20"/>
                <w:szCs w:val="20"/>
                <w:color w:val="auto"/>
              </w:rPr>
            </w:pPr>
            <w:r>
              <w:rPr>
                <w:rFonts w:ascii="Arial" w:cs="Arial" w:eastAsia="Arial" w:hAnsi="Arial"/>
                <w:sz w:val="14"/>
                <w:szCs w:val="14"/>
                <w:color w:val="1252DE"/>
              </w:rPr>
              <w:t>Other Bond Securities</w:t>
            </w:r>
          </w:p>
        </w:tc>
        <w:tc>
          <w:tcPr>
            <w:tcW w:w="200" w:type="dxa"/>
            <w:vAlign w:val="bottom"/>
            <w:tcBorders>
              <w:top w:val="single" w:sz="8" w:color="1352DE"/>
            </w:tcBorders>
          </w:tcPr>
          <w:p>
            <w:pPr>
              <w:spacing w:after="0"/>
              <w:rPr>
                <w:sz w:val="18"/>
                <w:szCs w:val="18"/>
                <w:color w:val="auto"/>
              </w:rPr>
            </w:pPr>
          </w:p>
        </w:tc>
        <w:tc>
          <w:tcPr>
            <w:tcW w:w="180" w:type="dxa"/>
            <w:vAlign w:val="bottom"/>
            <w:tcBorders>
              <w:top w:val="single" w:sz="8" w:color="1352DE"/>
              <w:bottom w:val="single" w:sz="8" w:color="1352DE"/>
            </w:tcBorders>
          </w:tcPr>
          <w:p>
            <w:pPr>
              <w:spacing w:after="0"/>
              <w:rPr>
                <w:sz w:val="18"/>
                <w:szCs w:val="18"/>
                <w:color w:val="auto"/>
              </w:rPr>
            </w:pPr>
          </w:p>
        </w:tc>
        <w:tc>
          <w:tcPr>
            <w:tcW w:w="128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Total</w:t>
            </w:r>
          </w:p>
        </w:tc>
        <w:tc>
          <w:tcPr>
            <w:tcW w:w="160" w:type="dxa"/>
            <w:vAlign w:val="bottom"/>
            <w:tcBorders>
              <w:top w:val="single" w:sz="8" w:color="1352DE"/>
              <w:bottom w:val="single" w:sz="8" w:color="1352DE"/>
            </w:tcBorders>
          </w:tcPr>
          <w:p>
            <w:pPr>
              <w:spacing w:after="0"/>
              <w:rPr>
                <w:sz w:val="18"/>
                <w:szCs w:val="18"/>
                <w:color w:val="auto"/>
              </w:rPr>
            </w:pPr>
          </w:p>
        </w:tc>
        <w:tc>
          <w:tcPr>
            <w:tcW w:w="1000" w:type="dxa"/>
            <w:vAlign w:val="bottom"/>
            <w:tcBorders>
              <w:top w:val="single" w:sz="8" w:color="1352DE"/>
              <w:bottom w:val="single" w:sz="8" w:color="1352DE"/>
            </w:tcBorders>
          </w:tcPr>
          <w:p>
            <w:pPr>
              <w:spacing w:after="0"/>
              <w:rPr>
                <w:sz w:val="18"/>
                <w:szCs w:val="18"/>
                <w:color w:val="auto"/>
              </w:rPr>
            </w:pPr>
          </w:p>
        </w:tc>
      </w:tr>
      <w:tr>
        <w:trPr>
          <w:trHeight w:val="146"/>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48"/>
              <w:spacing w:after="0" w:line="146" w:lineRule="exact"/>
              <w:rPr>
                <w:sz w:val="20"/>
                <w:szCs w:val="20"/>
                <w:color w:val="auto"/>
              </w:rPr>
            </w:pPr>
            <w:r>
              <w:rPr>
                <w:rFonts w:ascii="Arial" w:cs="Arial" w:eastAsia="Arial" w:hAnsi="Arial"/>
                <w:sz w:val="14"/>
                <w:szCs w:val="14"/>
                <w:b w:val="1"/>
                <w:bCs w:val="1"/>
                <w:color w:val="1252DE"/>
              </w:rPr>
              <w:t>September 30,</w:t>
            </w:r>
          </w:p>
        </w:tc>
        <w:tc>
          <w:tcPr>
            <w:tcW w:w="280" w:type="dxa"/>
            <w:vAlign w:val="bottom"/>
          </w:tcPr>
          <w:p>
            <w:pPr>
              <w:spacing w:after="0"/>
              <w:rPr>
                <w:sz w:val="12"/>
                <w:szCs w:val="12"/>
                <w:color w:val="auto"/>
              </w:rPr>
            </w:pPr>
          </w:p>
        </w:tc>
        <w:tc>
          <w:tcPr>
            <w:tcW w:w="122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1252DE"/>
              </w:rPr>
              <w:t>December 31,</w:t>
            </w:r>
          </w:p>
        </w:tc>
        <w:tc>
          <w:tcPr>
            <w:tcW w:w="180" w:type="dxa"/>
            <w:vAlign w:val="bottom"/>
          </w:tcPr>
          <w:p>
            <w:pPr>
              <w:spacing w:after="0"/>
              <w:rPr>
                <w:sz w:val="12"/>
                <w:szCs w:val="12"/>
                <w:color w:val="auto"/>
              </w:rPr>
            </w:pPr>
          </w:p>
        </w:tc>
        <w:tc>
          <w:tcPr>
            <w:tcW w:w="1180" w:type="dxa"/>
            <w:vAlign w:val="bottom"/>
          </w:tcPr>
          <w:p>
            <w:pPr>
              <w:jc w:val="right"/>
              <w:ind w:right="48"/>
              <w:spacing w:after="0" w:line="146" w:lineRule="exact"/>
              <w:rPr>
                <w:sz w:val="20"/>
                <w:szCs w:val="20"/>
                <w:color w:val="auto"/>
              </w:rPr>
            </w:pPr>
            <w:r>
              <w:rPr>
                <w:rFonts w:ascii="Arial" w:cs="Arial" w:eastAsia="Arial" w:hAnsi="Arial"/>
                <w:sz w:val="14"/>
                <w:szCs w:val="14"/>
                <w:b w:val="1"/>
                <w:bCs w:val="1"/>
                <w:color w:val="1252DE"/>
              </w:rPr>
              <w:t>September 30,</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1252DE"/>
              </w:rPr>
              <w:t>December 31,</w:t>
            </w:r>
          </w:p>
        </w:tc>
        <w:tc>
          <w:tcPr>
            <w:tcW w:w="180" w:type="dxa"/>
            <w:vAlign w:val="bottom"/>
          </w:tcPr>
          <w:p>
            <w:pPr>
              <w:spacing w:after="0"/>
              <w:rPr>
                <w:sz w:val="12"/>
                <w:szCs w:val="12"/>
                <w:color w:val="auto"/>
              </w:rPr>
            </w:pPr>
          </w:p>
        </w:tc>
        <w:tc>
          <w:tcPr>
            <w:tcW w:w="1280" w:type="dxa"/>
            <w:vAlign w:val="bottom"/>
          </w:tcPr>
          <w:p>
            <w:pPr>
              <w:jc w:val="right"/>
              <w:ind w:right="148"/>
              <w:spacing w:after="0" w:line="146" w:lineRule="exact"/>
              <w:rPr>
                <w:sz w:val="20"/>
                <w:szCs w:val="20"/>
                <w:color w:val="auto"/>
              </w:rPr>
            </w:pPr>
            <w:r>
              <w:rPr>
                <w:rFonts w:ascii="Arial" w:cs="Arial" w:eastAsia="Arial" w:hAnsi="Arial"/>
                <w:sz w:val="14"/>
                <w:szCs w:val="14"/>
                <w:b w:val="1"/>
                <w:bCs w:val="1"/>
                <w:color w:val="1252DE"/>
              </w:rPr>
              <w:t>September 30,</w:t>
            </w:r>
          </w:p>
        </w:tc>
        <w:tc>
          <w:tcPr>
            <w:tcW w:w="16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4"/>
                <w:szCs w:val="14"/>
                <w:color w:val="1252DE"/>
              </w:rPr>
              <w:t>December 31,</w:t>
            </w:r>
          </w:p>
        </w:tc>
      </w:tr>
      <w:tr>
        <w:trPr>
          <w:trHeight w:val="189"/>
        </w:trPr>
        <w:tc>
          <w:tcPr>
            <w:tcW w:w="292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60" w:type="dxa"/>
            <w:vAlign w:val="bottom"/>
            <w:tcBorders>
              <w:bottom w:val="single" w:sz="8" w:color="1352DE"/>
            </w:tcBorders>
          </w:tcPr>
          <w:p>
            <w:pPr>
              <w:spacing w:after="0"/>
              <w:rPr>
                <w:sz w:val="16"/>
                <w:szCs w:val="16"/>
                <w:color w:val="auto"/>
              </w:rPr>
            </w:pPr>
          </w:p>
        </w:tc>
        <w:tc>
          <w:tcPr>
            <w:tcW w:w="11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28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2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11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2026</w:t>
            </w:r>
          </w:p>
        </w:tc>
        <w:tc>
          <w:tcPr>
            <w:tcW w:w="28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00" w:type="dxa"/>
            <w:vAlign w:val="bottom"/>
            <w:tcBorders>
              <w:bottom w:val="single" w:sz="8" w:color="1352DE"/>
            </w:tcBorders>
          </w:tcPr>
          <w:p>
            <w:pPr>
              <w:spacing w:after="0"/>
              <w:rPr>
                <w:sz w:val="16"/>
                <w:szCs w:val="16"/>
                <w:color w:val="auto"/>
              </w:rPr>
            </w:pPr>
          </w:p>
        </w:tc>
        <w:tc>
          <w:tcPr>
            <w:tcW w:w="180" w:type="dxa"/>
            <w:vAlign w:val="bottom"/>
            <w:tcBorders>
              <w:bottom w:val="single" w:sz="8" w:color="1352DE"/>
            </w:tcBorders>
          </w:tcPr>
          <w:p>
            <w:pPr>
              <w:spacing w:after="0"/>
              <w:rPr>
                <w:sz w:val="16"/>
                <w:szCs w:val="16"/>
                <w:color w:val="auto"/>
              </w:rPr>
            </w:pPr>
          </w:p>
        </w:tc>
        <w:tc>
          <w:tcPr>
            <w:tcW w:w="128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2026</w:t>
            </w:r>
          </w:p>
        </w:tc>
        <w:tc>
          <w:tcPr>
            <w:tcW w:w="16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r>
      <w:tr>
        <w:trPr>
          <w:trHeight w:val="194"/>
        </w:trPr>
        <w:tc>
          <w:tcPr>
            <w:tcW w:w="2920" w:type="dxa"/>
            <w:vAlign w:val="bottom"/>
          </w:tcPr>
          <w:p>
            <w:pPr>
              <w:ind w:left="140"/>
              <w:spacing w:after="0"/>
              <w:rPr>
                <w:sz w:val="20"/>
                <w:szCs w:val="20"/>
                <w:color w:val="auto"/>
              </w:rPr>
            </w:pPr>
            <w:r>
              <w:rPr>
                <w:rFonts w:ascii="Arial" w:cs="Arial" w:eastAsia="Arial" w:hAnsi="Arial"/>
                <w:sz w:val="14"/>
                <w:szCs w:val="14"/>
                <w:color w:val="auto"/>
              </w:rPr>
              <w:t>BBB</w:t>
            </w:r>
          </w:p>
        </w:tc>
        <w:tc>
          <w:tcPr>
            <w:tcW w:w="16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16,214</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14,976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159</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16,373</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15,153</w:t>
            </w:r>
          </w:p>
        </w:tc>
      </w:tr>
      <w:tr>
        <w:trPr>
          <w:trHeight w:val="203"/>
        </w:trPr>
        <w:tc>
          <w:tcPr>
            <w:tcW w:w="2920" w:type="dxa"/>
            <w:vAlign w:val="bottom"/>
          </w:tcPr>
          <w:p>
            <w:pPr>
              <w:ind w:left="140"/>
              <w:spacing w:after="0"/>
              <w:rPr>
                <w:sz w:val="20"/>
                <w:szCs w:val="20"/>
                <w:color w:val="auto"/>
              </w:rPr>
            </w:pPr>
            <w:r>
              <w:rPr>
                <w:rFonts w:ascii="Arial" w:cs="Arial" w:eastAsia="Arial" w:hAnsi="Arial"/>
                <w:sz w:val="14"/>
                <w:szCs w:val="14"/>
                <w:color w:val="auto"/>
              </w:rPr>
              <w:t>Below investment grade</w:t>
            </w:r>
          </w:p>
        </w:tc>
        <w:tc>
          <w:tcPr>
            <w:tcW w:w="16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1252DE"/>
              </w:rPr>
              <w:t>5,874</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5,831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1252DE"/>
              </w:rPr>
              <w:t>30</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1252DE"/>
              </w:rPr>
              <w:t>5,904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5,872</w:t>
            </w:r>
          </w:p>
        </w:tc>
      </w:tr>
      <w:tr>
        <w:trPr>
          <w:trHeight w:val="203"/>
        </w:trPr>
        <w:tc>
          <w:tcPr>
            <w:tcW w:w="292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Non-rated</w:t>
            </w:r>
          </w:p>
        </w:tc>
        <w:tc>
          <w:tcPr>
            <w:tcW w:w="160" w:type="dxa"/>
            <w:vAlign w:val="bottom"/>
            <w:tcBorders>
              <w:bottom w:val="single" w:sz="8" w:color="1352DE"/>
            </w:tcBorders>
          </w:tcPr>
          <w:p>
            <w:pPr>
              <w:spacing w:after="0"/>
              <w:rPr>
                <w:sz w:val="17"/>
                <w:szCs w:val="17"/>
                <w:color w:val="auto"/>
              </w:rPr>
            </w:pPr>
          </w:p>
        </w:tc>
        <w:tc>
          <w:tcPr>
            <w:tcW w:w="118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65</w:t>
            </w:r>
          </w:p>
        </w:tc>
        <w:tc>
          <w:tcPr>
            <w:tcW w:w="280" w:type="dxa"/>
            <w:vAlign w:val="bottom"/>
            <w:tcBorders>
              <w:bottom w:val="single" w:sz="8" w:color="1352DE"/>
            </w:tcBorders>
          </w:tcPr>
          <w:p>
            <w:pPr>
              <w:spacing w:after="0"/>
              <w:rPr>
                <w:sz w:val="17"/>
                <w:szCs w:val="17"/>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94</w:t>
            </w:r>
          </w:p>
        </w:tc>
        <w:tc>
          <w:tcPr>
            <w:tcW w:w="22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spacing w:after="0"/>
              <w:rPr>
                <w:sz w:val="17"/>
                <w:szCs w:val="17"/>
                <w:color w:val="auto"/>
              </w:rPr>
            </w:pPr>
          </w:p>
        </w:tc>
        <w:tc>
          <w:tcPr>
            <w:tcW w:w="11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2</w:t>
            </w:r>
          </w:p>
        </w:tc>
        <w:tc>
          <w:tcPr>
            <w:tcW w:w="280" w:type="dxa"/>
            <w:vAlign w:val="bottom"/>
            <w:tcBorders>
              <w:bottom w:val="single" w:sz="8" w:color="1352DE"/>
            </w:tcBorders>
          </w:tcPr>
          <w:p>
            <w:pPr>
              <w:spacing w:after="0"/>
              <w:rPr>
                <w:sz w:val="17"/>
                <w:szCs w:val="17"/>
                <w:color w:val="auto"/>
              </w:rPr>
            </w:pPr>
          </w:p>
        </w:tc>
        <w:tc>
          <w:tcPr>
            <w:tcW w:w="1200" w:type="dxa"/>
            <w:vAlign w:val="bottom"/>
            <w:tcBorders>
              <w:bottom w:val="single" w:sz="8" w:color="1352DE"/>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1352DE"/>
            </w:tcBorders>
          </w:tcPr>
          <w:p>
            <w:pPr>
              <w:spacing w:after="0"/>
              <w:rPr>
                <w:sz w:val="17"/>
                <w:szCs w:val="17"/>
                <w:color w:val="auto"/>
              </w:rPr>
            </w:pPr>
          </w:p>
        </w:tc>
        <w:tc>
          <w:tcPr>
            <w:tcW w:w="128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2DE"/>
              </w:rPr>
              <w:t>67</w:t>
            </w:r>
          </w:p>
        </w:tc>
        <w:tc>
          <w:tcPr>
            <w:tcW w:w="160" w:type="dxa"/>
            <w:vAlign w:val="bottom"/>
            <w:tcBorders>
              <w:bottom w:val="single" w:sz="8" w:color="1352DE"/>
            </w:tcBorders>
          </w:tcPr>
          <w:p>
            <w:pPr>
              <w:spacing w:after="0"/>
              <w:rPr>
                <w:sz w:val="17"/>
                <w:szCs w:val="17"/>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94</w:t>
            </w:r>
          </w:p>
        </w:tc>
      </w:tr>
      <w:tr>
        <w:trPr>
          <w:trHeight w:val="196"/>
        </w:trPr>
        <w:tc>
          <w:tcPr>
            <w:tcW w:w="292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w:t>
            </w:r>
          </w:p>
        </w:tc>
        <w:tc>
          <w:tcPr>
            <w:tcW w:w="1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w w:val="76"/>
              </w:rPr>
              <w:t>$</w:t>
            </w:r>
          </w:p>
        </w:tc>
        <w:tc>
          <w:tcPr>
            <w:tcW w:w="118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71,642</w:t>
            </w:r>
          </w:p>
        </w:tc>
        <w:tc>
          <w:tcPr>
            <w:tcW w:w="2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71,032</w:t>
            </w:r>
          </w:p>
        </w:tc>
        <w:tc>
          <w:tcPr>
            <w:tcW w:w="22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118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649</w:t>
            </w:r>
          </w:p>
        </w:tc>
        <w:tc>
          <w:tcPr>
            <w:tcW w:w="2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741</w:t>
            </w:r>
          </w:p>
        </w:tc>
        <w:tc>
          <w:tcPr>
            <w:tcW w:w="200" w:type="dxa"/>
            <w:vAlign w:val="bottom"/>
            <w:tcBorders>
              <w:bottom w:val="single" w:sz="8" w:color="1352DE"/>
            </w:tcBorders>
          </w:tcPr>
          <w:p>
            <w:pPr>
              <w:spacing w:after="0"/>
              <w:rPr>
                <w:sz w:val="17"/>
                <w:szCs w:val="17"/>
                <w:color w:val="auto"/>
              </w:rPr>
            </w:pPr>
          </w:p>
        </w:tc>
        <w:tc>
          <w:tcPr>
            <w:tcW w:w="18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w:t>
            </w:r>
          </w:p>
        </w:tc>
        <w:tc>
          <w:tcPr>
            <w:tcW w:w="128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2DE"/>
              </w:rPr>
              <w:t>72,291</w:t>
            </w:r>
          </w:p>
        </w:tc>
        <w:tc>
          <w:tcPr>
            <w:tcW w:w="16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71,773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2343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7"/>
          <w:szCs w:val="27"/>
          <w:color w:val="001871"/>
        </w:rPr>
        <w:t>Insurance Reserves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LIABILITY FOR UNPAID LOSSES AND LOSS ADJUSTMENT EXPENSES (LOSS RESERVES)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components of our gross and net loss reserves by segment and major lines of business</w:t>
      </w:r>
      <w:r>
        <w:rPr>
          <w:rFonts w:ascii="Arial" w:cs="Arial" w:eastAsia="Arial" w:hAnsi="Arial"/>
          <w:sz w:val="21"/>
          <w:szCs w:val="21"/>
          <w:b w:val="1"/>
          <w:bCs w:val="1"/>
          <w:color w:val="1352DE"/>
          <w:vertAlign w:val="superscript"/>
        </w:rPr>
        <w:t>(a)</w:t>
      </w:r>
      <w:r>
        <w:rPr>
          <w:rFonts w:ascii="Arial" w:cs="Arial" w:eastAsia="Arial" w:hAnsi="Arial"/>
          <w:sz w:val="16"/>
          <w:szCs w:val="16"/>
          <w:b w:val="1"/>
          <w:bCs w:val="1"/>
          <w:color w:val="1352DE"/>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80" w:type="dxa"/>
            <w:vAlign w:val="bottom"/>
            <w:tcBorders>
              <w:top w:val="single" w:sz="8" w:color="1352DE"/>
            </w:tcBorders>
          </w:tcPr>
          <w:p>
            <w:pPr>
              <w:spacing w:after="0"/>
              <w:rPr>
                <w:sz w:val="17"/>
                <w:szCs w:val="17"/>
                <w:color w:val="auto"/>
              </w:rPr>
            </w:pPr>
          </w:p>
        </w:tc>
        <w:tc>
          <w:tcPr>
            <w:tcW w:w="240" w:type="dxa"/>
            <w:vAlign w:val="bottom"/>
            <w:tcBorders>
              <w:top w:val="single" w:sz="8" w:color="1352DE"/>
              <w:bottom w:val="single" w:sz="8" w:color="1352DE"/>
            </w:tcBorders>
          </w:tcPr>
          <w:p>
            <w:pPr>
              <w:spacing w:after="0"/>
              <w:rPr>
                <w:sz w:val="17"/>
                <w:szCs w:val="17"/>
                <w:color w:val="auto"/>
              </w:rPr>
            </w:pPr>
          </w:p>
        </w:tc>
        <w:tc>
          <w:tcPr>
            <w:tcW w:w="760" w:type="dxa"/>
            <w:vAlign w:val="bottom"/>
            <w:tcBorders>
              <w:top w:val="single" w:sz="8" w:color="1352DE"/>
              <w:bottom w:val="single" w:sz="8" w:color="1352DE"/>
            </w:tcBorders>
          </w:tcPr>
          <w:p>
            <w:pPr>
              <w:spacing w:after="0"/>
              <w:rPr>
                <w:sz w:val="17"/>
                <w:szCs w:val="17"/>
                <w:color w:val="auto"/>
              </w:rPr>
            </w:pPr>
          </w:p>
        </w:tc>
        <w:tc>
          <w:tcPr>
            <w:tcW w:w="1380" w:type="dxa"/>
            <w:vAlign w:val="bottom"/>
            <w:tcBorders>
              <w:top w:val="single" w:sz="8" w:color="1352DE"/>
              <w:bottom w:val="single" w:sz="8" w:color="1352DE"/>
            </w:tcBorders>
            <w:gridSpan w:val="2"/>
          </w:tcPr>
          <w:p>
            <w:pPr>
              <w:jc w:val="right"/>
              <w:spacing w:after="0"/>
              <w:rPr>
                <w:sz w:val="20"/>
                <w:szCs w:val="20"/>
                <w:color w:val="auto"/>
              </w:rPr>
            </w:pPr>
            <w:r>
              <w:rPr>
                <w:rFonts w:ascii="Arial" w:cs="Arial" w:eastAsia="Arial" w:hAnsi="Arial"/>
                <w:sz w:val="13"/>
                <w:szCs w:val="13"/>
                <w:b w:val="1"/>
                <w:bCs w:val="1"/>
                <w:color w:val="1252DE"/>
              </w:rPr>
              <w:t>September 30, 2026</w:t>
            </w:r>
          </w:p>
        </w:tc>
        <w:tc>
          <w:tcPr>
            <w:tcW w:w="200" w:type="dxa"/>
            <w:vAlign w:val="bottom"/>
            <w:tcBorders>
              <w:top w:val="single" w:sz="8" w:color="1352DE"/>
              <w:bottom w:val="single" w:sz="8" w:color="1352DE"/>
            </w:tcBorders>
          </w:tcPr>
          <w:p>
            <w:pPr>
              <w:spacing w:after="0"/>
              <w:rPr>
                <w:sz w:val="17"/>
                <w:szCs w:val="17"/>
                <w:color w:val="auto"/>
              </w:rPr>
            </w:pPr>
          </w:p>
        </w:tc>
        <w:tc>
          <w:tcPr>
            <w:tcW w:w="780" w:type="dxa"/>
            <w:vAlign w:val="bottom"/>
            <w:tcBorders>
              <w:top w:val="single" w:sz="8" w:color="1352DE"/>
              <w:bottom w:val="single" w:sz="8" w:color="1352DE"/>
            </w:tcBorders>
          </w:tcPr>
          <w:p>
            <w:pPr>
              <w:spacing w:after="0"/>
              <w:rPr>
                <w:sz w:val="17"/>
                <w:szCs w:val="17"/>
                <w:color w:val="auto"/>
              </w:rPr>
            </w:pPr>
          </w:p>
        </w:tc>
        <w:tc>
          <w:tcPr>
            <w:tcW w:w="140" w:type="dxa"/>
            <w:vAlign w:val="bottom"/>
            <w:tcBorders>
              <w:top w:val="single" w:sz="8" w:color="1352DE"/>
            </w:tcBorders>
          </w:tcPr>
          <w:p>
            <w:pPr>
              <w:spacing w:after="0"/>
              <w:rPr>
                <w:sz w:val="17"/>
                <w:szCs w:val="17"/>
                <w:color w:val="auto"/>
              </w:rPr>
            </w:pPr>
          </w:p>
        </w:tc>
        <w:tc>
          <w:tcPr>
            <w:tcW w:w="240" w:type="dxa"/>
            <w:vAlign w:val="bottom"/>
            <w:tcBorders>
              <w:top w:val="single" w:sz="8" w:color="1352DE"/>
              <w:bottom w:val="single" w:sz="8" w:color="1352DE"/>
            </w:tcBorders>
          </w:tcPr>
          <w:p>
            <w:pPr>
              <w:spacing w:after="0"/>
              <w:rPr>
                <w:sz w:val="17"/>
                <w:szCs w:val="17"/>
                <w:color w:val="auto"/>
              </w:rPr>
            </w:pPr>
          </w:p>
        </w:tc>
        <w:tc>
          <w:tcPr>
            <w:tcW w:w="760" w:type="dxa"/>
            <w:vAlign w:val="bottom"/>
            <w:tcBorders>
              <w:top w:val="single" w:sz="8" w:color="1352DE"/>
              <w:bottom w:val="single" w:sz="8" w:color="1352DE"/>
            </w:tcBorders>
          </w:tcPr>
          <w:p>
            <w:pPr>
              <w:spacing w:after="0"/>
              <w:rPr>
                <w:sz w:val="17"/>
                <w:szCs w:val="17"/>
                <w:color w:val="auto"/>
              </w:rPr>
            </w:pPr>
          </w:p>
        </w:tc>
        <w:tc>
          <w:tcPr>
            <w:tcW w:w="1340" w:type="dxa"/>
            <w:vAlign w:val="bottom"/>
            <w:tcBorders>
              <w:top w:val="single" w:sz="8" w:color="1352DE"/>
              <w:bottom w:val="single" w:sz="8" w:color="1352DE"/>
            </w:tcBorders>
            <w:gridSpan w:val="2"/>
          </w:tcPr>
          <w:p>
            <w:pPr>
              <w:jc w:val="right"/>
              <w:ind w:right="13"/>
              <w:spacing w:after="0"/>
              <w:rPr>
                <w:sz w:val="20"/>
                <w:szCs w:val="20"/>
                <w:color w:val="auto"/>
              </w:rPr>
            </w:pPr>
            <w:r>
              <w:rPr>
                <w:rFonts w:ascii="Arial" w:cs="Arial" w:eastAsia="Arial" w:hAnsi="Arial"/>
                <w:sz w:val="13"/>
                <w:szCs w:val="13"/>
                <w:color w:val="1252DE"/>
              </w:rPr>
              <w:t>December 31, 2025</w:t>
            </w:r>
          </w:p>
        </w:tc>
        <w:tc>
          <w:tcPr>
            <w:tcW w:w="220" w:type="dxa"/>
            <w:vAlign w:val="bottom"/>
            <w:tcBorders>
              <w:top w:val="single" w:sz="8" w:color="1352DE"/>
              <w:bottom w:val="single" w:sz="8" w:color="1352DE"/>
            </w:tcBorders>
          </w:tcPr>
          <w:p>
            <w:pPr>
              <w:spacing w:after="0"/>
              <w:rPr>
                <w:sz w:val="17"/>
                <w:szCs w:val="17"/>
                <w:color w:val="auto"/>
              </w:rPr>
            </w:pPr>
          </w:p>
        </w:tc>
        <w:tc>
          <w:tcPr>
            <w:tcW w:w="780" w:type="dxa"/>
            <w:vAlign w:val="bottom"/>
            <w:tcBorders>
              <w:top w:val="single" w:sz="8" w:color="1352DE"/>
              <w:bottom w:val="single" w:sz="8" w:color="1352DE"/>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380" w:type="dxa"/>
            <w:vAlign w:val="bottom"/>
            <w:vMerge w:val="restart"/>
          </w:tcPr>
          <w:p>
            <w:pPr>
              <w:ind w:left="20"/>
              <w:spacing w:after="0"/>
              <w:rPr>
                <w:sz w:val="20"/>
                <w:szCs w:val="20"/>
                <w:color w:val="auto"/>
              </w:rPr>
            </w:pPr>
            <w:r>
              <w:rPr>
                <w:rFonts w:ascii="Arial" w:cs="Arial" w:eastAsia="Arial" w:hAnsi="Arial"/>
                <w:sz w:val="13"/>
                <w:szCs w:val="13"/>
                <w:i w:val="1"/>
                <w:iCs w:val="1"/>
                <w:color w:val="1252DE"/>
              </w:rPr>
              <w:t>(in millions)</w:t>
            </w:r>
          </w:p>
        </w:tc>
        <w:tc>
          <w:tcPr>
            <w:tcW w:w="2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1252DE"/>
              </w:rPr>
              <w:t>Net Loss</w:t>
            </w:r>
          </w:p>
        </w:tc>
        <w:tc>
          <w:tcPr>
            <w:tcW w:w="340" w:type="dxa"/>
            <w:vAlign w:val="bottom"/>
          </w:tcPr>
          <w:p>
            <w:pPr>
              <w:spacing w:after="0"/>
              <w:rPr>
                <w:sz w:val="11"/>
                <w:szCs w:val="11"/>
                <w:color w:val="auto"/>
              </w:rPr>
            </w:pPr>
          </w:p>
        </w:tc>
        <w:tc>
          <w:tcPr>
            <w:tcW w:w="1040" w:type="dxa"/>
            <w:vAlign w:val="bottom"/>
          </w:tcPr>
          <w:p>
            <w:pPr>
              <w:jc w:val="right"/>
              <w:ind w:right="73"/>
              <w:spacing w:after="0" w:line="131" w:lineRule="exact"/>
              <w:rPr>
                <w:sz w:val="20"/>
                <w:szCs w:val="20"/>
                <w:color w:val="auto"/>
              </w:rPr>
            </w:pPr>
            <w:r>
              <w:rPr>
                <w:rFonts w:ascii="Arial" w:cs="Arial" w:eastAsia="Arial" w:hAnsi="Arial"/>
                <w:sz w:val="13"/>
                <w:szCs w:val="13"/>
                <w:color w:val="1252DE"/>
              </w:rPr>
              <w:t>Reinsurance</w:t>
            </w:r>
          </w:p>
        </w:tc>
        <w:tc>
          <w:tcPr>
            <w:tcW w:w="200" w:type="dxa"/>
            <w:vAlign w:val="bottom"/>
          </w:tcPr>
          <w:p>
            <w:pPr>
              <w:spacing w:after="0"/>
              <w:rPr>
                <w:sz w:val="11"/>
                <w:szCs w:val="11"/>
                <w:color w:val="auto"/>
              </w:rPr>
            </w:pPr>
          </w:p>
        </w:tc>
        <w:tc>
          <w:tcPr>
            <w:tcW w:w="92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1252DE"/>
              </w:rPr>
              <w:t>Gross Loss</w:t>
            </w:r>
          </w:p>
        </w:tc>
        <w:tc>
          <w:tcPr>
            <w:tcW w:w="2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1252DE"/>
              </w:rPr>
              <w:t>Net Loss</w:t>
            </w:r>
          </w:p>
        </w:tc>
        <w:tc>
          <w:tcPr>
            <w:tcW w:w="340" w:type="dxa"/>
            <w:vAlign w:val="bottom"/>
          </w:tcPr>
          <w:p>
            <w:pPr>
              <w:spacing w:after="0"/>
              <w:rPr>
                <w:sz w:val="11"/>
                <w:szCs w:val="11"/>
                <w:color w:val="auto"/>
              </w:rPr>
            </w:pPr>
          </w:p>
        </w:tc>
        <w:tc>
          <w:tcPr>
            <w:tcW w:w="1000" w:type="dxa"/>
            <w:vAlign w:val="bottom"/>
          </w:tcPr>
          <w:p>
            <w:pPr>
              <w:jc w:val="right"/>
              <w:ind w:right="33"/>
              <w:spacing w:after="0" w:line="131" w:lineRule="exact"/>
              <w:rPr>
                <w:sz w:val="20"/>
                <w:szCs w:val="20"/>
                <w:color w:val="auto"/>
              </w:rPr>
            </w:pPr>
            <w:r>
              <w:rPr>
                <w:rFonts w:ascii="Arial" w:cs="Arial" w:eastAsia="Arial" w:hAnsi="Arial"/>
                <w:sz w:val="13"/>
                <w:szCs w:val="13"/>
                <w:color w:val="1252DE"/>
              </w:rPr>
              <w:t>Reinsurance</w:t>
            </w:r>
          </w:p>
        </w:tc>
        <w:tc>
          <w:tcPr>
            <w:tcW w:w="22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1252DE"/>
              </w:rPr>
              <w:t>Gross Loss</w:t>
            </w:r>
          </w:p>
        </w:tc>
        <w:tc>
          <w:tcPr>
            <w:tcW w:w="0" w:type="dxa"/>
            <w:vAlign w:val="bottom"/>
          </w:tcPr>
          <w:p>
            <w:pPr>
              <w:spacing w:after="0"/>
              <w:rPr>
                <w:sz w:val="1"/>
                <w:szCs w:val="1"/>
                <w:color w:val="auto"/>
              </w:rPr>
            </w:pPr>
          </w:p>
        </w:tc>
      </w:tr>
      <w:tr>
        <w:trPr>
          <w:trHeight w:val="182"/>
        </w:trPr>
        <w:tc>
          <w:tcPr>
            <w:tcW w:w="4380" w:type="dxa"/>
            <w:vAlign w:val="bottom"/>
            <w:tcBorders>
              <w:bottom w:val="single" w:sz="8" w:color="1352DE"/>
            </w:tcBorders>
            <w:vMerge w:val="continue"/>
          </w:tcPr>
          <w:p>
            <w:pPr>
              <w:spacing w:after="0"/>
              <w:rPr>
                <w:sz w:val="15"/>
                <w:szCs w:val="15"/>
                <w:color w:val="auto"/>
              </w:rPr>
            </w:pP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Reserves</w:t>
            </w:r>
          </w:p>
        </w:tc>
        <w:tc>
          <w:tcPr>
            <w:tcW w:w="340" w:type="dxa"/>
            <w:vAlign w:val="bottom"/>
            <w:tcBorders>
              <w:bottom w:val="single" w:sz="8" w:color="1352DE"/>
            </w:tcBorders>
          </w:tcPr>
          <w:p>
            <w:pPr>
              <w:spacing w:after="0"/>
              <w:rPr>
                <w:sz w:val="15"/>
                <w:szCs w:val="15"/>
                <w:color w:val="auto"/>
              </w:rPr>
            </w:pPr>
          </w:p>
        </w:tc>
        <w:tc>
          <w:tcPr>
            <w:tcW w:w="10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color w:val="1252DE"/>
              </w:rPr>
              <w:t>Recoverable</w:t>
            </w:r>
          </w:p>
        </w:tc>
        <w:tc>
          <w:tcPr>
            <w:tcW w:w="200" w:type="dxa"/>
            <w:vAlign w:val="bottom"/>
            <w:tcBorders>
              <w:bottom w:val="single" w:sz="8" w:color="1352DE"/>
            </w:tcBorders>
          </w:tcPr>
          <w:p>
            <w:pPr>
              <w:spacing w:after="0"/>
              <w:rPr>
                <w:sz w:val="15"/>
                <w:szCs w:val="15"/>
                <w:color w:val="auto"/>
              </w:rPr>
            </w:pPr>
          </w:p>
        </w:tc>
        <w:tc>
          <w:tcPr>
            <w:tcW w:w="920" w:type="dxa"/>
            <w:vAlign w:val="bottom"/>
            <w:tcBorders>
              <w:bottom w:val="single" w:sz="8" w:color="1352DE"/>
            </w:tcBorders>
            <w:gridSpan w:val="2"/>
          </w:tcPr>
          <w:p>
            <w:pPr>
              <w:jc w:val="right"/>
              <w:ind w:right="160"/>
              <w:spacing w:after="0"/>
              <w:rPr>
                <w:sz w:val="20"/>
                <w:szCs w:val="20"/>
                <w:color w:val="auto"/>
              </w:rPr>
            </w:pPr>
            <w:r>
              <w:rPr>
                <w:rFonts w:ascii="Arial" w:cs="Arial" w:eastAsia="Arial" w:hAnsi="Arial"/>
                <w:sz w:val="13"/>
                <w:szCs w:val="13"/>
                <w:color w:val="1252DE"/>
              </w:rPr>
              <w:t>Reserves</w:t>
            </w: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Reserves</w:t>
            </w:r>
          </w:p>
        </w:tc>
        <w:tc>
          <w:tcPr>
            <w:tcW w:w="34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1252DE"/>
              </w:rPr>
              <w:t>Recoverable</w:t>
            </w:r>
          </w:p>
        </w:tc>
        <w:tc>
          <w:tcPr>
            <w:tcW w:w="22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1252DE"/>
              </w:rPr>
              <w:t>Reserves</w:t>
            </w:r>
          </w:p>
        </w:tc>
        <w:tc>
          <w:tcPr>
            <w:tcW w:w="0" w:type="dxa"/>
            <w:vAlign w:val="bottom"/>
          </w:tcPr>
          <w:p>
            <w:pPr>
              <w:spacing w:after="0"/>
              <w:rPr>
                <w:sz w:val="1"/>
                <w:szCs w:val="1"/>
                <w:color w:val="auto"/>
              </w:rPr>
            </w:pPr>
          </w:p>
        </w:tc>
      </w:tr>
      <w:tr>
        <w:trPr>
          <w:trHeight w:val="186"/>
        </w:trPr>
        <w:tc>
          <w:tcPr>
            <w:tcW w:w="4380" w:type="dxa"/>
            <w:vAlign w:val="bottom"/>
          </w:tcPr>
          <w:p>
            <w:pPr>
              <w:ind w:left="20"/>
              <w:spacing w:after="0"/>
              <w:rPr>
                <w:sz w:val="20"/>
                <w:szCs w:val="20"/>
                <w:color w:val="auto"/>
              </w:rPr>
            </w:pPr>
            <w:r>
              <w:rPr>
                <w:rFonts w:ascii="Arial" w:cs="Arial" w:eastAsia="Arial" w:hAnsi="Arial"/>
                <w:sz w:val="13"/>
                <w:szCs w:val="13"/>
                <w:b w:val="1"/>
                <w:bCs w:val="1"/>
                <w:color w:val="1252DE"/>
              </w:rPr>
              <w:t>General Insurance:</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80" w:type="dxa"/>
            <w:vAlign w:val="bottom"/>
          </w:tcPr>
          <w:p>
            <w:pPr>
              <w:ind w:left="140"/>
              <w:spacing w:after="0"/>
              <w:rPr>
                <w:sz w:val="20"/>
                <w:szCs w:val="20"/>
                <w:color w:val="auto"/>
              </w:rPr>
            </w:pPr>
            <w:r>
              <w:rPr>
                <w:rFonts w:ascii="Arial" w:cs="Arial" w:eastAsia="Arial" w:hAnsi="Arial"/>
                <w:sz w:val="13"/>
                <w:szCs w:val="13"/>
                <w:b w:val="1"/>
                <w:bCs w:val="1"/>
                <w:color w:val="1352DE"/>
              </w:rPr>
              <w:t>North America Commercial:</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tcPr>
          <w:p>
            <w:pPr>
              <w:ind w:left="240"/>
              <w:spacing w:after="0"/>
              <w:rPr>
                <w:sz w:val="20"/>
                <w:szCs w:val="20"/>
                <w:color w:val="auto"/>
              </w:rPr>
            </w:pPr>
            <w:r>
              <w:rPr>
                <w:rFonts w:ascii="Arial" w:cs="Arial" w:eastAsia="Arial" w:hAnsi="Arial"/>
                <w:sz w:val="13"/>
                <w:szCs w:val="13"/>
                <w:color w:val="auto"/>
              </w:rPr>
              <w:t>U.S. Workers' Compensation (net of discount)</w:t>
            </w:r>
          </w:p>
        </w:tc>
        <w:tc>
          <w:tcPr>
            <w:tcW w:w="240" w:type="dxa"/>
            <w:vAlign w:val="bottom"/>
          </w:tcPr>
          <w:p>
            <w:pPr>
              <w:jc w:val="right"/>
              <w:ind w:right="73"/>
              <w:spacing w:after="0"/>
              <w:rPr>
                <w:sz w:val="20"/>
                <w:szCs w:val="20"/>
                <w:color w:val="auto"/>
              </w:rPr>
            </w:pPr>
            <w:r>
              <w:rPr>
                <w:rFonts w:ascii="Arial" w:cs="Arial" w:eastAsia="Arial" w:hAnsi="Arial"/>
                <w:sz w:val="13"/>
                <w:szCs w:val="13"/>
                <w:b w:val="1"/>
                <w:bCs w:val="1"/>
                <w:color w:val="1252DE"/>
              </w:rPr>
              <w:t>$</w:t>
            </w: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2,424</w:t>
            </w:r>
          </w:p>
        </w:tc>
        <w:tc>
          <w:tcPr>
            <w:tcW w:w="340" w:type="dxa"/>
            <w:vAlign w:val="bottom"/>
          </w:tcPr>
          <w:p>
            <w:pPr>
              <w:jc w:val="right"/>
              <w:ind w:right="73"/>
              <w:spacing w:after="0"/>
              <w:rPr>
                <w:sz w:val="20"/>
                <w:szCs w:val="20"/>
                <w:color w:val="auto"/>
              </w:rPr>
            </w:pPr>
            <w:r>
              <w:rPr>
                <w:rFonts w:ascii="Arial" w:cs="Arial" w:eastAsia="Arial" w:hAnsi="Arial"/>
                <w:sz w:val="13"/>
                <w:szCs w:val="13"/>
                <w:b w:val="1"/>
                <w:bCs w:val="1"/>
                <w:color w:val="1252DE"/>
              </w:rPr>
              <w:t>$</w:t>
            </w: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3,457</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1252DE"/>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5,881</w:t>
            </w:r>
          </w:p>
        </w:tc>
        <w:tc>
          <w:tcPr>
            <w:tcW w:w="14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2,273</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3,742</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6,015</w:t>
            </w:r>
          </w:p>
        </w:tc>
        <w:tc>
          <w:tcPr>
            <w:tcW w:w="0" w:type="dxa"/>
            <w:vAlign w:val="bottom"/>
          </w:tcPr>
          <w:p>
            <w:pPr>
              <w:spacing w:after="0"/>
              <w:rPr>
                <w:sz w:val="1"/>
                <w:szCs w:val="1"/>
                <w:color w:val="auto"/>
              </w:rPr>
            </w:pPr>
          </w:p>
        </w:tc>
      </w:tr>
      <w:tr>
        <w:trPr>
          <w:trHeight w:val="189"/>
        </w:trPr>
        <w:tc>
          <w:tcPr>
            <w:tcW w:w="4380" w:type="dxa"/>
            <w:vAlign w:val="bottom"/>
          </w:tcPr>
          <w:p>
            <w:pPr>
              <w:ind w:left="240"/>
              <w:spacing w:after="0"/>
              <w:rPr>
                <w:sz w:val="20"/>
                <w:szCs w:val="20"/>
                <w:color w:val="auto"/>
              </w:rPr>
            </w:pPr>
            <w:r>
              <w:rPr>
                <w:rFonts w:ascii="Arial" w:cs="Arial" w:eastAsia="Arial" w:hAnsi="Arial"/>
                <w:sz w:val="13"/>
                <w:szCs w:val="13"/>
                <w:color w:val="auto"/>
              </w:rPr>
              <w:t>U.S. Excess Casualty</w:t>
            </w: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3,310</w:t>
            </w:r>
          </w:p>
        </w:tc>
        <w:tc>
          <w:tcPr>
            <w:tcW w:w="34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2,654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5,964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3,153</w:t>
            </w:r>
          </w:p>
        </w:tc>
        <w:tc>
          <w:tcPr>
            <w:tcW w:w="340" w:type="dxa"/>
            <w:vAlign w:val="bottom"/>
          </w:tcPr>
          <w:p>
            <w:pPr>
              <w:spacing w:after="0"/>
              <w:rPr>
                <w:sz w:val="16"/>
                <w:szCs w:val="16"/>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2,961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6,114</w:t>
            </w:r>
          </w:p>
        </w:tc>
        <w:tc>
          <w:tcPr>
            <w:tcW w:w="0" w:type="dxa"/>
            <w:vAlign w:val="bottom"/>
          </w:tcPr>
          <w:p>
            <w:pPr>
              <w:spacing w:after="0"/>
              <w:rPr>
                <w:sz w:val="1"/>
                <w:szCs w:val="1"/>
                <w:color w:val="auto"/>
              </w:rPr>
            </w:pPr>
          </w:p>
        </w:tc>
      </w:tr>
      <w:tr>
        <w:trPr>
          <w:trHeight w:val="189"/>
        </w:trPr>
        <w:tc>
          <w:tcPr>
            <w:tcW w:w="4380" w:type="dxa"/>
            <w:vAlign w:val="bottom"/>
          </w:tcPr>
          <w:p>
            <w:pPr>
              <w:ind w:left="240"/>
              <w:spacing w:after="0"/>
              <w:rPr>
                <w:sz w:val="20"/>
                <w:szCs w:val="20"/>
                <w:color w:val="auto"/>
              </w:rPr>
            </w:pPr>
            <w:r>
              <w:rPr>
                <w:rFonts w:ascii="Arial" w:cs="Arial" w:eastAsia="Arial" w:hAnsi="Arial"/>
                <w:sz w:val="13"/>
                <w:szCs w:val="13"/>
                <w:color w:val="auto"/>
              </w:rPr>
              <w:t>U.S. Other Casualty</w:t>
            </w: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5,053</w:t>
            </w:r>
          </w:p>
        </w:tc>
        <w:tc>
          <w:tcPr>
            <w:tcW w:w="34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3,056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8,109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4,651</w:t>
            </w:r>
          </w:p>
        </w:tc>
        <w:tc>
          <w:tcPr>
            <w:tcW w:w="340" w:type="dxa"/>
            <w:vAlign w:val="bottom"/>
          </w:tcPr>
          <w:p>
            <w:pPr>
              <w:spacing w:after="0"/>
              <w:rPr>
                <w:sz w:val="16"/>
                <w:szCs w:val="16"/>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3,170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7,821</w:t>
            </w:r>
          </w:p>
        </w:tc>
        <w:tc>
          <w:tcPr>
            <w:tcW w:w="0" w:type="dxa"/>
            <w:vAlign w:val="bottom"/>
          </w:tcPr>
          <w:p>
            <w:pPr>
              <w:spacing w:after="0"/>
              <w:rPr>
                <w:sz w:val="1"/>
                <w:szCs w:val="1"/>
                <w:color w:val="auto"/>
              </w:rPr>
            </w:pPr>
          </w:p>
        </w:tc>
      </w:tr>
      <w:tr>
        <w:trPr>
          <w:trHeight w:val="189"/>
        </w:trPr>
        <w:tc>
          <w:tcPr>
            <w:tcW w:w="4380" w:type="dxa"/>
            <w:vAlign w:val="bottom"/>
          </w:tcPr>
          <w:p>
            <w:pPr>
              <w:ind w:left="240"/>
              <w:spacing w:after="0"/>
              <w:rPr>
                <w:sz w:val="20"/>
                <w:szCs w:val="20"/>
                <w:color w:val="auto"/>
              </w:rPr>
            </w:pPr>
            <w:r>
              <w:rPr>
                <w:rFonts w:ascii="Arial" w:cs="Arial" w:eastAsia="Arial" w:hAnsi="Arial"/>
                <w:sz w:val="13"/>
                <w:szCs w:val="13"/>
                <w:color w:val="auto"/>
              </w:rPr>
              <w:t>U.S. Financial Lines</w:t>
            </w: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5,038</w:t>
            </w:r>
          </w:p>
        </w:tc>
        <w:tc>
          <w:tcPr>
            <w:tcW w:w="34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1,328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6,366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5,270</w:t>
            </w:r>
          </w:p>
        </w:tc>
        <w:tc>
          <w:tcPr>
            <w:tcW w:w="340" w:type="dxa"/>
            <w:vAlign w:val="bottom"/>
          </w:tcPr>
          <w:p>
            <w:pPr>
              <w:spacing w:after="0"/>
              <w:rPr>
                <w:sz w:val="16"/>
                <w:szCs w:val="16"/>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1,516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6,786</w:t>
            </w:r>
          </w:p>
        </w:tc>
        <w:tc>
          <w:tcPr>
            <w:tcW w:w="0" w:type="dxa"/>
            <w:vAlign w:val="bottom"/>
          </w:tcPr>
          <w:p>
            <w:pPr>
              <w:spacing w:after="0"/>
              <w:rPr>
                <w:sz w:val="1"/>
                <w:szCs w:val="1"/>
                <w:color w:val="auto"/>
              </w:rPr>
            </w:pPr>
          </w:p>
        </w:tc>
      </w:tr>
      <w:tr>
        <w:trPr>
          <w:trHeight w:val="187"/>
        </w:trPr>
        <w:tc>
          <w:tcPr>
            <w:tcW w:w="4380" w:type="dxa"/>
            <w:vAlign w:val="bottom"/>
          </w:tcPr>
          <w:p>
            <w:pPr>
              <w:ind w:left="240"/>
              <w:spacing w:after="0"/>
              <w:rPr>
                <w:sz w:val="20"/>
                <w:szCs w:val="20"/>
                <w:color w:val="auto"/>
              </w:rPr>
            </w:pPr>
            <w:r>
              <w:rPr>
                <w:rFonts w:ascii="Arial" w:cs="Arial" w:eastAsia="Arial" w:hAnsi="Arial"/>
                <w:sz w:val="13"/>
                <w:szCs w:val="13"/>
                <w:color w:val="auto"/>
              </w:rPr>
              <w:t>U.S. Property and Special Risks</w:t>
            </w: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4,508</w:t>
            </w:r>
          </w:p>
        </w:tc>
        <w:tc>
          <w:tcPr>
            <w:tcW w:w="34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902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5,410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4,142</w:t>
            </w:r>
          </w:p>
        </w:tc>
        <w:tc>
          <w:tcPr>
            <w:tcW w:w="340" w:type="dxa"/>
            <w:vAlign w:val="bottom"/>
          </w:tcPr>
          <w:p>
            <w:pPr>
              <w:spacing w:after="0"/>
              <w:rPr>
                <w:sz w:val="16"/>
                <w:szCs w:val="16"/>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990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5,132</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1352DE"/>
            </w:tcBorders>
          </w:tcPr>
          <w:p>
            <w:pPr>
              <w:ind w:left="240"/>
              <w:spacing w:after="0"/>
              <w:rPr>
                <w:sz w:val="20"/>
                <w:szCs w:val="20"/>
                <w:color w:val="auto"/>
              </w:rPr>
            </w:pPr>
            <w:r>
              <w:rPr>
                <w:rFonts w:ascii="Arial" w:cs="Arial" w:eastAsia="Arial" w:hAnsi="Arial"/>
                <w:sz w:val="13"/>
                <w:szCs w:val="13"/>
                <w:color w:val="auto"/>
              </w:rPr>
              <w:t>Other product lines</w:t>
            </w:r>
            <w:r>
              <w:rPr>
                <w:rFonts w:ascii="Arial" w:cs="Arial" w:eastAsia="Arial" w:hAnsi="Arial"/>
                <w:sz w:val="17"/>
                <w:szCs w:val="17"/>
                <w:color w:val="auto"/>
                <w:vertAlign w:val="superscript"/>
              </w:rPr>
              <w:t>(b)</w:t>
            </w:r>
          </w:p>
        </w:tc>
        <w:tc>
          <w:tcPr>
            <w:tcW w:w="24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3,905</w:t>
            </w:r>
          </w:p>
        </w:tc>
        <w:tc>
          <w:tcPr>
            <w:tcW w:w="340" w:type="dxa"/>
            <w:vAlign w:val="bottom"/>
            <w:tcBorders>
              <w:bottom w:val="single" w:sz="8" w:color="1352DE"/>
            </w:tcBorders>
          </w:tcPr>
          <w:p>
            <w:pPr>
              <w:spacing w:after="0"/>
              <w:rPr>
                <w:sz w:val="16"/>
                <w:szCs w:val="16"/>
                <w:color w:val="auto"/>
              </w:rPr>
            </w:pP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2,609</w:t>
            </w:r>
          </w:p>
        </w:tc>
        <w:tc>
          <w:tcPr>
            <w:tcW w:w="20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6,514</w:t>
            </w:r>
          </w:p>
        </w:tc>
        <w:tc>
          <w:tcPr>
            <w:tcW w:w="140" w:type="dxa"/>
            <w:vAlign w:val="bottom"/>
            <w:tcBorders>
              <w:bottom w:val="single" w:sz="8" w:color="1352DE"/>
            </w:tcBorders>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4,356</w:t>
            </w:r>
          </w:p>
        </w:tc>
        <w:tc>
          <w:tcPr>
            <w:tcW w:w="34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2,947</w:t>
            </w:r>
          </w:p>
        </w:tc>
        <w:tc>
          <w:tcPr>
            <w:tcW w:w="22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7,303</w:t>
            </w:r>
          </w:p>
        </w:tc>
        <w:tc>
          <w:tcPr>
            <w:tcW w:w="0" w:type="dxa"/>
            <w:vAlign w:val="bottom"/>
          </w:tcPr>
          <w:p>
            <w:pPr>
              <w:spacing w:after="0"/>
              <w:rPr>
                <w:sz w:val="1"/>
                <w:szCs w:val="1"/>
                <w:color w:val="auto"/>
              </w:rPr>
            </w:pPr>
          </w:p>
        </w:tc>
      </w:tr>
      <w:tr>
        <w:trPr>
          <w:trHeight w:val="181"/>
        </w:trPr>
        <w:tc>
          <w:tcPr>
            <w:tcW w:w="4380" w:type="dxa"/>
            <w:vAlign w:val="bottom"/>
            <w:tcBorders>
              <w:bottom w:val="single" w:sz="8" w:color="1352DE"/>
            </w:tcBorders>
          </w:tcPr>
          <w:p>
            <w:pPr>
              <w:ind w:left="140"/>
              <w:spacing w:after="0"/>
              <w:rPr>
                <w:sz w:val="20"/>
                <w:szCs w:val="20"/>
                <w:color w:val="auto"/>
              </w:rPr>
            </w:pPr>
            <w:r>
              <w:rPr>
                <w:rFonts w:ascii="Arial" w:cs="Arial" w:eastAsia="Arial" w:hAnsi="Arial"/>
                <w:sz w:val="13"/>
                <w:szCs w:val="13"/>
                <w:b w:val="1"/>
                <w:bCs w:val="1"/>
                <w:color w:val="1352DE"/>
              </w:rPr>
              <w:t>Total North America Commercial</w:t>
            </w: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24,238</w:t>
            </w:r>
          </w:p>
        </w:tc>
        <w:tc>
          <w:tcPr>
            <w:tcW w:w="340" w:type="dxa"/>
            <w:vAlign w:val="bottom"/>
            <w:tcBorders>
              <w:bottom w:val="single" w:sz="8" w:color="1352DE"/>
            </w:tcBorders>
          </w:tcPr>
          <w:p>
            <w:pPr>
              <w:spacing w:after="0"/>
              <w:rPr>
                <w:sz w:val="15"/>
                <w:szCs w:val="15"/>
                <w:color w:val="auto"/>
              </w:rPr>
            </w:pP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14,006</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38,244</w:t>
            </w:r>
          </w:p>
        </w:tc>
        <w:tc>
          <w:tcPr>
            <w:tcW w:w="140" w:type="dxa"/>
            <w:vAlign w:val="bottom"/>
            <w:tcBorders>
              <w:bottom w:val="single" w:sz="8" w:color="1352DE"/>
            </w:tcBorders>
          </w:tcPr>
          <w:p>
            <w:pPr>
              <w:spacing w:after="0"/>
              <w:rPr>
                <w:sz w:val="15"/>
                <w:szCs w:val="15"/>
                <w:color w:val="auto"/>
              </w:rPr>
            </w:pP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23,845</w:t>
            </w:r>
          </w:p>
        </w:tc>
        <w:tc>
          <w:tcPr>
            <w:tcW w:w="34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15,326</w:t>
            </w:r>
          </w:p>
        </w:tc>
        <w:tc>
          <w:tcPr>
            <w:tcW w:w="22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39,171</w:t>
            </w:r>
          </w:p>
        </w:tc>
        <w:tc>
          <w:tcPr>
            <w:tcW w:w="0" w:type="dxa"/>
            <w:vAlign w:val="bottom"/>
          </w:tcPr>
          <w:p>
            <w:pPr>
              <w:spacing w:after="0"/>
              <w:rPr>
                <w:sz w:val="1"/>
                <w:szCs w:val="1"/>
                <w:color w:val="auto"/>
              </w:rPr>
            </w:pPr>
          </w:p>
        </w:tc>
      </w:tr>
      <w:tr>
        <w:trPr>
          <w:trHeight w:val="181"/>
        </w:trPr>
        <w:tc>
          <w:tcPr>
            <w:tcW w:w="4380" w:type="dxa"/>
            <w:vAlign w:val="bottom"/>
          </w:tcPr>
          <w:p>
            <w:pPr>
              <w:ind w:left="140"/>
              <w:spacing w:after="0"/>
              <w:rPr>
                <w:sz w:val="20"/>
                <w:szCs w:val="20"/>
                <w:color w:val="auto"/>
              </w:rPr>
            </w:pPr>
            <w:r>
              <w:rPr>
                <w:rFonts w:ascii="Arial" w:cs="Arial" w:eastAsia="Arial" w:hAnsi="Arial"/>
                <w:sz w:val="13"/>
                <w:szCs w:val="13"/>
                <w:b w:val="1"/>
                <w:bCs w:val="1"/>
                <w:color w:val="1352DE"/>
              </w:rPr>
              <w:t>International Commercial:</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80" w:type="dxa"/>
            <w:vAlign w:val="bottom"/>
          </w:tcPr>
          <w:p>
            <w:pPr>
              <w:ind w:left="240"/>
              <w:spacing w:after="0"/>
              <w:rPr>
                <w:sz w:val="20"/>
                <w:szCs w:val="20"/>
                <w:color w:val="auto"/>
              </w:rPr>
            </w:pPr>
            <w:r>
              <w:rPr>
                <w:rFonts w:ascii="Arial" w:cs="Arial" w:eastAsia="Arial" w:hAnsi="Arial"/>
                <w:sz w:val="13"/>
                <w:szCs w:val="13"/>
                <w:color w:val="auto"/>
              </w:rPr>
              <w:t>UK/Europe Casualty and Financial Lines</w:t>
            </w: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7,951</w:t>
            </w:r>
          </w:p>
        </w:tc>
        <w:tc>
          <w:tcPr>
            <w:tcW w:w="34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2,975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10,926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8,288</w:t>
            </w:r>
          </w:p>
        </w:tc>
        <w:tc>
          <w:tcPr>
            <w:tcW w:w="340" w:type="dxa"/>
            <w:vAlign w:val="bottom"/>
          </w:tcPr>
          <w:p>
            <w:pPr>
              <w:spacing w:after="0"/>
              <w:rPr>
                <w:sz w:val="16"/>
                <w:szCs w:val="16"/>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2,376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10,664</w:t>
            </w:r>
          </w:p>
        </w:tc>
        <w:tc>
          <w:tcPr>
            <w:tcW w:w="0" w:type="dxa"/>
            <w:vAlign w:val="bottom"/>
          </w:tcPr>
          <w:p>
            <w:pPr>
              <w:spacing w:after="0"/>
              <w:rPr>
                <w:sz w:val="1"/>
                <w:szCs w:val="1"/>
                <w:color w:val="auto"/>
              </w:rPr>
            </w:pPr>
          </w:p>
        </w:tc>
      </w:tr>
      <w:tr>
        <w:trPr>
          <w:trHeight w:val="187"/>
        </w:trPr>
        <w:tc>
          <w:tcPr>
            <w:tcW w:w="4380" w:type="dxa"/>
            <w:vAlign w:val="bottom"/>
          </w:tcPr>
          <w:p>
            <w:pPr>
              <w:ind w:left="240"/>
              <w:spacing w:after="0"/>
              <w:rPr>
                <w:sz w:val="20"/>
                <w:szCs w:val="20"/>
                <w:color w:val="auto"/>
              </w:rPr>
            </w:pPr>
            <w:r>
              <w:rPr>
                <w:rFonts w:ascii="Arial" w:cs="Arial" w:eastAsia="Arial" w:hAnsi="Arial"/>
                <w:sz w:val="13"/>
                <w:szCs w:val="13"/>
                <w:color w:val="auto"/>
              </w:rPr>
              <w:t>UK/Europe Property and Special Risks</w:t>
            </w: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3,338</w:t>
            </w:r>
          </w:p>
        </w:tc>
        <w:tc>
          <w:tcPr>
            <w:tcW w:w="34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1,422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4,760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2,176</w:t>
            </w:r>
          </w:p>
        </w:tc>
        <w:tc>
          <w:tcPr>
            <w:tcW w:w="340" w:type="dxa"/>
            <w:vAlign w:val="bottom"/>
          </w:tcPr>
          <w:p>
            <w:pPr>
              <w:spacing w:after="0"/>
              <w:rPr>
                <w:sz w:val="16"/>
                <w:szCs w:val="16"/>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2,214</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4,390</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1352DE"/>
            </w:tcBorders>
          </w:tcPr>
          <w:p>
            <w:pPr>
              <w:ind w:left="240"/>
              <w:spacing w:after="0"/>
              <w:rPr>
                <w:sz w:val="20"/>
                <w:szCs w:val="20"/>
                <w:color w:val="auto"/>
              </w:rPr>
            </w:pPr>
            <w:r>
              <w:rPr>
                <w:rFonts w:ascii="Arial" w:cs="Arial" w:eastAsia="Arial" w:hAnsi="Arial"/>
                <w:sz w:val="13"/>
                <w:szCs w:val="13"/>
                <w:color w:val="auto"/>
              </w:rPr>
              <w:t>Other product lines</w:t>
            </w:r>
            <w:r>
              <w:rPr>
                <w:rFonts w:ascii="Arial" w:cs="Arial" w:eastAsia="Arial" w:hAnsi="Arial"/>
                <w:sz w:val="17"/>
                <w:szCs w:val="17"/>
                <w:color w:val="auto"/>
                <w:vertAlign w:val="superscript"/>
              </w:rPr>
              <w:t>(b)</w:t>
            </w:r>
          </w:p>
        </w:tc>
        <w:tc>
          <w:tcPr>
            <w:tcW w:w="24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2,023</w:t>
            </w:r>
          </w:p>
        </w:tc>
        <w:tc>
          <w:tcPr>
            <w:tcW w:w="340" w:type="dxa"/>
            <w:vAlign w:val="bottom"/>
            <w:tcBorders>
              <w:bottom w:val="single" w:sz="8" w:color="1352DE"/>
            </w:tcBorders>
          </w:tcPr>
          <w:p>
            <w:pPr>
              <w:spacing w:after="0"/>
              <w:rPr>
                <w:sz w:val="16"/>
                <w:szCs w:val="16"/>
                <w:color w:val="auto"/>
              </w:rPr>
            </w:pP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1,351</w:t>
            </w:r>
          </w:p>
        </w:tc>
        <w:tc>
          <w:tcPr>
            <w:tcW w:w="20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3,374</w:t>
            </w:r>
          </w:p>
        </w:tc>
        <w:tc>
          <w:tcPr>
            <w:tcW w:w="140" w:type="dxa"/>
            <w:vAlign w:val="bottom"/>
            <w:tcBorders>
              <w:bottom w:val="single" w:sz="8" w:color="1352DE"/>
            </w:tcBorders>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1,882</w:t>
            </w:r>
          </w:p>
        </w:tc>
        <w:tc>
          <w:tcPr>
            <w:tcW w:w="34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1,272</w:t>
            </w:r>
          </w:p>
        </w:tc>
        <w:tc>
          <w:tcPr>
            <w:tcW w:w="22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3,154</w:t>
            </w:r>
          </w:p>
        </w:tc>
        <w:tc>
          <w:tcPr>
            <w:tcW w:w="0" w:type="dxa"/>
            <w:vAlign w:val="bottom"/>
          </w:tcPr>
          <w:p>
            <w:pPr>
              <w:spacing w:after="0"/>
              <w:rPr>
                <w:sz w:val="1"/>
                <w:szCs w:val="1"/>
                <w:color w:val="auto"/>
              </w:rPr>
            </w:pPr>
          </w:p>
        </w:tc>
      </w:tr>
      <w:tr>
        <w:trPr>
          <w:trHeight w:val="181"/>
        </w:trPr>
        <w:tc>
          <w:tcPr>
            <w:tcW w:w="4380" w:type="dxa"/>
            <w:vAlign w:val="bottom"/>
            <w:tcBorders>
              <w:bottom w:val="single" w:sz="8" w:color="1352DE"/>
            </w:tcBorders>
          </w:tcPr>
          <w:p>
            <w:pPr>
              <w:ind w:left="140"/>
              <w:spacing w:after="0"/>
              <w:rPr>
                <w:sz w:val="20"/>
                <w:szCs w:val="20"/>
                <w:color w:val="auto"/>
              </w:rPr>
            </w:pPr>
            <w:r>
              <w:rPr>
                <w:rFonts w:ascii="Arial" w:cs="Arial" w:eastAsia="Arial" w:hAnsi="Arial"/>
                <w:sz w:val="13"/>
                <w:szCs w:val="13"/>
                <w:b w:val="1"/>
                <w:bCs w:val="1"/>
                <w:color w:val="1352DE"/>
              </w:rPr>
              <w:t>Total International Commercial</w:t>
            </w: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13,312</w:t>
            </w:r>
          </w:p>
        </w:tc>
        <w:tc>
          <w:tcPr>
            <w:tcW w:w="340" w:type="dxa"/>
            <w:vAlign w:val="bottom"/>
            <w:tcBorders>
              <w:bottom w:val="single" w:sz="8" w:color="1352DE"/>
            </w:tcBorders>
          </w:tcPr>
          <w:p>
            <w:pPr>
              <w:spacing w:after="0"/>
              <w:rPr>
                <w:sz w:val="15"/>
                <w:szCs w:val="15"/>
                <w:color w:val="auto"/>
              </w:rPr>
            </w:pP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5,748</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19,060</w:t>
            </w:r>
          </w:p>
        </w:tc>
        <w:tc>
          <w:tcPr>
            <w:tcW w:w="140" w:type="dxa"/>
            <w:vAlign w:val="bottom"/>
            <w:tcBorders>
              <w:bottom w:val="single" w:sz="8" w:color="1352DE"/>
            </w:tcBorders>
          </w:tcPr>
          <w:p>
            <w:pPr>
              <w:spacing w:after="0"/>
              <w:rPr>
                <w:sz w:val="15"/>
                <w:szCs w:val="15"/>
                <w:color w:val="auto"/>
              </w:rPr>
            </w:pP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12,346</w:t>
            </w:r>
          </w:p>
        </w:tc>
        <w:tc>
          <w:tcPr>
            <w:tcW w:w="34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5,862</w:t>
            </w:r>
          </w:p>
        </w:tc>
        <w:tc>
          <w:tcPr>
            <w:tcW w:w="22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18,208</w:t>
            </w:r>
          </w:p>
        </w:tc>
        <w:tc>
          <w:tcPr>
            <w:tcW w:w="0" w:type="dxa"/>
            <w:vAlign w:val="bottom"/>
          </w:tcPr>
          <w:p>
            <w:pPr>
              <w:spacing w:after="0"/>
              <w:rPr>
                <w:sz w:val="1"/>
                <w:szCs w:val="1"/>
                <w:color w:val="auto"/>
              </w:rPr>
            </w:pPr>
          </w:p>
        </w:tc>
      </w:tr>
      <w:tr>
        <w:trPr>
          <w:trHeight w:val="181"/>
        </w:trPr>
        <w:tc>
          <w:tcPr>
            <w:tcW w:w="4380" w:type="dxa"/>
            <w:vAlign w:val="bottom"/>
          </w:tcPr>
          <w:p>
            <w:pPr>
              <w:ind w:left="140"/>
              <w:spacing w:after="0"/>
              <w:rPr>
                <w:sz w:val="20"/>
                <w:szCs w:val="20"/>
                <w:color w:val="auto"/>
              </w:rPr>
            </w:pPr>
            <w:r>
              <w:rPr>
                <w:rFonts w:ascii="Arial" w:cs="Arial" w:eastAsia="Arial" w:hAnsi="Arial"/>
                <w:sz w:val="13"/>
                <w:szCs w:val="13"/>
                <w:b w:val="1"/>
                <w:bCs w:val="1"/>
                <w:color w:val="1352DE"/>
              </w:rPr>
              <w:t>Global Personal:</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80" w:type="dxa"/>
            <w:vAlign w:val="bottom"/>
          </w:tcPr>
          <w:p>
            <w:pPr>
              <w:ind w:left="240"/>
              <w:spacing w:after="0"/>
              <w:rPr>
                <w:sz w:val="20"/>
                <w:szCs w:val="20"/>
                <w:color w:val="auto"/>
              </w:rPr>
            </w:pPr>
            <w:r>
              <w:rPr>
                <w:rFonts w:ascii="Arial" w:cs="Arial" w:eastAsia="Arial" w:hAnsi="Arial"/>
                <w:sz w:val="13"/>
                <w:szCs w:val="13"/>
                <w:color w:val="auto"/>
              </w:rPr>
              <w:t>U.S. Personal Insurance</w:t>
            </w: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782</w:t>
            </w:r>
          </w:p>
        </w:tc>
        <w:tc>
          <w:tcPr>
            <w:tcW w:w="34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1,918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2,700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705</w:t>
            </w:r>
          </w:p>
        </w:tc>
        <w:tc>
          <w:tcPr>
            <w:tcW w:w="340" w:type="dxa"/>
            <w:vAlign w:val="bottom"/>
          </w:tcPr>
          <w:p>
            <w:pPr>
              <w:spacing w:after="0"/>
              <w:rPr>
                <w:sz w:val="16"/>
                <w:szCs w:val="16"/>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1,986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2,691</w:t>
            </w:r>
          </w:p>
        </w:tc>
        <w:tc>
          <w:tcPr>
            <w:tcW w:w="0" w:type="dxa"/>
            <w:vAlign w:val="bottom"/>
          </w:tcPr>
          <w:p>
            <w:pPr>
              <w:spacing w:after="0"/>
              <w:rPr>
                <w:sz w:val="1"/>
                <w:szCs w:val="1"/>
                <w:color w:val="auto"/>
              </w:rPr>
            </w:pPr>
          </w:p>
        </w:tc>
      </w:tr>
      <w:tr>
        <w:trPr>
          <w:trHeight w:val="187"/>
        </w:trPr>
        <w:tc>
          <w:tcPr>
            <w:tcW w:w="4380" w:type="dxa"/>
            <w:vAlign w:val="bottom"/>
          </w:tcPr>
          <w:p>
            <w:pPr>
              <w:ind w:left="240"/>
              <w:spacing w:after="0"/>
              <w:rPr>
                <w:sz w:val="20"/>
                <w:szCs w:val="20"/>
                <w:color w:val="auto"/>
              </w:rPr>
            </w:pPr>
            <w:r>
              <w:rPr>
                <w:rFonts w:ascii="Arial" w:cs="Arial" w:eastAsia="Arial" w:hAnsi="Arial"/>
                <w:sz w:val="13"/>
                <w:szCs w:val="13"/>
                <w:color w:val="auto"/>
              </w:rPr>
              <w:t>UK/Europe and Japan Personal Insurance</w:t>
            </w: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1,194</w:t>
            </w:r>
          </w:p>
        </w:tc>
        <w:tc>
          <w:tcPr>
            <w:tcW w:w="34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727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1,921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1,240</w:t>
            </w:r>
          </w:p>
        </w:tc>
        <w:tc>
          <w:tcPr>
            <w:tcW w:w="340" w:type="dxa"/>
            <w:vAlign w:val="bottom"/>
          </w:tcPr>
          <w:p>
            <w:pPr>
              <w:spacing w:after="0"/>
              <w:rPr>
                <w:sz w:val="16"/>
                <w:szCs w:val="16"/>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733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1,973</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1352DE"/>
            </w:tcBorders>
          </w:tcPr>
          <w:p>
            <w:pPr>
              <w:ind w:left="240"/>
              <w:spacing w:after="0"/>
              <w:rPr>
                <w:sz w:val="20"/>
                <w:szCs w:val="20"/>
                <w:color w:val="auto"/>
              </w:rPr>
            </w:pPr>
            <w:r>
              <w:rPr>
                <w:rFonts w:ascii="Arial" w:cs="Arial" w:eastAsia="Arial" w:hAnsi="Arial"/>
                <w:sz w:val="13"/>
                <w:szCs w:val="13"/>
                <w:color w:val="auto"/>
              </w:rPr>
              <w:t>Other product lines</w:t>
            </w:r>
            <w:r>
              <w:rPr>
                <w:rFonts w:ascii="Arial" w:cs="Arial" w:eastAsia="Arial" w:hAnsi="Arial"/>
                <w:sz w:val="17"/>
                <w:szCs w:val="17"/>
                <w:color w:val="auto"/>
                <w:vertAlign w:val="superscript"/>
              </w:rPr>
              <w:t>(b)</w:t>
            </w:r>
          </w:p>
        </w:tc>
        <w:tc>
          <w:tcPr>
            <w:tcW w:w="24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1,230</w:t>
            </w:r>
          </w:p>
        </w:tc>
        <w:tc>
          <w:tcPr>
            <w:tcW w:w="340" w:type="dxa"/>
            <w:vAlign w:val="bottom"/>
            <w:tcBorders>
              <w:bottom w:val="single" w:sz="8" w:color="1352DE"/>
            </w:tcBorders>
          </w:tcPr>
          <w:p>
            <w:pPr>
              <w:spacing w:after="0"/>
              <w:rPr>
                <w:sz w:val="16"/>
                <w:szCs w:val="16"/>
                <w:color w:val="auto"/>
              </w:rPr>
            </w:pP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822</w:t>
            </w:r>
          </w:p>
        </w:tc>
        <w:tc>
          <w:tcPr>
            <w:tcW w:w="20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2,052</w:t>
            </w:r>
          </w:p>
        </w:tc>
        <w:tc>
          <w:tcPr>
            <w:tcW w:w="140" w:type="dxa"/>
            <w:vAlign w:val="bottom"/>
            <w:tcBorders>
              <w:bottom w:val="single" w:sz="8" w:color="1352DE"/>
            </w:tcBorders>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1,109</w:t>
            </w:r>
          </w:p>
        </w:tc>
        <w:tc>
          <w:tcPr>
            <w:tcW w:w="34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750</w:t>
            </w:r>
          </w:p>
        </w:tc>
        <w:tc>
          <w:tcPr>
            <w:tcW w:w="22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1,859</w:t>
            </w:r>
          </w:p>
        </w:tc>
        <w:tc>
          <w:tcPr>
            <w:tcW w:w="0" w:type="dxa"/>
            <w:vAlign w:val="bottom"/>
          </w:tcPr>
          <w:p>
            <w:pPr>
              <w:spacing w:after="0"/>
              <w:rPr>
                <w:sz w:val="1"/>
                <w:szCs w:val="1"/>
                <w:color w:val="auto"/>
              </w:rPr>
            </w:pPr>
          </w:p>
        </w:tc>
      </w:tr>
      <w:tr>
        <w:trPr>
          <w:trHeight w:val="181"/>
        </w:trPr>
        <w:tc>
          <w:tcPr>
            <w:tcW w:w="4380" w:type="dxa"/>
            <w:vAlign w:val="bottom"/>
            <w:tcBorders>
              <w:bottom w:val="single" w:sz="8" w:color="1352DE"/>
            </w:tcBorders>
          </w:tcPr>
          <w:p>
            <w:pPr>
              <w:ind w:left="140"/>
              <w:spacing w:after="0"/>
              <w:rPr>
                <w:sz w:val="20"/>
                <w:szCs w:val="20"/>
                <w:color w:val="auto"/>
              </w:rPr>
            </w:pPr>
            <w:r>
              <w:rPr>
                <w:rFonts w:ascii="Arial" w:cs="Arial" w:eastAsia="Arial" w:hAnsi="Arial"/>
                <w:sz w:val="13"/>
                <w:szCs w:val="13"/>
                <w:b w:val="1"/>
                <w:bCs w:val="1"/>
                <w:color w:val="1352DE"/>
              </w:rPr>
              <w:t>Total Global Personal</w:t>
            </w: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3,206</w:t>
            </w:r>
          </w:p>
        </w:tc>
        <w:tc>
          <w:tcPr>
            <w:tcW w:w="340" w:type="dxa"/>
            <w:vAlign w:val="bottom"/>
            <w:tcBorders>
              <w:bottom w:val="single" w:sz="8" w:color="1352DE"/>
            </w:tcBorders>
          </w:tcPr>
          <w:p>
            <w:pPr>
              <w:spacing w:after="0"/>
              <w:rPr>
                <w:sz w:val="15"/>
                <w:szCs w:val="15"/>
                <w:color w:val="auto"/>
              </w:rPr>
            </w:pP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3,467</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6,673</w:t>
            </w:r>
          </w:p>
        </w:tc>
        <w:tc>
          <w:tcPr>
            <w:tcW w:w="140" w:type="dxa"/>
            <w:vAlign w:val="bottom"/>
            <w:tcBorders>
              <w:bottom w:val="single" w:sz="8" w:color="1352DE"/>
            </w:tcBorders>
          </w:tcPr>
          <w:p>
            <w:pPr>
              <w:spacing w:after="0"/>
              <w:rPr>
                <w:sz w:val="15"/>
                <w:szCs w:val="15"/>
                <w:color w:val="auto"/>
              </w:rPr>
            </w:pP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3,054</w:t>
            </w:r>
          </w:p>
        </w:tc>
        <w:tc>
          <w:tcPr>
            <w:tcW w:w="34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3,469</w:t>
            </w:r>
          </w:p>
        </w:tc>
        <w:tc>
          <w:tcPr>
            <w:tcW w:w="22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6,523</w:t>
            </w:r>
          </w:p>
        </w:tc>
        <w:tc>
          <w:tcPr>
            <w:tcW w:w="0" w:type="dxa"/>
            <w:vAlign w:val="bottom"/>
          </w:tcPr>
          <w:p>
            <w:pPr>
              <w:spacing w:after="0"/>
              <w:rPr>
                <w:sz w:val="1"/>
                <w:szCs w:val="1"/>
                <w:color w:val="auto"/>
              </w:rPr>
            </w:pPr>
          </w:p>
        </w:tc>
      </w:tr>
      <w:tr>
        <w:trPr>
          <w:trHeight w:val="184"/>
        </w:trPr>
        <w:tc>
          <w:tcPr>
            <w:tcW w:w="4380" w:type="dxa"/>
            <w:vAlign w:val="bottom"/>
            <w:tcBorders>
              <w:bottom w:val="single" w:sz="8" w:color="1352DE"/>
            </w:tcBorders>
          </w:tcPr>
          <w:p>
            <w:pPr>
              <w:ind w:left="140"/>
              <w:spacing w:after="0" w:line="184" w:lineRule="exact"/>
              <w:rPr>
                <w:sz w:val="20"/>
                <w:szCs w:val="20"/>
                <w:color w:val="auto"/>
              </w:rPr>
            </w:pPr>
            <w:r>
              <w:rPr>
                <w:rFonts w:ascii="Arial" w:cs="Arial" w:eastAsia="Arial" w:hAnsi="Arial"/>
                <w:sz w:val="13"/>
                <w:szCs w:val="13"/>
                <w:color w:val="auto"/>
              </w:rPr>
              <w:t>Unallocated loss adjustment expenses</w:t>
            </w:r>
            <w:r>
              <w:rPr>
                <w:rFonts w:ascii="Arial" w:cs="Arial" w:eastAsia="Arial" w:hAnsi="Arial"/>
                <w:sz w:val="17"/>
                <w:szCs w:val="17"/>
                <w:color w:val="auto"/>
                <w:vertAlign w:val="superscript"/>
              </w:rPr>
              <w:t>(b)</w:t>
            </w: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1,549</w:t>
            </w:r>
          </w:p>
        </w:tc>
        <w:tc>
          <w:tcPr>
            <w:tcW w:w="340" w:type="dxa"/>
            <w:vAlign w:val="bottom"/>
            <w:tcBorders>
              <w:bottom w:val="single" w:sz="8" w:color="1352DE"/>
            </w:tcBorders>
          </w:tcPr>
          <w:p>
            <w:pPr>
              <w:spacing w:after="0"/>
              <w:rPr>
                <w:sz w:val="15"/>
                <w:szCs w:val="15"/>
                <w:color w:val="auto"/>
              </w:rPr>
            </w:pP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554</w:t>
            </w:r>
          </w:p>
        </w:tc>
        <w:tc>
          <w:tcPr>
            <w:tcW w:w="20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2,103</w:t>
            </w:r>
          </w:p>
        </w:tc>
        <w:tc>
          <w:tcPr>
            <w:tcW w:w="140" w:type="dxa"/>
            <w:vAlign w:val="bottom"/>
            <w:tcBorders>
              <w:bottom w:val="single" w:sz="8" w:color="1352DE"/>
            </w:tcBorders>
          </w:tcPr>
          <w:p>
            <w:pPr>
              <w:spacing w:after="0"/>
              <w:rPr>
                <w:sz w:val="15"/>
                <w:szCs w:val="15"/>
                <w:color w:val="auto"/>
              </w:rPr>
            </w:pPr>
          </w:p>
        </w:tc>
        <w:tc>
          <w:tcPr>
            <w:tcW w:w="240" w:type="dxa"/>
            <w:vAlign w:val="bottom"/>
            <w:tcBorders>
              <w:bottom w:val="single" w:sz="8" w:color="1352DE"/>
            </w:tcBorders>
          </w:tcPr>
          <w:p>
            <w:pPr>
              <w:spacing w:after="0"/>
              <w:rPr>
                <w:sz w:val="15"/>
                <w:szCs w:val="15"/>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1,965</w:t>
            </w:r>
          </w:p>
        </w:tc>
        <w:tc>
          <w:tcPr>
            <w:tcW w:w="340" w:type="dxa"/>
            <w:vAlign w:val="bottom"/>
            <w:tcBorders>
              <w:bottom w:val="single" w:sz="8" w:color="1352DE"/>
            </w:tcBorders>
          </w:tcPr>
          <w:p>
            <w:pPr>
              <w:spacing w:after="0"/>
              <w:rPr>
                <w:sz w:val="15"/>
                <w:szCs w:val="15"/>
                <w:color w:val="auto"/>
              </w:rPr>
            </w:pP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629</w:t>
            </w:r>
          </w:p>
        </w:tc>
        <w:tc>
          <w:tcPr>
            <w:tcW w:w="220" w:type="dxa"/>
            <w:vAlign w:val="bottom"/>
            <w:tcBorders>
              <w:bottom w:val="single" w:sz="8" w:color="1352DE"/>
            </w:tcBorders>
          </w:tcPr>
          <w:p>
            <w:pPr>
              <w:spacing w:after="0"/>
              <w:rPr>
                <w:sz w:val="15"/>
                <w:szCs w:val="15"/>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2,594</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Arial" w:cs="Arial" w:eastAsia="Arial" w:hAnsi="Arial"/>
                <w:sz w:val="13"/>
                <w:szCs w:val="13"/>
                <w:b w:val="1"/>
                <w:bCs w:val="1"/>
                <w:color w:val="1252DE"/>
              </w:rPr>
              <w:t>Total General Insurance</w:t>
            </w:r>
          </w:p>
        </w:tc>
        <w:tc>
          <w:tcPr>
            <w:tcW w:w="24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252DE"/>
              </w:rPr>
              <w:t>42,305</w:t>
            </w:r>
          </w:p>
        </w:tc>
        <w:tc>
          <w:tcPr>
            <w:tcW w:w="34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b w:val="1"/>
                <w:bCs w:val="1"/>
                <w:color w:val="1252DE"/>
              </w:rPr>
              <w:t>23,775</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1252DE"/>
              </w:rPr>
              <w:t>66,080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41,210</w:t>
            </w:r>
          </w:p>
        </w:tc>
        <w:tc>
          <w:tcPr>
            <w:tcW w:w="340" w:type="dxa"/>
            <w:vAlign w:val="bottom"/>
          </w:tcPr>
          <w:p>
            <w:pPr>
              <w:spacing w:after="0"/>
              <w:rPr>
                <w:sz w:val="15"/>
                <w:szCs w:val="15"/>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25,286</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66,496</w:t>
            </w:r>
          </w:p>
        </w:tc>
        <w:tc>
          <w:tcPr>
            <w:tcW w:w="0" w:type="dxa"/>
            <w:vAlign w:val="bottom"/>
          </w:tcPr>
          <w:p>
            <w:pPr>
              <w:spacing w:after="0"/>
              <w:rPr>
                <w:sz w:val="1"/>
                <w:szCs w:val="1"/>
                <w:color w:val="auto"/>
              </w:rPr>
            </w:pPr>
          </w:p>
        </w:tc>
      </w:tr>
      <w:tr>
        <w:trPr>
          <w:trHeight w:val="190"/>
        </w:trPr>
        <w:tc>
          <w:tcPr>
            <w:tcW w:w="438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Other Operations</w:t>
            </w:r>
          </w:p>
        </w:tc>
        <w:tc>
          <w:tcPr>
            <w:tcW w:w="24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610</w:t>
            </w:r>
          </w:p>
        </w:tc>
        <w:tc>
          <w:tcPr>
            <w:tcW w:w="340" w:type="dxa"/>
            <w:vAlign w:val="bottom"/>
            <w:tcBorders>
              <w:bottom w:val="single" w:sz="8" w:color="1352DE"/>
            </w:tcBorders>
          </w:tcPr>
          <w:p>
            <w:pPr>
              <w:spacing w:after="0"/>
              <w:rPr>
                <w:sz w:val="16"/>
                <w:szCs w:val="16"/>
                <w:color w:val="auto"/>
              </w:rPr>
            </w:pP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3,492</w:t>
            </w:r>
          </w:p>
        </w:tc>
        <w:tc>
          <w:tcPr>
            <w:tcW w:w="20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4,102</w:t>
            </w:r>
          </w:p>
        </w:tc>
        <w:tc>
          <w:tcPr>
            <w:tcW w:w="140" w:type="dxa"/>
            <w:vAlign w:val="bottom"/>
            <w:tcBorders>
              <w:bottom w:val="single" w:sz="8" w:color="1352DE"/>
            </w:tcBorders>
          </w:tcPr>
          <w:p>
            <w:pPr>
              <w:spacing w:after="0"/>
              <w:rPr>
                <w:sz w:val="16"/>
                <w:szCs w:val="16"/>
                <w:color w:val="auto"/>
              </w:rPr>
            </w:pPr>
          </w:p>
        </w:tc>
        <w:tc>
          <w:tcPr>
            <w:tcW w:w="24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585</w:t>
            </w:r>
          </w:p>
        </w:tc>
        <w:tc>
          <w:tcPr>
            <w:tcW w:w="34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3,585</w:t>
            </w:r>
          </w:p>
        </w:tc>
        <w:tc>
          <w:tcPr>
            <w:tcW w:w="22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4,170</w:t>
            </w:r>
          </w:p>
        </w:tc>
        <w:tc>
          <w:tcPr>
            <w:tcW w:w="0" w:type="dxa"/>
            <w:vAlign w:val="bottom"/>
          </w:tcPr>
          <w:p>
            <w:pPr>
              <w:spacing w:after="0"/>
              <w:rPr>
                <w:sz w:val="1"/>
                <w:szCs w:val="1"/>
                <w:color w:val="auto"/>
              </w:rPr>
            </w:pPr>
          </w:p>
        </w:tc>
      </w:tr>
      <w:tr>
        <w:trPr>
          <w:trHeight w:val="183"/>
        </w:trPr>
        <w:tc>
          <w:tcPr>
            <w:tcW w:w="4380" w:type="dxa"/>
            <w:vAlign w:val="bottom"/>
            <w:tcBorders>
              <w:bottom w:val="single" w:sz="8" w:color="1352DE"/>
            </w:tcBorders>
          </w:tcPr>
          <w:p>
            <w:pPr>
              <w:ind w:left="20"/>
              <w:spacing w:after="0"/>
              <w:rPr>
                <w:sz w:val="20"/>
                <w:szCs w:val="20"/>
                <w:color w:val="auto"/>
              </w:rPr>
            </w:pPr>
            <w:r>
              <w:rPr>
                <w:rFonts w:ascii="Arial" w:cs="Arial" w:eastAsia="Arial" w:hAnsi="Arial"/>
                <w:sz w:val="13"/>
                <w:szCs w:val="13"/>
                <w:b w:val="1"/>
                <w:bCs w:val="1"/>
                <w:color w:val="1252DE"/>
              </w:rPr>
              <w:t>Total</w:t>
            </w:r>
          </w:p>
        </w:tc>
        <w:tc>
          <w:tcPr>
            <w:tcW w:w="2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1252DE"/>
              </w:rPr>
              <w:t>$</w:t>
            </w: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b w:val="1"/>
                <w:bCs w:val="1"/>
                <w:color w:val="1252DE"/>
              </w:rPr>
              <w:t>42,915</w:t>
            </w:r>
          </w:p>
        </w:tc>
        <w:tc>
          <w:tcPr>
            <w:tcW w:w="3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b w:val="1"/>
                <w:bCs w:val="1"/>
                <w:color w:val="1252DE"/>
              </w:rPr>
              <w:t>$</w:t>
            </w:r>
          </w:p>
        </w:tc>
        <w:tc>
          <w:tcPr>
            <w:tcW w:w="1040" w:type="dxa"/>
            <w:vAlign w:val="bottom"/>
            <w:tcBorders>
              <w:bottom w:val="single" w:sz="8" w:color="1352DE"/>
            </w:tcBorders>
          </w:tcPr>
          <w:p>
            <w:pPr>
              <w:jc w:val="right"/>
              <w:ind w:right="113"/>
              <w:spacing w:after="0"/>
              <w:rPr>
                <w:sz w:val="20"/>
                <w:szCs w:val="20"/>
                <w:color w:val="auto"/>
              </w:rPr>
            </w:pPr>
            <w:r>
              <w:rPr>
                <w:rFonts w:ascii="Arial" w:cs="Arial" w:eastAsia="Arial" w:hAnsi="Arial"/>
                <w:sz w:val="13"/>
                <w:szCs w:val="13"/>
                <w:b w:val="1"/>
                <w:bCs w:val="1"/>
                <w:color w:val="1252DE"/>
              </w:rPr>
              <w:t>27,267</w:t>
            </w:r>
          </w:p>
        </w:tc>
        <w:tc>
          <w:tcPr>
            <w:tcW w:w="20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b w:val="1"/>
                <w:bCs w:val="1"/>
                <w:color w:val="1252DE"/>
              </w:rPr>
              <w:t>70,182</w:t>
            </w:r>
          </w:p>
        </w:tc>
        <w:tc>
          <w:tcPr>
            <w:tcW w:w="140" w:type="dxa"/>
            <w:vAlign w:val="bottom"/>
            <w:tcBorders>
              <w:bottom w:val="single" w:sz="8" w:color="1352DE"/>
            </w:tcBorders>
          </w:tcPr>
          <w:p>
            <w:pPr>
              <w:spacing w:after="0"/>
              <w:rPr>
                <w:sz w:val="15"/>
                <w:szCs w:val="15"/>
                <w:color w:val="auto"/>
              </w:rPr>
            </w:pPr>
          </w:p>
        </w:tc>
        <w:tc>
          <w:tcPr>
            <w:tcW w:w="240" w:type="dxa"/>
            <w:vAlign w:val="bottom"/>
            <w:tcBorders>
              <w:bottom w:val="single" w:sz="8" w:color="1352DE"/>
            </w:tcBorders>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1352DE"/>
            </w:tcBorders>
          </w:tcPr>
          <w:p>
            <w:pPr>
              <w:jc w:val="right"/>
              <w:ind w:right="33"/>
              <w:spacing w:after="0"/>
              <w:rPr>
                <w:sz w:val="20"/>
                <w:szCs w:val="20"/>
                <w:color w:val="auto"/>
              </w:rPr>
            </w:pPr>
            <w:r>
              <w:rPr>
                <w:rFonts w:ascii="Arial" w:cs="Arial" w:eastAsia="Arial" w:hAnsi="Arial"/>
                <w:sz w:val="13"/>
                <w:szCs w:val="13"/>
                <w:color w:val="auto"/>
              </w:rPr>
              <w:t>41,795</w:t>
            </w:r>
          </w:p>
        </w:tc>
        <w:tc>
          <w:tcPr>
            <w:tcW w:w="34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1352DE"/>
            </w:tcBorders>
          </w:tcPr>
          <w:p>
            <w:pPr>
              <w:jc w:val="right"/>
              <w:ind w:right="93"/>
              <w:spacing w:after="0"/>
              <w:rPr>
                <w:sz w:val="20"/>
                <w:szCs w:val="20"/>
                <w:color w:val="auto"/>
              </w:rPr>
            </w:pPr>
            <w:r>
              <w:rPr>
                <w:rFonts w:ascii="Arial" w:cs="Arial" w:eastAsia="Arial" w:hAnsi="Arial"/>
                <w:sz w:val="13"/>
                <w:szCs w:val="13"/>
                <w:color w:val="auto"/>
              </w:rPr>
              <w:t>28,871</w:t>
            </w:r>
          </w:p>
        </w:tc>
        <w:tc>
          <w:tcPr>
            <w:tcW w:w="220" w:type="dxa"/>
            <w:vAlign w:val="bottom"/>
            <w:tcBorders>
              <w:bottom w:val="single" w:sz="8" w:color="1352DE"/>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3"/>
                <w:szCs w:val="13"/>
                <w:color w:val="auto"/>
              </w:rPr>
              <w:t>70,666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240" w:hanging="212"/>
        <w:spacing w:after="0" w:line="264" w:lineRule="auto"/>
        <w:tabs>
          <w:tab w:leader="none" w:pos="208" w:val="left"/>
        </w:tabs>
        <w:numPr>
          <w:ilvl w:val="0"/>
          <w:numId w:val="96"/>
        </w:numPr>
        <w:rPr>
          <w:rFonts w:ascii="Arial" w:cs="Arial" w:eastAsia="Arial" w:hAnsi="Arial"/>
          <w:sz w:val="13"/>
          <w:szCs w:val="13"/>
          <w:color w:val="auto"/>
        </w:rPr>
      </w:pPr>
      <w:r>
        <w:rPr>
          <w:rFonts w:ascii="Arial" w:cs="Arial" w:eastAsia="Arial" w:hAnsi="Arial"/>
          <w:sz w:val="13"/>
          <w:szCs w:val="13"/>
          <w:color w:val="auto"/>
        </w:rPr>
        <w:t xml:space="preserve">Includes net loss reserve discount of $1.2 billion and $1.2 billion at September 30, 2026 and December 31, 2025, respectively. </w:t>
      </w:r>
      <w:r>
        <w:rPr>
          <w:rFonts w:ascii="Arial" w:cs="Arial" w:eastAsia="Arial" w:hAnsi="Arial"/>
          <w:sz w:val="13"/>
          <w:szCs w:val="13"/>
          <w:i w:val="1"/>
          <w:iCs w:val="1"/>
          <w:color w:val="auto"/>
        </w:rPr>
        <w:t>For information regarding loss reserve discount, see Note 11 to the</w:t>
      </w:r>
      <w:r>
        <w:rPr>
          <w:rFonts w:ascii="Arial" w:cs="Arial" w:eastAsia="Arial" w:hAnsi="Arial"/>
          <w:sz w:val="13"/>
          <w:szCs w:val="13"/>
          <w:color w:val="auto"/>
        </w:rPr>
        <w:t xml:space="preserve"> </w:t>
      </w:r>
      <w:r>
        <w:rPr>
          <w:rFonts w:ascii="Arial" w:cs="Arial" w:eastAsia="Arial" w:hAnsi="Arial"/>
          <w:sz w:val="13"/>
          <w:szCs w:val="13"/>
          <w:i w:val="1"/>
          <w:iCs w:val="1"/>
          <w:color w:val="auto"/>
        </w:rPr>
        <w:t>Condensed Consolidated Financial Statements.</w:t>
      </w:r>
    </w:p>
    <w:p>
      <w:pPr>
        <w:spacing w:after="0" w:line="49" w:lineRule="exact"/>
        <w:rPr>
          <w:rFonts w:ascii="Arial" w:cs="Arial" w:eastAsia="Arial" w:hAnsi="Arial"/>
          <w:sz w:val="13"/>
          <w:szCs w:val="13"/>
          <w:color w:val="auto"/>
        </w:rPr>
      </w:pPr>
    </w:p>
    <w:p>
      <w:pPr>
        <w:ind w:left="220" w:right="500" w:hanging="212"/>
        <w:spacing w:after="0" w:line="286" w:lineRule="auto"/>
        <w:tabs>
          <w:tab w:leader="none" w:pos="208" w:val="left"/>
        </w:tabs>
        <w:numPr>
          <w:ilvl w:val="0"/>
          <w:numId w:val="96"/>
        </w:numPr>
        <w:rPr>
          <w:rFonts w:ascii="Arial" w:cs="Arial" w:eastAsia="Arial" w:hAnsi="Arial"/>
          <w:sz w:val="13"/>
          <w:szCs w:val="13"/>
          <w:color w:val="auto"/>
        </w:rPr>
      </w:pPr>
      <w:r>
        <w:rPr>
          <w:rFonts w:ascii="Arial" w:cs="Arial" w:eastAsia="Arial" w:hAnsi="Arial"/>
          <w:sz w:val="13"/>
          <w:szCs w:val="13"/>
          <w:color w:val="auto"/>
        </w:rPr>
        <w:t>Other product lines and Unallocated loss adjustment expenses include Gross liability for unpaid losses and loss adjustment expense and Reinsurance recoverable on unpaid losses and loss adjustment expense for the Fortitude Re reinsurance of $2.3 billion and $2.3 billion at September 30, 2026 and December 31, 2025,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Prior Year Development</w:t>
      </w:r>
    </w:p>
    <w:p>
      <w:pPr>
        <w:spacing w:after="0" w:line="189" w:lineRule="exact"/>
        <w:rPr>
          <w:sz w:val="20"/>
          <w:szCs w:val="20"/>
          <w:color w:val="auto"/>
        </w:rPr>
      </w:pPr>
    </w:p>
    <w:p>
      <w:pPr>
        <w:ind w:right="600"/>
        <w:spacing w:after="0" w:line="349" w:lineRule="auto"/>
        <w:rPr>
          <w:sz w:val="20"/>
          <w:szCs w:val="20"/>
          <w:color w:val="auto"/>
        </w:rPr>
      </w:pPr>
      <w:r>
        <w:rPr>
          <w:rFonts w:ascii="Arial" w:cs="Arial" w:eastAsia="Arial" w:hAnsi="Arial"/>
          <w:sz w:val="16"/>
          <w:szCs w:val="16"/>
          <w:b w:val="1"/>
          <w:bCs w:val="1"/>
          <w:color w:val="1352DE"/>
        </w:rPr>
        <w:t>The following table summarizes incurred (favorable) unfavorable prior year development net of reinsurance by segment and major lines of business: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Borders>
              <w:top w:val="single" w:sz="8" w:color="1352DE"/>
            </w:tcBorders>
          </w:tcPr>
          <w:p>
            <w:pPr>
              <w:spacing w:after="0"/>
              <w:rPr>
                <w:sz w:val="14"/>
                <w:szCs w:val="14"/>
                <w:color w:val="auto"/>
              </w:rPr>
            </w:pPr>
          </w:p>
        </w:tc>
        <w:tc>
          <w:tcPr>
            <w:tcW w:w="400" w:type="dxa"/>
            <w:vAlign w:val="bottom"/>
            <w:tcBorders>
              <w:top w:val="single" w:sz="8" w:color="1352DE"/>
            </w:tcBorders>
          </w:tcPr>
          <w:p>
            <w:pPr>
              <w:spacing w:after="0"/>
              <w:rPr>
                <w:sz w:val="14"/>
                <w:szCs w:val="14"/>
                <w:color w:val="auto"/>
              </w:rPr>
            </w:pPr>
          </w:p>
        </w:tc>
        <w:tc>
          <w:tcPr>
            <w:tcW w:w="1680" w:type="dxa"/>
            <w:vAlign w:val="bottom"/>
            <w:tcBorders>
              <w:top w:val="single" w:sz="8" w:color="1352DE"/>
            </w:tcBorders>
            <w:gridSpan w:val="2"/>
          </w:tcPr>
          <w:p>
            <w:pPr>
              <w:jc w:val="right"/>
              <w:ind w:right="68"/>
              <w:spacing w:after="0"/>
              <w:rPr>
                <w:sz w:val="20"/>
                <w:szCs w:val="20"/>
                <w:color w:val="auto"/>
              </w:rPr>
            </w:pPr>
            <w:r>
              <w:rPr>
                <w:rFonts w:ascii="Arial" w:cs="Arial" w:eastAsia="Arial" w:hAnsi="Arial"/>
                <w:sz w:val="14"/>
                <w:szCs w:val="14"/>
                <w:color w:val="1252DE"/>
              </w:rPr>
              <w:t>Three Months Ended</w:t>
            </w:r>
          </w:p>
        </w:tc>
        <w:tc>
          <w:tcPr>
            <w:tcW w:w="480" w:type="dxa"/>
            <w:vAlign w:val="bottom"/>
            <w:tcBorders>
              <w:top w:val="single" w:sz="8" w:color="1352DE"/>
            </w:tcBorders>
          </w:tcPr>
          <w:p>
            <w:pPr>
              <w:spacing w:after="0"/>
              <w:rPr>
                <w:sz w:val="14"/>
                <w:szCs w:val="14"/>
                <w:color w:val="auto"/>
              </w:rPr>
            </w:pPr>
          </w:p>
        </w:tc>
        <w:tc>
          <w:tcPr>
            <w:tcW w:w="220" w:type="dxa"/>
            <w:vAlign w:val="bottom"/>
            <w:tcBorders>
              <w:top w:val="single" w:sz="8" w:color="1352DE"/>
            </w:tcBorders>
          </w:tcPr>
          <w:p>
            <w:pPr>
              <w:spacing w:after="0"/>
              <w:rPr>
                <w:sz w:val="14"/>
                <w:szCs w:val="14"/>
                <w:color w:val="auto"/>
              </w:rPr>
            </w:pPr>
          </w:p>
        </w:tc>
        <w:tc>
          <w:tcPr>
            <w:tcW w:w="440" w:type="dxa"/>
            <w:vAlign w:val="bottom"/>
            <w:tcBorders>
              <w:top w:val="single" w:sz="8" w:color="1352DE"/>
            </w:tcBorders>
          </w:tcPr>
          <w:p>
            <w:pPr>
              <w:spacing w:after="0"/>
              <w:rPr>
                <w:sz w:val="14"/>
                <w:szCs w:val="14"/>
                <w:color w:val="auto"/>
              </w:rPr>
            </w:pPr>
          </w:p>
        </w:tc>
        <w:tc>
          <w:tcPr>
            <w:tcW w:w="1640" w:type="dxa"/>
            <w:vAlign w:val="bottom"/>
            <w:tcBorders>
              <w:top w:val="single" w:sz="8" w:color="1352DE"/>
            </w:tcBorders>
            <w:gridSpan w:val="2"/>
          </w:tcPr>
          <w:p>
            <w:pPr>
              <w:jc w:val="right"/>
              <w:ind w:right="88"/>
              <w:spacing w:after="0"/>
              <w:rPr>
                <w:sz w:val="20"/>
                <w:szCs w:val="20"/>
                <w:color w:val="auto"/>
              </w:rPr>
            </w:pPr>
            <w:r>
              <w:rPr>
                <w:rFonts w:ascii="Arial" w:cs="Arial" w:eastAsia="Arial" w:hAnsi="Arial"/>
                <w:sz w:val="14"/>
                <w:szCs w:val="14"/>
                <w:color w:val="1252DE"/>
              </w:rPr>
              <w:t>Nine Months Ended</w:t>
            </w:r>
          </w:p>
        </w:tc>
        <w:tc>
          <w:tcPr>
            <w:tcW w:w="500" w:type="dxa"/>
            <w:vAlign w:val="bottom"/>
            <w:tcBorders>
              <w:top w:val="single" w:sz="8" w:color="1352DE"/>
            </w:tcBorders>
          </w:tcPr>
          <w:p>
            <w:pPr>
              <w:spacing w:after="0"/>
              <w:rPr>
                <w:sz w:val="14"/>
                <w:szCs w:val="14"/>
                <w:color w:val="auto"/>
              </w:rPr>
            </w:pPr>
          </w:p>
        </w:tc>
      </w:tr>
      <w:tr>
        <w:trPr>
          <w:trHeight w:val="189"/>
        </w:trPr>
        <w:tc>
          <w:tcPr>
            <w:tcW w:w="5860" w:type="dxa"/>
            <w:vAlign w:val="bottom"/>
          </w:tcPr>
          <w:p>
            <w:pPr>
              <w:spacing w:after="0"/>
              <w:rPr>
                <w:sz w:val="16"/>
                <w:szCs w:val="16"/>
                <w:color w:val="auto"/>
              </w:rPr>
            </w:pPr>
          </w:p>
        </w:tc>
        <w:tc>
          <w:tcPr>
            <w:tcW w:w="400" w:type="dxa"/>
            <w:vAlign w:val="bottom"/>
            <w:tcBorders>
              <w:bottom w:val="single" w:sz="8" w:color="1352DE"/>
            </w:tcBorders>
          </w:tcPr>
          <w:p>
            <w:pPr>
              <w:spacing w:after="0"/>
              <w:rPr>
                <w:sz w:val="16"/>
                <w:szCs w:val="16"/>
                <w:color w:val="auto"/>
              </w:rPr>
            </w:pPr>
          </w:p>
        </w:tc>
        <w:tc>
          <w:tcPr>
            <w:tcW w:w="1680" w:type="dxa"/>
            <w:vAlign w:val="bottom"/>
            <w:tcBorders>
              <w:bottom w:val="single" w:sz="8" w:color="1352DE"/>
            </w:tcBorders>
            <w:gridSpan w:val="2"/>
          </w:tcPr>
          <w:p>
            <w:pPr>
              <w:jc w:val="right"/>
              <w:ind w:right="268"/>
              <w:spacing w:after="0"/>
              <w:rPr>
                <w:sz w:val="20"/>
                <w:szCs w:val="20"/>
                <w:color w:val="auto"/>
              </w:rPr>
            </w:pPr>
            <w:r>
              <w:rPr>
                <w:rFonts w:ascii="Arial" w:cs="Arial" w:eastAsia="Arial" w:hAnsi="Arial"/>
                <w:sz w:val="14"/>
                <w:szCs w:val="14"/>
                <w:color w:val="1252DE"/>
              </w:rPr>
              <w:t>September 30,</w:t>
            </w:r>
          </w:p>
        </w:tc>
        <w:tc>
          <w:tcPr>
            <w:tcW w:w="480" w:type="dxa"/>
            <w:vAlign w:val="bottom"/>
            <w:tcBorders>
              <w:bottom w:val="single" w:sz="8" w:color="1352DE"/>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1352DE"/>
            </w:tcBorders>
          </w:tcPr>
          <w:p>
            <w:pPr>
              <w:spacing w:after="0"/>
              <w:rPr>
                <w:sz w:val="16"/>
                <w:szCs w:val="16"/>
                <w:color w:val="auto"/>
              </w:rPr>
            </w:pPr>
          </w:p>
        </w:tc>
        <w:tc>
          <w:tcPr>
            <w:tcW w:w="1640" w:type="dxa"/>
            <w:vAlign w:val="bottom"/>
            <w:tcBorders>
              <w:bottom w:val="single" w:sz="8" w:color="1352DE"/>
            </w:tcBorders>
            <w:gridSpan w:val="2"/>
          </w:tcPr>
          <w:p>
            <w:pPr>
              <w:jc w:val="right"/>
              <w:ind w:right="248"/>
              <w:spacing w:after="0"/>
              <w:rPr>
                <w:sz w:val="20"/>
                <w:szCs w:val="20"/>
                <w:color w:val="auto"/>
              </w:rPr>
            </w:pPr>
            <w:r>
              <w:rPr>
                <w:rFonts w:ascii="Arial" w:cs="Arial" w:eastAsia="Arial" w:hAnsi="Arial"/>
                <w:sz w:val="14"/>
                <w:szCs w:val="14"/>
                <w:color w:val="1252DE"/>
              </w:rPr>
              <w:t>September 30,</w:t>
            </w:r>
          </w:p>
        </w:tc>
        <w:tc>
          <w:tcPr>
            <w:tcW w:w="500" w:type="dxa"/>
            <w:vAlign w:val="bottom"/>
            <w:tcBorders>
              <w:bottom w:val="single" w:sz="8" w:color="1352DE"/>
            </w:tcBorders>
          </w:tcPr>
          <w:p>
            <w:pPr>
              <w:spacing w:after="0"/>
              <w:rPr>
                <w:sz w:val="16"/>
                <w:szCs w:val="16"/>
                <w:color w:val="auto"/>
              </w:rPr>
            </w:pPr>
          </w:p>
        </w:tc>
      </w:tr>
      <w:tr>
        <w:trPr>
          <w:trHeight w:val="195"/>
        </w:trPr>
        <w:tc>
          <w:tcPr>
            <w:tcW w:w="5860" w:type="dxa"/>
            <w:vAlign w:val="bottom"/>
            <w:tcBorders>
              <w:bottom w:val="single" w:sz="8" w:color="1352DE"/>
            </w:tcBorders>
          </w:tcPr>
          <w:p>
            <w:pPr>
              <w:ind w:left="20"/>
              <w:spacing w:after="0" w:line="144" w:lineRule="exact"/>
              <w:rPr>
                <w:sz w:val="20"/>
                <w:szCs w:val="20"/>
                <w:color w:val="auto"/>
              </w:rPr>
            </w:pPr>
            <w:r>
              <w:rPr>
                <w:rFonts w:ascii="Arial" w:cs="Arial" w:eastAsia="Arial" w:hAnsi="Arial"/>
                <w:sz w:val="13"/>
                <w:szCs w:val="13"/>
                <w:i w:val="1"/>
                <w:iCs w:val="1"/>
                <w:color w:val="1252DE"/>
              </w:rPr>
              <w:t>(in millions)</w:t>
            </w:r>
          </w:p>
        </w:tc>
        <w:tc>
          <w:tcPr>
            <w:tcW w:w="40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2026</w:t>
            </w:r>
          </w:p>
        </w:tc>
        <w:tc>
          <w:tcPr>
            <w:tcW w:w="740" w:type="dxa"/>
            <w:vAlign w:val="bottom"/>
            <w:tcBorders>
              <w:bottom w:val="single" w:sz="8" w:color="1352DE"/>
            </w:tcBorders>
          </w:tcPr>
          <w:p>
            <w:pPr>
              <w:spacing w:after="0"/>
              <w:rPr>
                <w:sz w:val="16"/>
                <w:szCs w:val="16"/>
                <w:color w:val="auto"/>
              </w:rPr>
            </w:pP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20" w:type="dxa"/>
            <w:vAlign w:val="bottom"/>
            <w:tcBorders>
              <w:bottom w:val="single" w:sz="8" w:color="1352DE"/>
            </w:tcBorders>
          </w:tcPr>
          <w:p>
            <w:pPr>
              <w:spacing w:after="0"/>
              <w:rPr>
                <w:sz w:val="16"/>
                <w:szCs w:val="16"/>
                <w:color w:val="auto"/>
              </w:rPr>
            </w:pPr>
          </w:p>
        </w:tc>
        <w:tc>
          <w:tcPr>
            <w:tcW w:w="44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2026</w:t>
            </w:r>
          </w:p>
        </w:tc>
        <w:tc>
          <w:tcPr>
            <w:tcW w:w="74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r>
      <w:tr>
        <w:trPr>
          <w:trHeight w:val="195"/>
        </w:trPr>
        <w:tc>
          <w:tcPr>
            <w:tcW w:w="5860" w:type="dxa"/>
            <w:vAlign w:val="bottom"/>
          </w:tcPr>
          <w:p>
            <w:pPr>
              <w:ind w:left="20"/>
              <w:spacing w:after="0"/>
              <w:rPr>
                <w:sz w:val="20"/>
                <w:szCs w:val="20"/>
                <w:color w:val="auto"/>
              </w:rPr>
            </w:pPr>
            <w:r>
              <w:rPr>
                <w:rFonts w:ascii="Arial" w:cs="Arial" w:eastAsia="Arial" w:hAnsi="Arial"/>
                <w:sz w:val="14"/>
                <w:szCs w:val="14"/>
                <w:b w:val="1"/>
                <w:bCs w:val="1"/>
                <w:color w:val="1252DE"/>
              </w:rPr>
              <w:t>General Insurance:</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5860" w:type="dxa"/>
            <w:vAlign w:val="bottom"/>
          </w:tcPr>
          <w:p>
            <w:pPr>
              <w:ind w:left="140"/>
              <w:spacing w:after="0"/>
              <w:rPr>
                <w:sz w:val="20"/>
                <w:szCs w:val="20"/>
                <w:color w:val="auto"/>
              </w:rPr>
            </w:pPr>
            <w:r>
              <w:rPr>
                <w:rFonts w:ascii="Arial" w:cs="Arial" w:eastAsia="Arial" w:hAnsi="Arial"/>
                <w:sz w:val="14"/>
                <w:szCs w:val="14"/>
                <w:b w:val="1"/>
                <w:bCs w:val="1"/>
                <w:color w:val="1352DE"/>
              </w:rPr>
              <w:t>North America Commercial:</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5860" w:type="dxa"/>
            <w:vAlign w:val="bottom"/>
          </w:tcPr>
          <w:p>
            <w:pPr>
              <w:ind w:left="240"/>
              <w:spacing w:after="0"/>
              <w:rPr>
                <w:sz w:val="20"/>
                <w:szCs w:val="20"/>
                <w:color w:val="auto"/>
              </w:rPr>
            </w:pPr>
            <w:r>
              <w:rPr>
                <w:rFonts w:ascii="Arial" w:cs="Arial" w:eastAsia="Arial" w:hAnsi="Arial"/>
                <w:sz w:val="14"/>
                <w:szCs w:val="14"/>
                <w:color w:val="auto"/>
              </w:rPr>
              <w:t>U.S. Workers' Compensation</w:t>
            </w:r>
          </w:p>
        </w:tc>
        <w:tc>
          <w:tcPr>
            <w:tcW w:w="40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1252DE"/>
              </w:rPr>
              <w:t>(1)</w:t>
            </w:r>
          </w:p>
        </w:tc>
        <w:tc>
          <w:tcPr>
            <w:tcW w:w="7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7"/>
                <w:szCs w:val="17"/>
                <w:color w:val="auto"/>
              </w:rPr>
            </w:pPr>
          </w:p>
        </w:tc>
        <w:tc>
          <w:tcPr>
            <w:tcW w:w="440" w:type="dxa"/>
            <w:vAlign w:val="bottom"/>
          </w:tcPr>
          <w:p>
            <w:pPr>
              <w:jc w:val="right"/>
              <w:ind w:right="148"/>
              <w:spacing w:after="0"/>
              <w:rPr>
                <w:sz w:val="20"/>
                <w:szCs w:val="20"/>
                <w:color w:val="auto"/>
              </w:rPr>
            </w:pPr>
            <w:r>
              <w:rPr>
                <w:rFonts w:ascii="Arial" w:cs="Arial" w:eastAsia="Arial" w:hAnsi="Arial"/>
                <w:sz w:val="14"/>
                <w:szCs w:val="14"/>
                <w:b w:val="1"/>
                <w:bCs w:val="1"/>
                <w:color w:val="1252DE"/>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1252DE"/>
              </w:rPr>
              <w:t>(186)</w:t>
            </w: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3"/>
        </w:trPr>
        <w:tc>
          <w:tcPr>
            <w:tcW w:w="5860" w:type="dxa"/>
            <w:vAlign w:val="bottom"/>
          </w:tcPr>
          <w:p>
            <w:pPr>
              <w:ind w:left="240"/>
              <w:spacing w:after="0"/>
              <w:rPr>
                <w:sz w:val="20"/>
                <w:szCs w:val="20"/>
                <w:color w:val="auto"/>
              </w:rPr>
            </w:pPr>
            <w:r>
              <w:rPr>
                <w:rFonts w:ascii="Arial" w:cs="Arial" w:eastAsia="Arial" w:hAnsi="Arial"/>
                <w:sz w:val="14"/>
                <w:szCs w:val="14"/>
                <w:color w:val="auto"/>
              </w:rPr>
              <w:t>U.S. Excess Casualty</w:t>
            </w:r>
          </w:p>
        </w:tc>
        <w:tc>
          <w:tcPr>
            <w:tcW w:w="4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1252DE"/>
              </w:rPr>
              <w:t>(6)</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1252DE"/>
              </w:rPr>
              <w:t>62</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03"/>
        </w:trPr>
        <w:tc>
          <w:tcPr>
            <w:tcW w:w="5860" w:type="dxa"/>
            <w:vAlign w:val="bottom"/>
          </w:tcPr>
          <w:p>
            <w:pPr>
              <w:ind w:left="240"/>
              <w:spacing w:after="0"/>
              <w:rPr>
                <w:sz w:val="20"/>
                <w:szCs w:val="20"/>
                <w:color w:val="auto"/>
              </w:rPr>
            </w:pPr>
            <w:r>
              <w:rPr>
                <w:rFonts w:ascii="Arial" w:cs="Arial" w:eastAsia="Arial" w:hAnsi="Arial"/>
                <w:sz w:val="14"/>
                <w:szCs w:val="14"/>
                <w:color w:val="auto"/>
              </w:rPr>
              <w:t>U.S. Other Casualty</w:t>
            </w:r>
          </w:p>
        </w:tc>
        <w:tc>
          <w:tcPr>
            <w:tcW w:w="4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1252DE"/>
              </w:rPr>
              <w:t>(5)</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1252DE"/>
              </w:rPr>
              <w:t>6</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5860" w:type="dxa"/>
            <w:vAlign w:val="bottom"/>
          </w:tcPr>
          <w:p>
            <w:pPr>
              <w:ind w:left="240"/>
              <w:spacing w:after="0"/>
              <w:rPr>
                <w:sz w:val="20"/>
                <w:szCs w:val="20"/>
                <w:color w:val="auto"/>
              </w:rPr>
            </w:pPr>
            <w:r>
              <w:rPr>
                <w:rFonts w:ascii="Arial" w:cs="Arial" w:eastAsia="Arial" w:hAnsi="Arial"/>
                <w:sz w:val="14"/>
                <w:szCs w:val="14"/>
                <w:color w:val="auto"/>
              </w:rPr>
              <w:t>U.S. Financial Lines</w:t>
            </w:r>
          </w:p>
        </w:tc>
        <w:tc>
          <w:tcPr>
            <w:tcW w:w="4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1252DE"/>
              </w:rPr>
              <w:t>(1)</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1252DE"/>
              </w:rPr>
              <w:t>(28)</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3"/>
        </w:trPr>
        <w:tc>
          <w:tcPr>
            <w:tcW w:w="5860" w:type="dxa"/>
            <w:vAlign w:val="bottom"/>
          </w:tcPr>
          <w:p>
            <w:pPr>
              <w:ind w:left="240"/>
              <w:spacing w:after="0"/>
              <w:rPr>
                <w:sz w:val="20"/>
                <w:szCs w:val="20"/>
                <w:color w:val="auto"/>
              </w:rPr>
            </w:pPr>
            <w:r>
              <w:rPr>
                <w:rFonts w:ascii="Arial" w:cs="Arial" w:eastAsia="Arial" w:hAnsi="Arial"/>
                <w:sz w:val="14"/>
                <w:szCs w:val="14"/>
                <w:color w:val="auto"/>
              </w:rPr>
              <w:t>U.S. Property and Special Risks</w:t>
            </w:r>
          </w:p>
        </w:tc>
        <w:tc>
          <w:tcPr>
            <w:tcW w:w="4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1252DE"/>
              </w:rPr>
              <w:t>(8)</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1252DE"/>
              </w:rPr>
              <w:t>(155)</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3"/>
        </w:trPr>
        <w:tc>
          <w:tcPr>
            <w:tcW w:w="586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Other Product Lines</w:t>
            </w:r>
          </w:p>
        </w:tc>
        <w:tc>
          <w:tcPr>
            <w:tcW w:w="400" w:type="dxa"/>
            <w:vAlign w:val="bottom"/>
            <w:tcBorders>
              <w:bottom w:val="single" w:sz="8" w:color="1352DE"/>
            </w:tcBorders>
          </w:tcPr>
          <w:p>
            <w:pPr>
              <w:spacing w:after="0"/>
              <w:rPr>
                <w:sz w:val="17"/>
                <w:szCs w:val="17"/>
                <w:color w:val="auto"/>
              </w:rPr>
            </w:pPr>
          </w:p>
        </w:tc>
        <w:tc>
          <w:tcPr>
            <w:tcW w:w="9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(25)</w:t>
            </w:r>
          </w:p>
        </w:tc>
        <w:tc>
          <w:tcPr>
            <w:tcW w:w="740" w:type="dxa"/>
            <w:vAlign w:val="bottom"/>
            <w:tcBorders>
              <w:bottom w:val="single" w:sz="8" w:color="1352DE"/>
            </w:tcBorders>
          </w:tcPr>
          <w:p>
            <w:pPr>
              <w:spacing w:after="0"/>
              <w:rPr>
                <w:sz w:val="17"/>
                <w:szCs w:val="17"/>
                <w:color w:val="auto"/>
              </w:rPr>
            </w:pP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(17)</w:t>
            </w:r>
          </w:p>
        </w:tc>
        <w:tc>
          <w:tcPr>
            <w:tcW w:w="74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(152)</w:t>
            </w:r>
          </w:p>
        </w:tc>
      </w:tr>
      <w:tr>
        <w:trPr>
          <w:trHeight w:val="196"/>
        </w:trPr>
        <w:tc>
          <w:tcPr>
            <w:tcW w:w="586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352DE"/>
              </w:rPr>
              <w:t>Total North America Commercial</w:t>
            </w:r>
          </w:p>
        </w:tc>
        <w:tc>
          <w:tcPr>
            <w:tcW w:w="40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4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(46)</w:t>
            </w:r>
          </w:p>
        </w:tc>
        <w:tc>
          <w:tcPr>
            <w:tcW w:w="740" w:type="dxa"/>
            <w:vAlign w:val="bottom"/>
            <w:tcBorders>
              <w:bottom w:val="single" w:sz="8" w:color="1352DE"/>
            </w:tcBorders>
          </w:tcPr>
          <w:p>
            <w:pPr>
              <w:jc w:val="right"/>
              <w:ind w:right="5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(139)</w:t>
            </w:r>
          </w:p>
        </w:tc>
        <w:tc>
          <w:tcPr>
            <w:tcW w:w="22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jc w:val="right"/>
              <w:ind w:right="148"/>
              <w:spacing w:after="0"/>
              <w:rPr>
                <w:sz w:val="20"/>
                <w:szCs w:val="20"/>
                <w:color w:val="auto"/>
              </w:rPr>
            </w:pPr>
            <w:r>
              <w:rPr>
                <w:rFonts w:ascii="Arial" w:cs="Arial" w:eastAsia="Arial" w:hAnsi="Arial"/>
                <w:sz w:val="14"/>
                <w:szCs w:val="14"/>
                <w:b w:val="1"/>
                <w:bCs w:val="1"/>
                <w:color w:val="1252DE"/>
              </w:rPr>
              <w:t>$</w:t>
            </w: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(318)</w:t>
            </w:r>
          </w:p>
        </w:tc>
        <w:tc>
          <w:tcPr>
            <w:tcW w:w="74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771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760" w:hanging="734"/>
        <w:spacing w:after="0"/>
        <w:tabs>
          <w:tab w:leader="none" w:pos="760" w:val="left"/>
        </w:tabs>
        <w:numPr>
          <w:ilvl w:val="0"/>
          <w:numId w:val="97"/>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Insurance Reserves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Borders>
              <w:top w:val="single" w:sz="8" w:color="1352DE"/>
            </w:tcBorders>
          </w:tcPr>
          <w:p>
            <w:pPr>
              <w:spacing w:after="0"/>
              <w:rPr>
                <w:sz w:val="14"/>
                <w:szCs w:val="14"/>
                <w:color w:val="auto"/>
              </w:rPr>
            </w:pPr>
          </w:p>
        </w:tc>
        <w:tc>
          <w:tcPr>
            <w:tcW w:w="420" w:type="dxa"/>
            <w:vAlign w:val="bottom"/>
            <w:tcBorders>
              <w:top w:val="single" w:sz="8" w:color="1352DE"/>
            </w:tcBorders>
          </w:tcPr>
          <w:p>
            <w:pPr>
              <w:spacing w:after="0"/>
              <w:rPr>
                <w:sz w:val="14"/>
                <w:szCs w:val="14"/>
                <w:color w:val="auto"/>
              </w:rPr>
            </w:pPr>
          </w:p>
        </w:tc>
        <w:tc>
          <w:tcPr>
            <w:tcW w:w="1660" w:type="dxa"/>
            <w:vAlign w:val="bottom"/>
            <w:tcBorders>
              <w:top w:val="single" w:sz="8" w:color="1352DE"/>
            </w:tcBorders>
            <w:gridSpan w:val="2"/>
          </w:tcPr>
          <w:p>
            <w:pPr>
              <w:jc w:val="right"/>
              <w:ind w:right="48"/>
              <w:spacing w:after="0"/>
              <w:rPr>
                <w:sz w:val="20"/>
                <w:szCs w:val="20"/>
                <w:color w:val="auto"/>
              </w:rPr>
            </w:pPr>
            <w:r>
              <w:rPr>
                <w:rFonts w:ascii="Arial" w:cs="Arial" w:eastAsia="Arial" w:hAnsi="Arial"/>
                <w:sz w:val="14"/>
                <w:szCs w:val="14"/>
                <w:color w:val="1252DE"/>
              </w:rPr>
              <w:t>Three Months Ended</w:t>
            </w:r>
          </w:p>
        </w:tc>
        <w:tc>
          <w:tcPr>
            <w:tcW w:w="480" w:type="dxa"/>
            <w:vAlign w:val="bottom"/>
            <w:tcBorders>
              <w:top w:val="single" w:sz="8" w:color="1352DE"/>
            </w:tcBorders>
          </w:tcPr>
          <w:p>
            <w:pPr>
              <w:spacing w:after="0"/>
              <w:rPr>
                <w:sz w:val="14"/>
                <w:szCs w:val="14"/>
                <w:color w:val="auto"/>
              </w:rPr>
            </w:pPr>
          </w:p>
        </w:tc>
        <w:tc>
          <w:tcPr>
            <w:tcW w:w="240" w:type="dxa"/>
            <w:vAlign w:val="bottom"/>
            <w:tcBorders>
              <w:top w:val="single" w:sz="8" w:color="1352DE"/>
            </w:tcBorders>
          </w:tcPr>
          <w:p>
            <w:pPr>
              <w:spacing w:after="0"/>
              <w:rPr>
                <w:sz w:val="14"/>
                <w:szCs w:val="14"/>
                <w:color w:val="auto"/>
              </w:rPr>
            </w:pPr>
          </w:p>
        </w:tc>
        <w:tc>
          <w:tcPr>
            <w:tcW w:w="440" w:type="dxa"/>
            <w:vAlign w:val="bottom"/>
            <w:tcBorders>
              <w:top w:val="single" w:sz="8" w:color="1352DE"/>
            </w:tcBorders>
          </w:tcPr>
          <w:p>
            <w:pPr>
              <w:spacing w:after="0"/>
              <w:rPr>
                <w:sz w:val="14"/>
                <w:szCs w:val="14"/>
                <w:color w:val="auto"/>
              </w:rPr>
            </w:pPr>
          </w:p>
        </w:tc>
        <w:tc>
          <w:tcPr>
            <w:tcW w:w="1640" w:type="dxa"/>
            <w:vAlign w:val="bottom"/>
            <w:tcBorders>
              <w:top w:val="single" w:sz="8" w:color="1352DE"/>
            </w:tcBorders>
            <w:gridSpan w:val="2"/>
          </w:tcPr>
          <w:p>
            <w:pPr>
              <w:jc w:val="right"/>
              <w:ind w:right="88"/>
              <w:spacing w:after="0"/>
              <w:rPr>
                <w:sz w:val="20"/>
                <w:szCs w:val="20"/>
                <w:color w:val="auto"/>
              </w:rPr>
            </w:pPr>
            <w:r>
              <w:rPr>
                <w:rFonts w:ascii="Arial" w:cs="Arial" w:eastAsia="Arial" w:hAnsi="Arial"/>
                <w:sz w:val="14"/>
                <w:szCs w:val="14"/>
                <w:color w:val="1252DE"/>
              </w:rPr>
              <w:t>Nine Months Ended</w:t>
            </w:r>
          </w:p>
        </w:tc>
        <w:tc>
          <w:tcPr>
            <w:tcW w:w="500" w:type="dxa"/>
            <w:vAlign w:val="bottom"/>
            <w:tcBorders>
              <w:top w:val="single" w:sz="8" w:color="1352DE"/>
            </w:tcBorders>
          </w:tcPr>
          <w:p>
            <w:pPr>
              <w:spacing w:after="0"/>
              <w:rPr>
                <w:sz w:val="14"/>
                <w:szCs w:val="14"/>
                <w:color w:val="auto"/>
              </w:rPr>
            </w:pPr>
          </w:p>
        </w:tc>
      </w:tr>
      <w:tr>
        <w:trPr>
          <w:trHeight w:val="189"/>
        </w:trPr>
        <w:tc>
          <w:tcPr>
            <w:tcW w:w="5840" w:type="dxa"/>
            <w:vAlign w:val="bottom"/>
          </w:tcPr>
          <w:p>
            <w:pPr>
              <w:spacing w:after="0"/>
              <w:rPr>
                <w:sz w:val="16"/>
                <w:szCs w:val="16"/>
                <w:color w:val="auto"/>
              </w:rPr>
            </w:pPr>
          </w:p>
        </w:tc>
        <w:tc>
          <w:tcPr>
            <w:tcW w:w="420" w:type="dxa"/>
            <w:vAlign w:val="bottom"/>
            <w:tcBorders>
              <w:bottom w:val="single" w:sz="8" w:color="1352DE"/>
            </w:tcBorders>
          </w:tcPr>
          <w:p>
            <w:pPr>
              <w:spacing w:after="0"/>
              <w:rPr>
                <w:sz w:val="16"/>
                <w:szCs w:val="16"/>
                <w:color w:val="auto"/>
              </w:rPr>
            </w:pPr>
          </w:p>
        </w:tc>
        <w:tc>
          <w:tcPr>
            <w:tcW w:w="1660" w:type="dxa"/>
            <w:vAlign w:val="bottom"/>
            <w:tcBorders>
              <w:bottom w:val="single" w:sz="8" w:color="1352DE"/>
            </w:tcBorders>
            <w:gridSpan w:val="2"/>
          </w:tcPr>
          <w:p>
            <w:pPr>
              <w:jc w:val="right"/>
              <w:ind w:right="248"/>
              <w:spacing w:after="0"/>
              <w:rPr>
                <w:sz w:val="20"/>
                <w:szCs w:val="20"/>
                <w:color w:val="auto"/>
              </w:rPr>
            </w:pPr>
            <w:r>
              <w:rPr>
                <w:rFonts w:ascii="Arial" w:cs="Arial" w:eastAsia="Arial" w:hAnsi="Arial"/>
                <w:sz w:val="14"/>
                <w:szCs w:val="14"/>
                <w:color w:val="1252DE"/>
              </w:rPr>
              <w:t>September 30,</w:t>
            </w:r>
          </w:p>
        </w:tc>
        <w:tc>
          <w:tcPr>
            <w:tcW w:w="480" w:type="dxa"/>
            <w:vAlign w:val="bottom"/>
            <w:tcBorders>
              <w:bottom w:val="single" w:sz="8" w:color="1352DE"/>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1352DE"/>
            </w:tcBorders>
          </w:tcPr>
          <w:p>
            <w:pPr>
              <w:spacing w:after="0"/>
              <w:rPr>
                <w:sz w:val="16"/>
                <w:szCs w:val="16"/>
                <w:color w:val="auto"/>
              </w:rPr>
            </w:pPr>
          </w:p>
        </w:tc>
        <w:tc>
          <w:tcPr>
            <w:tcW w:w="1640" w:type="dxa"/>
            <w:vAlign w:val="bottom"/>
            <w:tcBorders>
              <w:bottom w:val="single" w:sz="8" w:color="1352DE"/>
            </w:tcBorders>
            <w:gridSpan w:val="2"/>
          </w:tcPr>
          <w:p>
            <w:pPr>
              <w:jc w:val="right"/>
              <w:ind w:right="248"/>
              <w:spacing w:after="0"/>
              <w:rPr>
                <w:sz w:val="20"/>
                <w:szCs w:val="20"/>
                <w:color w:val="auto"/>
              </w:rPr>
            </w:pPr>
            <w:r>
              <w:rPr>
                <w:rFonts w:ascii="Arial" w:cs="Arial" w:eastAsia="Arial" w:hAnsi="Arial"/>
                <w:sz w:val="14"/>
                <w:szCs w:val="14"/>
                <w:color w:val="1252DE"/>
              </w:rPr>
              <w:t>September 30,</w:t>
            </w:r>
          </w:p>
        </w:tc>
        <w:tc>
          <w:tcPr>
            <w:tcW w:w="500" w:type="dxa"/>
            <w:vAlign w:val="bottom"/>
            <w:tcBorders>
              <w:bottom w:val="single" w:sz="8" w:color="1352DE"/>
            </w:tcBorders>
          </w:tcPr>
          <w:p>
            <w:pPr>
              <w:spacing w:after="0"/>
              <w:rPr>
                <w:sz w:val="16"/>
                <w:szCs w:val="16"/>
                <w:color w:val="auto"/>
              </w:rPr>
            </w:pPr>
          </w:p>
        </w:tc>
      </w:tr>
      <w:tr>
        <w:trPr>
          <w:trHeight w:val="195"/>
        </w:trPr>
        <w:tc>
          <w:tcPr>
            <w:tcW w:w="5840" w:type="dxa"/>
            <w:vAlign w:val="bottom"/>
            <w:tcBorders>
              <w:bottom w:val="single" w:sz="8" w:color="1352DE"/>
            </w:tcBorders>
          </w:tcPr>
          <w:p>
            <w:pPr>
              <w:ind w:left="20"/>
              <w:spacing w:after="0" w:line="144" w:lineRule="exact"/>
              <w:rPr>
                <w:sz w:val="20"/>
                <w:szCs w:val="20"/>
                <w:color w:val="auto"/>
              </w:rPr>
            </w:pPr>
            <w:r>
              <w:rPr>
                <w:rFonts w:ascii="Arial" w:cs="Arial" w:eastAsia="Arial" w:hAnsi="Arial"/>
                <w:sz w:val="13"/>
                <w:szCs w:val="13"/>
                <w:i w:val="1"/>
                <w:iCs w:val="1"/>
                <w:color w:val="1252DE"/>
              </w:rPr>
              <w:t>(in millions)</w:t>
            </w:r>
          </w:p>
        </w:tc>
        <w:tc>
          <w:tcPr>
            <w:tcW w:w="420" w:type="dxa"/>
            <w:vAlign w:val="bottom"/>
            <w:tcBorders>
              <w:bottom w:val="single" w:sz="8" w:color="1352DE"/>
            </w:tcBorders>
          </w:tcPr>
          <w:p>
            <w:pPr>
              <w:spacing w:after="0"/>
              <w:rPr>
                <w:sz w:val="16"/>
                <w:szCs w:val="16"/>
                <w:color w:val="auto"/>
              </w:rPr>
            </w:pP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2026</w:t>
            </w:r>
          </w:p>
        </w:tc>
        <w:tc>
          <w:tcPr>
            <w:tcW w:w="740" w:type="dxa"/>
            <w:vAlign w:val="bottom"/>
            <w:tcBorders>
              <w:bottom w:val="single" w:sz="8" w:color="1352DE"/>
            </w:tcBorders>
          </w:tcPr>
          <w:p>
            <w:pPr>
              <w:spacing w:after="0"/>
              <w:rPr>
                <w:sz w:val="16"/>
                <w:szCs w:val="16"/>
                <w:color w:val="auto"/>
              </w:rPr>
            </w:pP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c>
          <w:tcPr>
            <w:tcW w:w="240" w:type="dxa"/>
            <w:vAlign w:val="bottom"/>
            <w:tcBorders>
              <w:bottom w:val="single" w:sz="8" w:color="1352DE"/>
            </w:tcBorders>
          </w:tcPr>
          <w:p>
            <w:pPr>
              <w:spacing w:after="0"/>
              <w:rPr>
                <w:sz w:val="16"/>
                <w:szCs w:val="16"/>
                <w:color w:val="auto"/>
              </w:rPr>
            </w:pPr>
          </w:p>
        </w:tc>
        <w:tc>
          <w:tcPr>
            <w:tcW w:w="440" w:type="dxa"/>
            <w:vAlign w:val="bottom"/>
            <w:tcBorders>
              <w:bottom w:val="single" w:sz="8" w:color="1352DE"/>
            </w:tcBorders>
          </w:tcPr>
          <w:p>
            <w:pPr>
              <w:spacing w:after="0"/>
              <w:rPr>
                <w:sz w:val="16"/>
                <w:szCs w:val="16"/>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2026</w:t>
            </w:r>
          </w:p>
        </w:tc>
        <w:tc>
          <w:tcPr>
            <w:tcW w:w="740" w:type="dxa"/>
            <w:vAlign w:val="bottom"/>
            <w:tcBorders>
              <w:bottom w:val="single" w:sz="8" w:color="1352DE"/>
            </w:tcBorders>
          </w:tcPr>
          <w:p>
            <w:pPr>
              <w:spacing w:after="0"/>
              <w:rPr>
                <w:sz w:val="16"/>
                <w:szCs w:val="16"/>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2025</w:t>
            </w:r>
          </w:p>
        </w:tc>
      </w:tr>
      <w:tr>
        <w:trPr>
          <w:trHeight w:val="195"/>
        </w:trPr>
        <w:tc>
          <w:tcPr>
            <w:tcW w:w="5840" w:type="dxa"/>
            <w:vAlign w:val="bottom"/>
          </w:tcPr>
          <w:p>
            <w:pPr>
              <w:ind w:left="140"/>
              <w:spacing w:after="0"/>
              <w:rPr>
                <w:sz w:val="20"/>
                <w:szCs w:val="20"/>
                <w:color w:val="auto"/>
              </w:rPr>
            </w:pPr>
            <w:r>
              <w:rPr>
                <w:rFonts w:ascii="Arial" w:cs="Arial" w:eastAsia="Arial" w:hAnsi="Arial"/>
                <w:sz w:val="14"/>
                <w:szCs w:val="14"/>
                <w:b w:val="1"/>
                <w:bCs w:val="1"/>
                <w:color w:val="1352DE"/>
              </w:rPr>
              <w:t>International Commercial:</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5840" w:type="dxa"/>
            <w:vAlign w:val="bottom"/>
          </w:tcPr>
          <w:p>
            <w:pPr>
              <w:ind w:left="240"/>
              <w:spacing w:after="0"/>
              <w:rPr>
                <w:sz w:val="20"/>
                <w:szCs w:val="20"/>
                <w:color w:val="auto"/>
              </w:rPr>
            </w:pPr>
            <w:r>
              <w:rPr>
                <w:rFonts w:ascii="Arial" w:cs="Arial" w:eastAsia="Arial" w:hAnsi="Arial"/>
                <w:sz w:val="14"/>
                <w:szCs w:val="14"/>
                <w:color w:val="auto"/>
              </w:rPr>
              <w:t>UK/Europe Casualty and Financial Lines</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1252DE"/>
              </w:rPr>
              <w:t>(17)</w:t>
            </w: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216</w:t>
            </w:r>
          </w:p>
        </w:tc>
        <w:tc>
          <w:tcPr>
            <w:tcW w:w="240" w:type="dxa"/>
            <w:vAlign w:val="bottom"/>
          </w:tcPr>
          <w:p>
            <w:pPr>
              <w:spacing w:after="0"/>
              <w:rPr>
                <w:sz w:val="17"/>
                <w:szCs w:val="17"/>
                <w:color w:val="auto"/>
              </w:rPr>
            </w:pPr>
          </w:p>
        </w:tc>
        <w:tc>
          <w:tcPr>
            <w:tcW w:w="440" w:type="dxa"/>
            <w:vAlign w:val="bottom"/>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1252DE"/>
              </w:rPr>
              <w:t>(16)</w:t>
            </w: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03"/>
        </w:trPr>
        <w:tc>
          <w:tcPr>
            <w:tcW w:w="5840" w:type="dxa"/>
            <w:vAlign w:val="bottom"/>
          </w:tcPr>
          <w:p>
            <w:pPr>
              <w:ind w:left="240"/>
              <w:spacing w:after="0"/>
              <w:rPr>
                <w:sz w:val="20"/>
                <w:szCs w:val="20"/>
                <w:color w:val="auto"/>
              </w:rPr>
            </w:pPr>
            <w:r>
              <w:rPr>
                <w:rFonts w:ascii="Arial" w:cs="Arial" w:eastAsia="Arial" w:hAnsi="Arial"/>
                <w:sz w:val="14"/>
                <w:szCs w:val="14"/>
                <w:color w:val="auto"/>
              </w:rPr>
              <w:t>UK/Europe Property and Special Risks</w:t>
            </w:r>
          </w:p>
        </w:tc>
        <w:tc>
          <w:tcPr>
            <w:tcW w:w="42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1252DE"/>
              </w:rPr>
              <w:t>2</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1252DE"/>
              </w:rPr>
              <w:t>29</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3"/>
        </w:trPr>
        <w:tc>
          <w:tcPr>
            <w:tcW w:w="584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Other Product Lines</w:t>
            </w:r>
          </w:p>
        </w:tc>
        <w:tc>
          <w:tcPr>
            <w:tcW w:w="42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(9)</w:t>
            </w:r>
          </w:p>
        </w:tc>
        <w:tc>
          <w:tcPr>
            <w:tcW w:w="740" w:type="dxa"/>
            <w:vAlign w:val="bottom"/>
            <w:tcBorders>
              <w:bottom w:val="single" w:sz="8" w:color="1352DE"/>
            </w:tcBorders>
          </w:tcPr>
          <w:p>
            <w:pPr>
              <w:spacing w:after="0"/>
              <w:rPr>
                <w:sz w:val="17"/>
                <w:szCs w:val="17"/>
                <w:color w:val="auto"/>
              </w:rPr>
            </w:pP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(258)</w:t>
            </w:r>
          </w:p>
        </w:tc>
        <w:tc>
          <w:tcPr>
            <w:tcW w:w="24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(65)</w:t>
            </w:r>
          </w:p>
        </w:tc>
        <w:tc>
          <w:tcPr>
            <w:tcW w:w="74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(266)</w:t>
            </w:r>
          </w:p>
        </w:tc>
      </w:tr>
      <w:tr>
        <w:trPr>
          <w:trHeight w:val="196"/>
        </w:trPr>
        <w:tc>
          <w:tcPr>
            <w:tcW w:w="584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352DE"/>
              </w:rPr>
              <w:t>Total International Commercial</w:t>
            </w:r>
          </w:p>
        </w:tc>
        <w:tc>
          <w:tcPr>
            <w:tcW w:w="42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(24)</w:t>
            </w:r>
          </w:p>
        </w:tc>
        <w:tc>
          <w:tcPr>
            <w:tcW w:w="74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(52)</w:t>
            </w:r>
          </w:p>
        </w:tc>
        <w:tc>
          <w:tcPr>
            <w:tcW w:w="74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(69)</w:t>
            </w:r>
          </w:p>
        </w:tc>
      </w:tr>
      <w:tr>
        <w:trPr>
          <w:trHeight w:val="195"/>
        </w:trPr>
        <w:tc>
          <w:tcPr>
            <w:tcW w:w="5840" w:type="dxa"/>
            <w:vAlign w:val="bottom"/>
          </w:tcPr>
          <w:p>
            <w:pPr>
              <w:ind w:left="140"/>
              <w:spacing w:after="0"/>
              <w:rPr>
                <w:sz w:val="20"/>
                <w:szCs w:val="20"/>
                <w:color w:val="auto"/>
              </w:rPr>
            </w:pPr>
            <w:r>
              <w:rPr>
                <w:rFonts w:ascii="Arial" w:cs="Arial" w:eastAsia="Arial" w:hAnsi="Arial"/>
                <w:sz w:val="14"/>
                <w:szCs w:val="14"/>
                <w:b w:val="1"/>
                <w:bCs w:val="1"/>
                <w:color w:val="1352DE"/>
              </w:rPr>
              <w:t>Global Personal:</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5840" w:type="dxa"/>
            <w:vAlign w:val="bottom"/>
          </w:tcPr>
          <w:p>
            <w:pPr>
              <w:ind w:left="240"/>
              <w:spacing w:after="0"/>
              <w:rPr>
                <w:sz w:val="20"/>
                <w:szCs w:val="20"/>
                <w:color w:val="auto"/>
              </w:rPr>
            </w:pPr>
            <w:r>
              <w:rPr>
                <w:rFonts w:ascii="Arial" w:cs="Arial" w:eastAsia="Arial" w:hAnsi="Arial"/>
                <w:sz w:val="14"/>
                <w:szCs w:val="14"/>
                <w:color w:val="auto"/>
              </w:rPr>
              <w:t>U.S. Personal Insurance</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1252DE"/>
              </w:rPr>
              <w:t>(14)</w:t>
            </w: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7"/>
                <w:szCs w:val="17"/>
                <w:color w:val="auto"/>
              </w:rPr>
            </w:pPr>
          </w:p>
        </w:tc>
        <w:tc>
          <w:tcPr>
            <w:tcW w:w="440" w:type="dxa"/>
            <w:vAlign w:val="bottom"/>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1252DE"/>
              </w:rPr>
              <w:t>(29)</w:t>
            </w: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5840" w:type="dxa"/>
            <w:vAlign w:val="bottom"/>
          </w:tcPr>
          <w:p>
            <w:pPr>
              <w:ind w:left="240"/>
              <w:spacing w:after="0"/>
              <w:rPr>
                <w:sz w:val="20"/>
                <w:szCs w:val="20"/>
                <w:color w:val="auto"/>
              </w:rPr>
            </w:pPr>
            <w:r>
              <w:rPr>
                <w:rFonts w:ascii="Arial" w:cs="Arial" w:eastAsia="Arial" w:hAnsi="Arial"/>
                <w:sz w:val="14"/>
                <w:szCs w:val="14"/>
                <w:color w:val="auto"/>
              </w:rPr>
              <w:t>UK/Europe and Japan Personal Insurance</w:t>
            </w:r>
          </w:p>
        </w:tc>
        <w:tc>
          <w:tcPr>
            <w:tcW w:w="4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1252DE"/>
              </w:rPr>
              <w:t>(10)</w:t>
            </w:r>
          </w:p>
        </w:tc>
        <w:tc>
          <w:tcPr>
            <w:tcW w:w="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1252DE"/>
              </w:rPr>
              <w:t>(20)</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3"/>
        </w:trPr>
        <w:tc>
          <w:tcPr>
            <w:tcW w:w="5840" w:type="dxa"/>
            <w:vAlign w:val="bottom"/>
            <w:tcBorders>
              <w:bottom w:val="single" w:sz="8" w:color="1352DE"/>
            </w:tcBorders>
          </w:tcPr>
          <w:p>
            <w:pPr>
              <w:ind w:left="240"/>
              <w:spacing w:after="0"/>
              <w:rPr>
                <w:sz w:val="20"/>
                <w:szCs w:val="20"/>
                <w:color w:val="auto"/>
              </w:rPr>
            </w:pPr>
            <w:r>
              <w:rPr>
                <w:rFonts w:ascii="Arial" w:cs="Arial" w:eastAsia="Arial" w:hAnsi="Arial"/>
                <w:sz w:val="14"/>
                <w:szCs w:val="14"/>
                <w:color w:val="auto"/>
              </w:rPr>
              <w:t>Other Product Lines</w:t>
            </w:r>
          </w:p>
        </w:tc>
        <w:tc>
          <w:tcPr>
            <w:tcW w:w="420" w:type="dxa"/>
            <w:vAlign w:val="bottom"/>
            <w:tcBorders>
              <w:bottom w:val="single" w:sz="8" w:color="1352DE"/>
            </w:tcBorders>
          </w:tcPr>
          <w:p>
            <w:pPr>
              <w:spacing w:after="0"/>
              <w:rPr>
                <w:sz w:val="17"/>
                <w:szCs w:val="17"/>
                <w:color w:val="auto"/>
              </w:rPr>
            </w:pP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(17)</w:t>
            </w:r>
          </w:p>
        </w:tc>
        <w:tc>
          <w:tcPr>
            <w:tcW w:w="740" w:type="dxa"/>
            <w:vAlign w:val="bottom"/>
            <w:tcBorders>
              <w:bottom w:val="single" w:sz="8" w:color="1352DE"/>
            </w:tcBorders>
          </w:tcPr>
          <w:p>
            <w:pPr>
              <w:spacing w:after="0"/>
              <w:rPr>
                <w:sz w:val="17"/>
                <w:szCs w:val="17"/>
                <w:color w:val="auto"/>
              </w:rPr>
            </w:pP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(50)</w:t>
            </w:r>
          </w:p>
        </w:tc>
        <w:tc>
          <w:tcPr>
            <w:tcW w:w="24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spacing w:after="0"/>
              <w:rPr>
                <w:sz w:val="17"/>
                <w:szCs w:val="17"/>
                <w:color w:val="auto"/>
              </w:rPr>
            </w:pP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(17)</w:t>
            </w:r>
          </w:p>
        </w:tc>
        <w:tc>
          <w:tcPr>
            <w:tcW w:w="740" w:type="dxa"/>
            <w:vAlign w:val="bottom"/>
            <w:tcBorders>
              <w:bottom w:val="single" w:sz="8" w:color="1352DE"/>
            </w:tcBorders>
          </w:tcPr>
          <w:p>
            <w:pPr>
              <w:spacing w:after="0"/>
              <w:rPr>
                <w:sz w:val="17"/>
                <w:szCs w:val="17"/>
                <w:color w:val="auto"/>
              </w:rPr>
            </w:pP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5840" w:type="dxa"/>
            <w:vAlign w:val="bottom"/>
            <w:tcBorders>
              <w:bottom w:val="single" w:sz="8" w:color="1352DE"/>
            </w:tcBorders>
          </w:tcPr>
          <w:p>
            <w:pPr>
              <w:ind w:left="140"/>
              <w:spacing w:after="0"/>
              <w:rPr>
                <w:sz w:val="20"/>
                <w:szCs w:val="20"/>
                <w:color w:val="auto"/>
              </w:rPr>
            </w:pPr>
            <w:r>
              <w:rPr>
                <w:rFonts w:ascii="Arial" w:cs="Arial" w:eastAsia="Arial" w:hAnsi="Arial"/>
                <w:sz w:val="14"/>
                <w:szCs w:val="14"/>
                <w:b w:val="1"/>
                <w:bCs w:val="1"/>
                <w:color w:val="1352DE"/>
              </w:rPr>
              <w:t>Total Global Personal</w:t>
            </w:r>
          </w:p>
        </w:tc>
        <w:tc>
          <w:tcPr>
            <w:tcW w:w="42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(41)</w:t>
            </w:r>
          </w:p>
        </w:tc>
        <w:tc>
          <w:tcPr>
            <w:tcW w:w="74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(66)</w:t>
            </w:r>
          </w:p>
        </w:tc>
        <w:tc>
          <w:tcPr>
            <w:tcW w:w="74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58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Prior Year (Favorable) Unfavorable Development*</w:t>
            </w:r>
          </w:p>
        </w:tc>
        <w:tc>
          <w:tcPr>
            <w:tcW w:w="420" w:type="dxa"/>
            <w:vAlign w:val="bottom"/>
            <w:tcBorders>
              <w:bottom w:val="single" w:sz="8" w:color="1352DE"/>
            </w:tcBorders>
          </w:tcPr>
          <w:p>
            <w:pPr>
              <w:jc w:val="right"/>
              <w:ind w:right="128"/>
              <w:spacing w:after="0"/>
              <w:rPr>
                <w:sz w:val="20"/>
                <w:szCs w:val="20"/>
                <w:color w:val="auto"/>
              </w:rPr>
            </w:pPr>
            <w:r>
              <w:rPr>
                <w:rFonts w:ascii="Arial" w:cs="Arial" w:eastAsia="Arial" w:hAnsi="Arial"/>
                <w:sz w:val="14"/>
                <w:szCs w:val="14"/>
                <w:b w:val="1"/>
                <w:bCs w:val="1"/>
                <w:color w:val="1252DE"/>
              </w:rPr>
              <w:t>$</w:t>
            </w:r>
          </w:p>
        </w:tc>
        <w:tc>
          <w:tcPr>
            <w:tcW w:w="92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(111)</w:t>
            </w:r>
          </w:p>
        </w:tc>
        <w:tc>
          <w:tcPr>
            <w:tcW w:w="74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(205)</w:t>
            </w:r>
          </w:p>
        </w:tc>
        <w:tc>
          <w:tcPr>
            <w:tcW w:w="240" w:type="dxa"/>
            <w:vAlign w:val="bottom"/>
            <w:tcBorders>
              <w:bottom w:val="single" w:sz="8" w:color="1352DE"/>
            </w:tcBorders>
          </w:tcPr>
          <w:p>
            <w:pPr>
              <w:spacing w:after="0"/>
              <w:rPr>
                <w:sz w:val="17"/>
                <w:szCs w:val="17"/>
                <w:color w:val="auto"/>
              </w:rPr>
            </w:pPr>
          </w:p>
        </w:tc>
        <w:tc>
          <w:tcPr>
            <w:tcW w:w="44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b w:val="1"/>
                <w:bCs w:val="1"/>
                <w:color w:val="1252DE"/>
              </w:rPr>
              <w:t>$</w:t>
            </w:r>
          </w:p>
        </w:tc>
        <w:tc>
          <w:tcPr>
            <w:tcW w:w="9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b w:val="1"/>
                <w:bCs w:val="1"/>
                <w:color w:val="1252DE"/>
              </w:rPr>
              <w:t>(436)</w:t>
            </w:r>
          </w:p>
        </w:tc>
        <w:tc>
          <w:tcPr>
            <w:tcW w:w="74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(397)</w:t>
            </w:r>
          </w:p>
        </w:tc>
      </w:tr>
    </w:tbl>
    <w:p>
      <w:pPr>
        <w:spacing w:after="0" w:line="131" w:lineRule="exact"/>
        <w:rPr>
          <w:sz w:val="20"/>
          <w:szCs w:val="20"/>
          <w:color w:val="auto"/>
        </w:rPr>
      </w:pPr>
    </w:p>
    <w:p>
      <w:pPr>
        <w:ind w:left="220" w:right="60" w:hanging="212"/>
        <w:spacing w:after="0" w:line="264" w:lineRule="auto"/>
        <w:tabs>
          <w:tab w:leader="none" w:pos="211"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Includes the amortization attributed to the deferred gain at inception from the National Indemnity Company (NICO) adverse development reinsurance agreement of $26 million and $31 million for the three months ended September 30, 2026 and 2025, respectively, and $78 million and $93 million for the nine months ended September 30, 2026 and 2025,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Net Loss Development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September 30, 2026, we recognized favorable prior year loss reserve development of $111 million, primarily driven by: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North America Commercial</w:t>
      </w:r>
    </w:p>
    <w:p>
      <w:pPr>
        <w:spacing w:after="0" w:line="86"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Favorable development in Other Product Lines, primarily driven by favorable development in Canadian Financial Lines and Property.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Benefit from the amortization of the deferred gain on the adverse development cover.</w:t>
      </w:r>
    </w:p>
    <w:p>
      <w:pPr>
        <w:spacing w:after="0" w:line="343" w:lineRule="exact"/>
        <w:rPr>
          <w:sz w:val="20"/>
          <w:szCs w:val="20"/>
          <w:color w:val="auto"/>
        </w:rPr>
      </w:pPr>
    </w:p>
    <w:p>
      <w:pPr>
        <w:ind w:right="2780" w:firstLine="8"/>
        <w:spacing w:after="0" w:line="352" w:lineRule="auto"/>
        <w:tabs>
          <w:tab w:leader="none" w:pos="21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Favorable development in European Financial Lines, partially offset by deteriorations in UK Professional Indemnity. Global Personal</w:t>
      </w:r>
    </w:p>
    <w:p>
      <w:pPr>
        <w:ind w:left="220" w:hanging="212"/>
        <w:spacing w:after="0"/>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Favorable reserve development in U.S. Personal Insurance driven by favorable experience on the high net worth business.</w:t>
      </w:r>
    </w:p>
    <w:p>
      <w:pPr>
        <w:spacing w:after="0" w:line="86" w:lineRule="exact"/>
        <w:rPr>
          <w:rFonts w:ascii="Arial" w:cs="Arial" w:eastAsia="Arial" w:hAnsi="Arial"/>
          <w:sz w:val="16"/>
          <w:szCs w:val="16"/>
          <w:color w:val="auto"/>
        </w:rPr>
      </w:pPr>
    </w:p>
    <w:p>
      <w:pPr>
        <w:ind w:left="220" w:right="240" w:hanging="212"/>
        <w:spacing w:after="0" w:line="321" w:lineRule="auto"/>
        <w:tabs>
          <w:tab w:leader="none" w:pos="21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Favorable development in Other Product Lines driven by several lines of business, including A&amp;H in Asia Pacific and Personal Auto in Asia Pacific and Latin America and Caribbean.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the nine months ended September 30, 2026, we recognized favorable prior year loss reserve development of $436 million, primarily driven by: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North America Commercial</w:t>
      </w:r>
    </w:p>
    <w:p>
      <w:pPr>
        <w:spacing w:after="0" w:line="86" w:lineRule="exact"/>
        <w:rPr>
          <w:sz w:val="20"/>
          <w:szCs w:val="20"/>
          <w:color w:val="auto"/>
        </w:rPr>
      </w:pPr>
    </w:p>
    <w:p>
      <w:pPr>
        <w:ind w:left="220" w:hanging="212"/>
        <w:spacing w:after="0"/>
        <w:tabs>
          <w:tab w:leader="none" w:pos="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Favorable development in U.S. Workers’ Compensation driven by Excess of Loss Sensitive and Primary business.</w:t>
      </w:r>
    </w:p>
    <w:p>
      <w:pPr>
        <w:spacing w:after="0" w:line="86" w:lineRule="exact"/>
        <w:rPr>
          <w:rFonts w:ascii="Arial" w:cs="Arial" w:eastAsia="Arial" w:hAnsi="Arial"/>
          <w:sz w:val="16"/>
          <w:szCs w:val="16"/>
          <w:color w:val="auto"/>
        </w:rPr>
      </w:pPr>
    </w:p>
    <w:p>
      <w:pPr>
        <w:ind w:left="220" w:right="20" w:hanging="212"/>
        <w:spacing w:after="0" w:line="316" w:lineRule="auto"/>
        <w:tabs>
          <w:tab w:leader="none" w:pos="21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Favorable development in U.S. Property and Special Risks primarily reflecting development in Programs, along with lower than expected non-catastrophe loss experience in Property Lines.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Favorable development in U.S. Financial Lines reflecting favorable experience in Directors and Officers in more mature accident years.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Favorable development in Other Product Lines, primarily driven by favorable development in Canadian Financial Lines and Property.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Benefit from the amortization of the deferred gain on the adverse development cover.</w:t>
      </w:r>
    </w:p>
    <w:p>
      <w:pPr>
        <w:spacing w:after="0" w:line="356"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Favorable development in European Financial Lines partially offset by deteriorations in UK Professional Indemnity.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Favorable development in Other Product Lines primarily driven by Energy and Cargo.</w:t>
      </w:r>
    </w:p>
    <w:p>
      <w:pPr>
        <w:spacing w:after="0" w:line="86" w:lineRule="exact"/>
        <w:rPr>
          <w:rFonts w:ascii="Arial" w:cs="Arial" w:eastAsia="Arial" w:hAnsi="Arial"/>
          <w:sz w:val="16"/>
          <w:szCs w:val="16"/>
          <w:color w:val="auto"/>
        </w:rPr>
      </w:pPr>
    </w:p>
    <w:p>
      <w:pPr>
        <w:ind w:left="220" w:hanging="212"/>
        <w:spacing w:after="0" w:line="321" w:lineRule="auto"/>
        <w:tabs>
          <w:tab w:leader="none" w:pos="21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Adverse development in UK/Europe Property and Special Risks due to adverse development on prior year catastrophes and UK Marine, partially offset by favorable experience primarily concentrated in EMEA and UK Property.</w:t>
      </w:r>
    </w:p>
    <w:p>
      <w:pPr>
        <w:spacing w:after="0" w:line="264" w:lineRule="exact"/>
        <w:rPr>
          <w:sz w:val="20"/>
          <w:szCs w:val="20"/>
          <w:color w:val="auto"/>
        </w:rPr>
      </w:pPr>
    </w:p>
    <w:p>
      <w:pPr>
        <w:ind w:left="220" w:right="360" w:hanging="212"/>
        <w:spacing w:after="0" w:line="308" w:lineRule="auto"/>
        <w:tabs>
          <w:tab w:leader="none" w:pos="21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Favorable development in U.S. Personal Insurance attributable to favorable development on prior year catastrophes and favorable experience on the high net worth business.</w:t>
      </w:r>
    </w:p>
    <w:p>
      <w:pPr>
        <w:ind w:left="220" w:right="240" w:hanging="212"/>
        <w:spacing w:after="0" w:line="321" w:lineRule="auto"/>
        <w:tabs>
          <w:tab w:leader="none" w:pos="21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Favorable development in Other Product Lines driven by several lines of business, including A&amp;H in Asia Pacific and Personal Auto in Asia Pacific and Latin America and Caribbean.</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65</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Insurance Reserves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September 30, 2025, we recognized favorable prior year loss reserve development of $205 million, primarily driven by: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North America Commercial</w:t>
      </w:r>
    </w:p>
    <w:p>
      <w:pPr>
        <w:spacing w:after="0" w:line="86" w:lineRule="exact"/>
        <w:rPr>
          <w:sz w:val="20"/>
          <w:szCs w:val="20"/>
          <w:color w:val="auto"/>
        </w:rPr>
      </w:pPr>
    </w:p>
    <w:p>
      <w:pPr>
        <w:ind w:left="220" w:hanging="212"/>
        <w:spacing w:after="0"/>
        <w:tabs>
          <w:tab w:leader="none" w:pos="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Favorable development in Other Product Lines, reflecting experience in several lines, most notably short-tail Property.</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Favorable development in U.S. Property and Special Risks primarily driven by U.S. Property.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Favorable development in U.S. Workers’ Compensation primarily related to loss sensitive business.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Benefit from the amortization of the deferred gain on the adverse development cover.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International Commercial</w:t>
      </w:r>
    </w:p>
    <w:p>
      <w:pPr>
        <w:spacing w:after="0" w:line="86" w:lineRule="exact"/>
        <w:rPr>
          <w:sz w:val="20"/>
          <w:szCs w:val="20"/>
          <w:color w:val="auto"/>
        </w:rPr>
      </w:pPr>
    </w:p>
    <w:p>
      <w:pPr>
        <w:ind w:left="220" w:right="440" w:hanging="212"/>
        <w:spacing w:after="0" w:line="316" w:lineRule="auto"/>
        <w:tabs>
          <w:tab w:leader="none" w:pos="21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Favorable development in Other Product Lines, primarily due to development in Global Specialty, notably within Energy and Trade Credit, as well as development in short-tail Property.</w:t>
      </w:r>
    </w:p>
    <w:p>
      <w:pPr>
        <w:spacing w:after="0" w:line="1" w:lineRule="exact"/>
        <w:rPr>
          <w:rFonts w:ascii="Arial" w:cs="Arial" w:eastAsia="Arial" w:hAnsi="Arial"/>
          <w:sz w:val="16"/>
          <w:szCs w:val="16"/>
          <w:color w:val="auto"/>
        </w:rPr>
      </w:pPr>
    </w:p>
    <w:p>
      <w:pPr>
        <w:ind w:left="220" w:right="40" w:hanging="212"/>
        <w:spacing w:after="0" w:line="321" w:lineRule="auto"/>
        <w:tabs>
          <w:tab w:leader="none" w:pos="21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Adverse development in UK/Europe Casualty and Financial Lines driven by UK Financial Lines, and EMEA Casualty, particularly within Auto and General Liability lines, partially offset by favorable development in EMEA Financial Lines.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the nine months ended September 30, 2025, we recognized favorable prior year loss reserve development of $397 million, primarily driven by: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North America Commercial</w:t>
      </w:r>
    </w:p>
    <w:p>
      <w:pPr>
        <w:spacing w:after="0" w:line="86" w:lineRule="exact"/>
        <w:rPr>
          <w:sz w:val="20"/>
          <w:szCs w:val="20"/>
          <w:color w:val="auto"/>
        </w:rPr>
      </w:pPr>
    </w:p>
    <w:p>
      <w:pPr>
        <w:ind w:left="220" w:right="540" w:hanging="212"/>
        <w:spacing w:after="0" w:line="316" w:lineRule="auto"/>
        <w:tabs>
          <w:tab w:leader="none" w:pos="2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Favorable development in U.S. Workers’ Compensation primarily driven by favorable experience within Excess of Loss Sensitive offset by adverse development within Primary Guaranteed Cost and Defense Base Act business.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Favorable development in Other Product Lines, reflecting favorable experience in several lines, most notably short-tail Property.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Favorable development in U.S. Property and Special Risks primarily driven by U.S. Property and Programs.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Adverse development in U.S. Excess Casualty primarily driven by unfavorable development in Mass Tort.</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Benefit from the amortization of the deferred gain on the adverse development cover.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International Commercial</w:t>
      </w:r>
    </w:p>
    <w:p>
      <w:pPr>
        <w:spacing w:after="0" w:line="86" w:lineRule="exact"/>
        <w:rPr>
          <w:sz w:val="20"/>
          <w:szCs w:val="20"/>
          <w:color w:val="auto"/>
        </w:rPr>
      </w:pPr>
    </w:p>
    <w:p>
      <w:pPr>
        <w:ind w:left="220" w:right="440" w:hanging="212"/>
        <w:spacing w:after="0" w:line="316" w:lineRule="auto"/>
        <w:tabs>
          <w:tab w:leader="none" w:pos="21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Favorable development in Other Product Lines, primarily due to development in Global Specialty, notably within Energy and Trade Credit, as well as development in short-tail Property.</w:t>
      </w:r>
    </w:p>
    <w:p>
      <w:pPr>
        <w:spacing w:after="0" w:line="1" w:lineRule="exact"/>
        <w:rPr>
          <w:rFonts w:ascii="Arial" w:cs="Arial" w:eastAsia="Arial" w:hAnsi="Arial"/>
          <w:sz w:val="16"/>
          <w:szCs w:val="16"/>
          <w:color w:val="auto"/>
        </w:rPr>
      </w:pPr>
    </w:p>
    <w:p>
      <w:pPr>
        <w:ind w:left="220" w:right="40" w:hanging="212"/>
        <w:spacing w:after="0" w:line="321" w:lineRule="auto"/>
        <w:tabs>
          <w:tab w:leader="none" w:pos="21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Adverse development in UK/Europe Casualty and Financial Lines driven by UK Financial Lines, and EMEA Casualty, particularly within Auto and General Liability lines, partially offset by favorable development in EMEA Financial Lines.</w:t>
      </w:r>
    </w:p>
    <w:p>
      <w:pPr>
        <w:spacing w:after="0" w:line="34"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For certain categories of claims (e.g., construction defect claims and environmental claims) and for reinsurance recoverable, losses may sometimes be reclassified to an earlier or later accident year as more information about the date of occurrence becomes available to 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Significant Reinsurance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NICO</w:t>
      </w:r>
    </w:p>
    <w:p>
      <w:pPr>
        <w:spacing w:after="0" w:line="8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the first quarter of 2017, we entered into an adverse development reinsurance agreement with NICO, under which we transferred to NICO 80 percent of the reserve risk on substantially all of our U.S. Commercial long-tail exposures for accident years 2015 and prior. Under this agreement, we ceded to NICO 80 percent of the losses on subject business paid on or after January 1, 2016 in excess of $25 billion of net paid losses, up to an aggregate limit of $25 billion. We account for this transaction as retroactive reinsurance. This transaction resulted in a gain, which under GAAP retroactive reinsurance accounting is deferred and amortized into income over the settlement period. NICO created a collateral trust account as security for their claim payment obligations to us, into which they deposited the consideration paid under the agreement, and Berkshire Hathaway Inc. has provided a parental guarantee to secure NICO’s obligations under the agreement.</w:t>
      </w:r>
    </w:p>
    <w:p>
      <w:pPr>
        <w:spacing w:after="0" w:line="79"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i w:val="1"/>
          <w:iCs w:val="1"/>
          <w:color w:val="auto"/>
        </w:rPr>
        <w:t>For a description of AIG’s catastrophe reinsurance protection for 2026, see Part II, Item 7. MD&amp;A – Enterprise Risk Management – Insurance Risk – Natural Catastrophe Risk in the 2025 Annual Report.</w:t>
      </w:r>
    </w:p>
    <w:p>
      <w:pPr>
        <w:spacing w:after="0" w:line="170" w:lineRule="exact"/>
        <w:rPr>
          <w:sz w:val="20"/>
          <w:szCs w:val="20"/>
          <w:color w:val="auto"/>
        </w:rPr>
      </w:pPr>
    </w:p>
    <w:p>
      <w:pPr>
        <w:ind w:right="140"/>
        <w:spacing w:after="0" w:line="349" w:lineRule="auto"/>
        <w:rPr>
          <w:sz w:val="20"/>
          <w:szCs w:val="20"/>
          <w:color w:val="auto"/>
        </w:rPr>
      </w:pPr>
      <w:r>
        <w:rPr>
          <w:rFonts w:ascii="Arial" w:cs="Arial" w:eastAsia="Arial" w:hAnsi="Arial"/>
          <w:sz w:val="16"/>
          <w:szCs w:val="16"/>
          <w:b w:val="1"/>
          <w:bCs w:val="1"/>
          <w:color w:val="1352DE"/>
        </w:rPr>
        <w:t>The table below shows the calculation of the deferred gain on the adverse development reinsurance agreement, the effect of discounting of loss reserves and amortization of the deferred gain.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tcBorders>
              <w:top w:val="single" w:sz="8" w:color="1352DE"/>
              <w:bottom w:val="single" w:sz="8" w:color="1352DE"/>
            </w:tcBorders>
          </w:tcPr>
          <w:p>
            <w:pPr>
              <w:ind w:left="20"/>
              <w:spacing w:after="0"/>
              <w:rPr>
                <w:sz w:val="20"/>
                <w:szCs w:val="20"/>
                <w:color w:val="auto"/>
              </w:rPr>
            </w:pPr>
            <w:r>
              <w:rPr>
                <w:rFonts w:ascii="Arial" w:cs="Arial" w:eastAsia="Arial" w:hAnsi="Arial"/>
                <w:sz w:val="13"/>
                <w:szCs w:val="13"/>
                <w:i w:val="1"/>
                <w:iCs w:val="1"/>
                <w:color w:val="1251DE"/>
              </w:rPr>
              <w:t>(in millions)</w:t>
            </w:r>
          </w:p>
        </w:tc>
        <w:tc>
          <w:tcPr>
            <w:tcW w:w="2660" w:type="dxa"/>
            <w:vAlign w:val="bottom"/>
            <w:tcBorders>
              <w:top w:val="single" w:sz="8" w:color="1352DE"/>
              <w:bottom w:val="single" w:sz="8" w:color="1352DE"/>
            </w:tcBorders>
          </w:tcPr>
          <w:p>
            <w:pPr>
              <w:spacing w:after="0"/>
              <w:rPr>
                <w:sz w:val="19"/>
                <w:szCs w:val="19"/>
                <w:color w:val="auto"/>
              </w:rPr>
            </w:pPr>
          </w:p>
        </w:tc>
        <w:tc>
          <w:tcPr>
            <w:tcW w:w="1620" w:type="dxa"/>
            <w:vAlign w:val="bottom"/>
            <w:tcBorders>
              <w:top w:val="single" w:sz="8" w:color="1352DE"/>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September 30, 2026</w:t>
            </w:r>
          </w:p>
        </w:tc>
        <w:tc>
          <w:tcPr>
            <w:tcW w:w="360" w:type="dxa"/>
            <w:vAlign w:val="bottom"/>
            <w:tcBorders>
              <w:top w:val="single" w:sz="8" w:color="1352DE"/>
              <w:bottom w:val="single" w:sz="8" w:color="1352DE"/>
            </w:tcBorders>
          </w:tcPr>
          <w:p>
            <w:pPr>
              <w:spacing w:after="0"/>
              <w:rPr>
                <w:sz w:val="19"/>
                <w:szCs w:val="19"/>
                <w:color w:val="auto"/>
              </w:rPr>
            </w:pPr>
          </w:p>
        </w:tc>
        <w:tc>
          <w:tcPr>
            <w:tcW w:w="1440" w:type="dxa"/>
            <w:vAlign w:val="bottom"/>
            <w:tcBorders>
              <w:top w:val="single" w:sz="8" w:color="1352DE"/>
              <w:bottom w:val="single" w:sz="8" w:color="1352DE"/>
            </w:tcBorders>
          </w:tcPr>
          <w:p>
            <w:pPr>
              <w:jc w:val="right"/>
              <w:spacing w:after="0"/>
              <w:rPr>
                <w:sz w:val="20"/>
                <w:szCs w:val="20"/>
                <w:color w:val="auto"/>
              </w:rPr>
            </w:pPr>
            <w:r>
              <w:rPr>
                <w:rFonts w:ascii="Arial" w:cs="Arial" w:eastAsia="Arial" w:hAnsi="Arial"/>
                <w:sz w:val="14"/>
                <w:szCs w:val="14"/>
                <w:color w:val="1252DE"/>
              </w:rPr>
              <w:t>December 31, 2025</w:t>
            </w:r>
          </w:p>
        </w:tc>
      </w:tr>
      <w:tr>
        <w:trPr>
          <w:trHeight w:val="201"/>
        </w:trPr>
        <w:tc>
          <w:tcPr>
            <w:tcW w:w="5140" w:type="dxa"/>
            <w:vAlign w:val="bottom"/>
          </w:tcPr>
          <w:p>
            <w:pPr>
              <w:ind w:left="20"/>
              <w:spacing w:after="0"/>
              <w:rPr>
                <w:sz w:val="20"/>
                <w:szCs w:val="20"/>
                <w:color w:val="auto"/>
              </w:rPr>
            </w:pPr>
            <w:r>
              <w:rPr>
                <w:rFonts w:ascii="Arial" w:cs="Arial" w:eastAsia="Arial" w:hAnsi="Arial"/>
                <w:sz w:val="14"/>
                <w:szCs w:val="14"/>
                <w:b w:val="1"/>
                <w:bCs w:val="1"/>
                <w:color w:val="1252DE"/>
              </w:rPr>
              <w:t>Gross Covered Losses</w:t>
            </w:r>
          </w:p>
        </w:tc>
        <w:tc>
          <w:tcPr>
            <w:tcW w:w="2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4"/>
                <w:szCs w:val="14"/>
                <w:color w:val="auto"/>
              </w:rPr>
              <w:t>Covered reserves before discount</w:t>
            </w:r>
          </w:p>
        </w:tc>
        <w:tc>
          <w:tcPr>
            <w:tcW w:w="266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1620" w:type="dxa"/>
            <w:vAlign w:val="bottom"/>
          </w:tcPr>
          <w:p>
            <w:pPr>
              <w:jc w:val="right"/>
              <w:ind w:right="88"/>
              <w:spacing w:after="0"/>
              <w:rPr>
                <w:sz w:val="20"/>
                <w:szCs w:val="20"/>
                <w:color w:val="auto"/>
              </w:rPr>
            </w:pPr>
            <w:r>
              <w:rPr>
                <w:rFonts w:ascii="Arial" w:cs="Arial" w:eastAsia="Arial" w:hAnsi="Arial"/>
                <w:sz w:val="14"/>
                <w:szCs w:val="14"/>
                <w:b w:val="1"/>
                <w:bCs w:val="1"/>
                <w:color w:val="1252DE"/>
              </w:rPr>
              <w:t>8,058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8,907</w:t>
            </w:r>
          </w:p>
        </w:tc>
      </w:tr>
      <w:tr>
        <w:trPr>
          <w:trHeight w:val="202"/>
        </w:trPr>
        <w:tc>
          <w:tcPr>
            <w:tcW w:w="5140" w:type="dxa"/>
            <w:vAlign w:val="bottom"/>
          </w:tcPr>
          <w:p>
            <w:pPr>
              <w:ind w:left="20"/>
              <w:spacing w:after="0"/>
              <w:rPr>
                <w:sz w:val="20"/>
                <w:szCs w:val="20"/>
                <w:color w:val="auto"/>
              </w:rPr>
            </w:pPr>
            <w:r>
              <w:rPr>
                <w:rFonts w:ascii="Arial" w:cs="Arial" w:eastAsia="Arial" w:hAnsi="Arial"/>
                <w:sz w:val="14"/>
                <w:szCs w:val="14"/>
                <w:color w:val="auto"/>
              </w:rPr>
              <w:t>Inception to date losses paid</w:t>
            </w:r>
          </w:p>
        </w:tc>
        <w:tc>
          <w:tcPr>
            <w:tcW w:w="2660" w:type="dxa"/>
            <w:vAlign w:val="bottom"/>
          </w:tcPr>
          <w:p>
            <w:pPr>
              <w:spacing w:after="0"/>
              <w:rPr>
                <w:sz w:val="17"/>
                <w:szCs w:val="17"/>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b w:val="1"/>
                <w:bCs w:val="1"/>
                <w:color w:val="1252DE"/>
              </w:rPr>
              <w:t>33,328</w:t>
            </w:r>
          </w:p>
        </w:tc>
        <w:tc>
          <w:tcPr>
            <w:tcW w:w="3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32,588</w:t>
            </w:r>
          </w:p>
        </w:tc>
      </w:tr>
      <w:tr>
        <w:trPr>
          <w:trHeight w:val="204"/>
        </w:trPr>
        <w:tc>
          <w:tcPr>
            <w:tcW w:w="514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Attachment point</w:t>
            </w:r>
          </w:p>
        </w:tc>
        <w:tc>
          <w:tcPr>
            <w:tcW w:w="2660" w:type="dxa"/>
            <w:vAlign w:val="bottom"/>
            <w:tcBorders>
              <w:bottom w:val="single" w:sz="8" w:color="1352DE"/>
            </w:tcBorders>
          </w:tcPr>
          <w:p>
            <w:pPr>
              <w:spacing w:after="0"/>
              <w:rPr>
                <w:sz w:val="17"/>
                <w:szCs w:val="17"/>
                <w:color w:val="auto"/>
              </w:rPr>
            </w:pPr>
          </w:p>
        </w:tc>
        <w:tc>
          <w:tcPr>
            <w:tcW w:w="162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(25,000)</w:t>
            </w:r>
          </w:p>
        </w:tc>
        <w:tc>
          <w:tcPr>
            <w:tcW w:w="360" w:type="dxa"/>
            <w:vAlign w:val="bottom"/>
            <w:tcBorders>
              <w:bottom w:val="single" w:sz="8" w:color="1352DE"/>
            </w:tcBorders>
          </w:tcPr>
          <w:p>
            <w:pPr>
              <w:spacing w:after="0"/>
              <w:rPr>
                <w:sz w:val="17"/>
                <w:szCs w:val="17"/>
                <w:color w:val="auto"/>
              </w:rPr>
            </w:pPr>
          </w:p>
        </w:tc>
        <w:tc>
          <w:tcPr>
            <w:tcW w:w="1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(25,000)</w:t>
            </w:r>
          </w:p>
        </w:tc>
      </w:tr>
      <w:tr>
        <w:trPr>
          <w:trHeight w:val="196"/>
        </w:trPr>
        <w:tc>
          <w:tcPr>
            <w:tcW w:w="514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Covered losses above attachment point</w:t>
            </w:r>
          </w:p>
        </w:tc>
        <w:tc>
          <w:tcPr>
            <w:tcW w:w="266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162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b w:val="1"/>
                <w:bCs w:val="1"/>
                <w:color w:val="1252DE"/>
              </w:rPr>
              <w:t>16,386</w:t>
            </w:r>
          </w:p>
        </w:tc>
        <w:tc>
          <w:tcPr>
            <w:tcW w:w="360" w:type="dxa"/>
            <w:vAlign w:val="bottom"/>
            <w:tcBorders>
              <w:bottom w:val="single" w:sz="8" w:color="1352DE"/>
            </w:tcBorders>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16,495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24771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760" w:hanging="734"/>
        <w:spacing w:after="0"/>
        <w:tabs>
          <w:tab w:leader="none" w:pos="760" w:val="left"/>
        </w:tabs>
        <w:numPr>
          <w:ilvl w:val="0"/>
          <w:numId w:val="108"/>
        </w:numPr>
        <w:rPr>
          <w:rFonts w:ascii="Arial" w:cs="Arial" w:eastAsia="Arial" w:hAnsi="Arial"/>
          <w:sz w:val="11"/>
          <w:szCs w:val="11"/>
          <w:b w:val="1"/>
          <w:bCs w:val="1"/>
          <w:color w:val="auto"/>
        </w:rPr>
      </w:pPr>
      <w:r>
        <w:rPr>
          <w:rFonts w:ascii="Arial" w:cs="Arial" w:eastAsia="Arial" w:hAnsi="Arial"/>
          <w:sz w:val="11"/>
          <w:szCs w:val="11"/>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49"/>
        </w:trPr>
        <w:tc>
          <w:tcPr>
            <w:tcW w:w="60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Borders>
              <w:bottom w:val="single" w:sz="8" w:color="0000FF"/>
            </w:tcBorders>
            <w:gridSpan w:val="2"/>
          </w:tcPr>
          <w:p>
            <w:pPr>
              <w:jc w:val="right"/>
              <w:spacing w:after="0"/>
              <w:rPr>
                <w:sz w:val="20"/>
                <w:szCs w:val="20"/>
                <w:color w:val="auto"/>
              </w:rPr>
            </w:pPr>
            <w:r>
              <w:rPr>
                <w:rFonts w:ascii="Arial" w:cs="Arial" w:eastAsia="Arial" w:hAnsi="Arial"/>
                <w:sz w:val="13"/>
                <w:szCs w:val="13"/>
                <w:color w:val="0000FF"/>
              </w:rPr>
              <w:t>TABLE OF CONTENTS</w:t>
            </w:r>
          </w:p>
        </w:tc>
      </w:tr>
      <w:tr>
        <w:trPr>
          <w:trHeight w:val="394"/>
        </w:trPr>
        <w:tc>
          <w:tcPr>
            <w:tcW w:w="6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Insurance Reserves</w:t>
            </w:r>
          </w:p>
        </w:tc>
      </w:tr>
      <w:tr>
        <w:trPr>
          <w:trHeight w:val="274"/>
        </w:trPr>
        <w:tc>
          <w:tcPr>
            <w:tcW w:w="6000" w:type="dxa"/>
            <w:vAlign w:val="bottom"/>
            <w:tcBorders>
              <w:bottom w:val="single" w:sz="8" w:color="1352DE"/>
            </w:tcBorders>
          </w:tcPr>
          <w:p>
            <w:pPr>
              <w:spacing w:after="0"/>
              <w:rPr>
                <w:sz w:val="23"/>
                <w:szCs w:val="23"/>
                <w:color w:val="auto"/>
              </w:rPr>
            </w:pPr>
          </w:p>
        </w:tc>
        <w:tc>
          <w:tcPr>
            <w:tcW w:w="1800" w:type="dxa"/>
            <w:vAlign w:val="bottom"/>
            <w:tcBorders>
              <w:bottom w:val="single" w:sz="8" w:color="1352DE"/>
            </w:tcBorders>
          </w:tcPr>
          <w:p>
            <w:pPr>
              <w:spacing w:after="0"/>
              <w:rPr>
                <w:sz w:val="23"/>
                <w:szCs w:val="23"/>
                <w:color w:val="auto"/>
              </w:rPr>
            </w:pPr>
          </w:p>
        </w:tc>
        <w:tc>
          <w:tcPr>
            <w:tcW w:w="1560" w:type="dxa"/>
            <w:vAlign w:val="bottom"/>
            <w:tcBorders>
              <w:bottom w:val="single" w:sz="8" w:color="1352DE"/>
            </w:tcBorders>
          </w:tcPr>
          <w:p>
            <w:pPr>
              <w:spacing w:after="0"/>
              <w:rPr>
                <w:sz w:val="23"/>
                <w:szCs w:val="23"/>
                <w:color w:val="auto"/>
              </w:rPr>
            </w:pPr>
          </w:p>
        </w:tc>
        <w:tc>
          <w:tcPr>
            <w:tcW w:w="460" w:type="dxa"/>
            <w:vAlign w:val="bottom"/>
            <w:tcBorders>
              <w:bottom w:val="single" w:sz="8" w:color="1352DE"/>
            </w:tcBorders>
          </w:tcPr>
          <w:p>
            <w:pPr>
              <w:spacing w:after="0"/>
              <w:rPr>
                <w:sz w:val="23"/>
                <w:szCs w:val="23"/>
                <w:color w:val="auto"/>
              </w:rPr>
            </w:pPr>
          </w:p>
        </w:tc>
        <w:tc>
          <w:tcPr>
            <w:tcW w:w="1400" w:type="dxa"/>
            <w:vAlign w:val="bottom"/>
            <w:tcBorders>
              <w:bottom w:val="single" w:sz="8" w:color="1352DE"/>
            </w:tcBorders>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6000" w:type="dxa"/>
            <w:vAlign w:val="bottom"/>
          </w:tcPr>
          <w:p>
            <w:pPr>
              <w:ind w:left="20"/>
              <w:spacing w:after="0"/>
              <w:rPr>
                <w:sz w:val="20"/>
                <w:szCs w:val="20"/>
                <w:color w:val="auto"/>
              </w:rPr>
            </w:pPr>
            <w:r>
              <w:rPr>
                <w:rFonts w:ascii="Arial" w:cs="Arial" w:eastAsia="Arial" w:hAnsi="Arial"/>
                <w:sz w:val="13"/>
                <w:szCs w:val="13"/>
                <w:i w:val="1"/>
                <w:iCs w:val="1"/>
                <w:color w:val="1251DE"/>
              </w:rPr>
              <w:t>(in millions)</w:t>
            </w:r>
          </w:p>
        </w:tc>
        <w:tc>
          <w:tcPr>
            <w:tcW w:w="18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1252DE"/>
              </w:rPr>
              <w:t>September 30, 2026</w:t>
            </w:r>
          </w:p>
        </w:tc>
        <w:tc>
          <w:tcPr>
            <w:tcW w:w="46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1252DE"/>
              </w:rPr>
              <w:t>December 31, 2025</w:t>
            </w:r>
          </w:p>
        </w:tc>
      </w:tr>
      <w:tr>
        <w:trPr>
          <w:trHeight w:val="200"/>
        </w:trPr>
        <w:tc>
          <w:tcPr>
            <w:tcW w:w="6000" w:type="dxa"/>
            <w:vAlign w:val="bottom"/>
            <w:tcBorders>
              <w:top w:val="single" w:sz="8" w:color="1352DE"/>
            </w:tcBorders>
          </w:tcPr>
          <w:p>
            <w:pPr>
              <w:ind w:left="20"/>
              <w:spacing w:after="0"/>
              <w:rPr>
                <w:sz w:val="20"/>
                <w:szCs w:val="20"/>
                <w:color w:val="auto"/>
              </w:rPr>
            </w:pPr>
            <w:r>
              <w:rPr>
                <w:rFonts w:ascii="Arial" w:cs="Arial" w:eastAsia="Arial" w:hAnsi="Arial"/>
                <w:sz w:val="14"/>
                <w:szCs w:val="14"/>
                <w:b w:val="1"/>
                <w:bCs w:val="1"/>
                <w:color w:val="1252DE"/>
              </w:rPr>
              <w:t>Deferred Gain Development</w:t>
            </w:r>
          </w:p>
        </w:tc>
        <w:tc>
          <w:tcPr>
            <w:tcW w:w="1800" w:type="dxa"/>
            <w:vAlign w:val="bottom"/>
            <w:tcBorders>
              <w:top w:val="single" w:sz="8" w:color="1352DE"/>
            </w:tcBorders>
          </w:tcPr>
          <w:p>
            <w:pPr>
              <w:spacing w:after="0"/>
              <w:rPr>
                <w:sz w:val="17"/>
                <w:szCs w:val="17"/>
                <w:color w:val="auto"/>
              </w:rPr>
            </w:pPr>
          </w:p>
        </w:tc>
        <w:tc>
          <w:tcPr>
            <w:tcW w:w="1560" w:type="dxa"/>
            <w:vAlign w:val="bottom"/>
            <w:tcBorders>
              <w:top w:val="single" w:sz="8" w:color="1352DE"/>
            </w:tcBorders>
          </w:tcPr>
          <w:p>
            <w:pPr>
              <w:spacing w:after="0"/>
              <w:rPr>
                <w:sz w:val="17"/>
                <w:szCs w:val="17"/>
                <w:color w:val="auto"/>
              </w:rPr>
            </w:pPr>
          </w:p>
        </w:tc>
        <w:tc>
          <w:tcPr>
            <w:tcW w:w="460" w:type="dxa"/>
            <w:vAlign w:val="bottom"/>
            <w:tcBorders>
              <w:top w:val="single" w:sz="8" w:color="1352DE"/>
            </w:tcBorders>
          </w:tcPr>
          <w:p>
            <w:pPr>
              <w:spacing w:after="0"/>
              <w:rPr>
                <w:sz w:val="17"/>
                <w:szCs w:val="17"/>
                <w:color w:val="auto"/>
              </w:rPr>
            </w:pPr>
          </w:p>
        </w:tc>
        <w:tc>
          <w:tcPr>
            <w:tcW w:w="1400" w:type="dxa"/>
            <w:vAlign w:val="bottom"/>
            <w:tcBorders>
              <w:top w:val="single" w:sz="8" w:color="1352DE"/>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00" w:type="dxa"/>
            <w:vAlign w:val="bottom"/>
          </w:tcPr>
          <w:p>
            <w:pPr>
              <w:ind w:left="20"/>
              <w:spacing w:after="0"/>
              <w:rPr>
                <w:sz w:val="20"/>
                <w:szCs w:val="20"/>
                <w:color w:val="auto"/>
              </w:rPr>
            </w:pPr>
            <w:r>
              <w:rPr>
                <w:rFonts w:ascii="Arial" w:cs="Arial" w:eastAsia="Arial" w:hAnsi="Arial"/>
                <w:sz w:val="14"/>
                <w:szCs w:val="14"/>
                <w:color w:val="auto"/>
              </w:rPr>
              <w:t>Covered losses above attachment ceded to NICO (80%)</w:t>
            </w:r>
          </w:p>
        </w:tc>
        <w:tc>
          <w:tcPr>
            <w:tcW w:w="1800" w:type="dxa"/>
            <w:vAlign w:val="bottom"/>
          </w:tcPr>
          <w:p>
            <w:pPr>
              <w:jc w:val="right"/>
              <w:ind w:right="108"/>
              <w:spacing w:after="0"/>
              <w:rPr>
                <w:sz w:val="20"/>
                <w:szCs w:val="20"/>
                <w:color w:val="auto"/>
              </w:rPr>
            </w:pPr>
            <w:r>
              <w:rPr>
                <w:rFonts w:ascii="Arial" w:cs="Arial" w:eastAsia="Arial" w:hAnsi="Arial"/>
                <w:sz w:val="14"/>
                <w:szCs w:val="14"/>
                <w:b w:val="1"/>
                <w:bCs w:val="1"/>
                <w:color w:val="1252DE"/>
              </w:rPr>
              <w:t>$</w:t>
            </w: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1252DE"/>
              </w:rPr>
              <w:t>13,109</w:t>
            </w:r>
          </w:p>
        </w:tc>
        <w:tc>
          <w:tcPr>
            <w:tcW w:w="4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13,196</w:t>
            </w:r>
          </w:p>
        </w:tc>
        <w:tc>
          <w:tcPr>
            <w:tcW w:w="20" w:type="dxa"/>
            <w:vAlign w:val="bottom"/>
          </w:tcPr>
          <w:p>
            <w:pPr>
              <w:spacing w:after="0"/>
              <w:rPr>
                <w:sz w:val="17"/>
                <w:szCs w:val="17"/>
                <w:color w:val="auto"/>
              </w:rPr>
            </w:pPr>
          </w:p>
        </w:tc>
      </w:tr>
      <w:tr>
        <w:trPr>
          <w:trHeight w:val="203"/>
        </w:trPr>
        <w:tc>
          <w:tcPr>
            <w:tcW w:w="60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Consideration paid including interest</w:t>
            </w:r>
          </w:p>
        </w:tc>
        <w:tc>
          <w:tcPr>
            <w:tcW w:w="1800" w:type="dxa"/>
            <w:vAlign w:val="bottom"/>
            <w:tcBorders>
              <w:bottom w:val="single" w:sz="8" w:color="1352DE"/>
            </w:tcBorders>
          </w:tcPr>
          <w:p>
            <w:pPr>
              <w:spacing w:after="0"/>
              <w:rPr>
                <w:sz w:val="17"/>
                <w:szCs w:val="17"/>
                <w:color w:val="auto"/>
              </w:rPr>
            </w:pPr>
          </w:p>
        </w:tc>
        <w:tc>
          <w:tcPr>
            <w:tcW w:w="15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(10,188)</w:t>
            </w:r>
          </w:p>
        </w:tc>
        <w:tc>
          <w:tcPr>
            <w:tcW w:w="460" w:type="dxa"/>
            <w:vAlign w:val="bottom"/>
            <w:tcBorders>
              <w:bottom w:val="single" w:sz="8" w:color="1352DE"/>
            </w:tcBorders>
          </w:tcPr>
          <w:p>
            <w:pPr>
              <w:spacing w:after="0"/>
              <w:rPr>
                <w:sz w:val="17"/>
                <w:szCs w:val="17"/>
                <w:color w:val="auto"/>
              </w:rPr>
            </w:pPr>
          </w:p>
        </w:tc>
        <w:tc>
          <w:tcPr>
            <w:tcW w:w="1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(10,188)</w:t>
            </w:r>
          </w:p>
        </w:tc>
        <w:tc>
          <w:tcPr>
            <w:tcW w:w="20" w:type="dxa"/>
            <w:vAlign w:val="bottom"/>
          </w:tcPr>
          <w:p>
            <w:pPr>
              <w:spacing w:after="0"/>
              <w:rPr>
                <w:sz w:val="17"/>
                <w:szCs w:val="17"/>
                <w:color w:val="auto"/>
              </w:rPr>
            </w:pPr>
          </w:p>
        </w:tc>
      </w:tr>
      <w:tr>
        <w:trPr>
          <w:trHeight w:val="195"/>
        </w:trPr>
        <w:tc>
          <w:tcPr>
            <w:tcW w:w="6000" w:type="dxa"/>
            <w:vAlign w:val="bottom"/>
          </w:tcPr>
          <w:p>
            <w:pPr>
              <w:ind w:left="20"/>
              <w:spacing w:after="0"/>
              <w:rPr>
                <w:sz w:val="20"/>
                <w:szCs w:val="20"/>
                <w:color w:val="auto"/>
              </w:rPr>
            </w:pPr>
            <w:r>
              <w:rPr>
                <w:rFonts w:ascii="Arial" w:cs="Arial" w:eastAsia="Arial" w:hAnsi="Arial"/>
                <w:sz w:val="14"/>
                <w:szCs w:val="14"/>
                <w:b w:val="1"/>
                <w:bCs w:val="1"/>
                <w:color w:val="1252DE"/>
              </w:rPr>
              <w:t>Pre-tax deferred gain before discount and amortization</w:t>
            </w:r>
          </w:p>
        </w:tc>
        <w:tc>
          <w:tcPr>
            <w:tcW w:w="1800" w:type="dxa"/>
            <w:vAlign w:val="bottom"/>
          </w:tcPr>
          <w:p>
            <w:pPr>
              <w:spacing w:after="0"/>
              <w:rPr>
                <w:sz w:val="16"/>
                <w:szCs w:val="16"/>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1252DE"/>
              </w:rPr>
              <w:t>2,921</w:t>
            </w: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3,008</w:t>
            </w:r>
          </w:p>
        </w:tc>
        <w:tc>
          <w:tcPr>
            <w:tcW w:w="20" w:type="dxa"/>
            <w:vAlign w:val="bottom"/>
          </w:tcPr>
          <w:p>
            <w:pPr>
              <w:spacing w:after="0"/>
              <w:rPr>
                <w:sz w:val="16"/>
                <w:szCs w:val="16"/>
                <w:color w:val="auto"/>
              </w:rPr>
            </w:pPr>
          </w:p>
        </w:tc>
      </w:tr>
      <w:tr>
        <w:trPr>
          <w:trHeight w:val="205"/>
        </w:trPr>
        <w:tc>
          <w:tcPr>
            <w:tcW w:w="6000" w:type="dxa"/>
            <w:vAlign w:val="bottom"/>
            <w:tcBorders>
              <w:bottom w:val="single" w:sz="8" w:color="1352DE"/>
            </w:tcBorders>
          </w:tcPr>
          <w:p>
            <w:pPr>
              <w:ind w:left="20"/>
              <w:spacing w:after="0" w:line="205" w:lineRule="exact"/>
              <w:rPr>
                <w:sz w:val="20"/>
                <w:szCs w:val="20"/>
                <w:color w:val="auto"/>
              </w:rPr>
            </w:pPr>
            <w:r>
              <w:rPr>
                <w:rFonts w:ascii="Arial" w:cs="Arial" w:eastAsia="Arial" w:hAnsi="Arial"/>
                <w:sz w:val="14"/>
                <w:szCs w:val="14"/>
                <w:color w:val="auto"/>
              </w:rPr>
              <w:t>Discount on ceded losses</w:t>
            </w:r>
            <w:r>
              <w:rPr>
                <w:rFonts w:ascii="Arial" w:cs="Arial" w:eastAsia="Arial" w:hAnsi="Arial"/>
                <w:sz w:val="18"/>
                <w:szCs w:val="18"/>
                <w:color w:val="auto"/>
                <w:vertAlign w:val="superscript"/>
              </w:rPr>
              <w:t>(a)</w:t>
            </w:r>
          </w:p>
        </w:tc>
        <w:tc>
          <w:tcPr>
            <w:tcW w:w="1800" w:type="dxa"/>
            <w:vAlign w:val="bottom"/>
            <w:tcBorders>
              <w:bottom w:val="single" w:sz="8" w:color="1352DE"/>
            </w:tcBorders>
          </w:tcPr>
          <w:p>
            <w:pPr>
              <w:spacing w:after="0"/>
              <w:rPr>
                <w:sz w:val="17"/>
                <w:szCs w:val="17"/>
                <w:color w:val="auto"/>
              </w:rPr>
            </w:pPr>
          </w:p>
        </w:tc>
        <w:tc>
          <w:tcPr>
            <w:tcW w:w="15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(765)</w:t>
            </w:r>
          </w:p>
        </w:tc>
        <w:tc>
          <w:tcPr>
            <w:tcW w:w="460" w:type="dxa"/>
            <w:vAlign w:val="bottom"/>
            <w:tcBorders>
              <w:bottom w:val="single" w:sz="8" w:color="1352DE"/>
            </w:tcBorders>
          </w:tcPr>
          <w:p>
            <w:pPr>
              <w:spacing w:after="0"/>
              <w:rPr>
                <w:sz w:val="17"/>
                <w:szCs w:val="17"/>
                <w:color w:val="auto"/>
              </w:rPr>
            </w:pPr>
          </w:p>
        </w:tc>
        <w:tc>
          <w:tcPr>
            <w:tcW w:w="1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(891)</w:t>
            </w:r>
          </w:p>
        </w:tc>
        <w:tc>
          <w:tcPr>
            <w:tcW w:w="20" w:type="dxa"/>
            <w:vAlign w:val="bottom"/>
          </w:tcPr>
          <w:p>
            <w:pPr>
              <w:spacing w:after="0"/>
              <w:rPr>
                <w:sz w:val="17"/>
                <w:szCs w:val="17"/>
                <w:color w:val="auto"/>
              </w:rPr>
            </w:pPr>
          </w:p>
        </w:tc>
      </w:tr>
      <w:tr>
        <w:trPr>
          <w:trHeight w:val="194"/>
        </w:trPr>
        <w:tc>
          <w:tcPr>
            <w:tcW w:w="6000" w:type="dxa"/>
            <w:vAlign w:val="bottom"/>
          </w:tcPr>
          <w:p>
            <w:pPr>
              <w:ind w:left="20"/>
              <w:spacing w:after="0"/>
              <w:rPr>
                <w:sz w:val="20"/>
                <w:szCs w:val="20"/>
                <w:color w:val="auto"/>
              </w:rPr>
            </w:pPr>
            <w:r>
              <w:rPr>
                <w:rFonts w:ascii="Arial" w:cs="Arial" w:eastAsia="Arial" w:hAnsi="Arial"/>
                <w:sz w:val="14"/>
                <w:szCs w:val="14"/>
                <w:b w:val="1"/>
                <w:bCs w:val="1"/>
                <w:color w:val="1252DE"/>
              </w:rPr>
              <w:t>Pre-tax deferred gain before amortization</w:t>
            </w:r>
          </w:p>
        </w:tc>
        <w:tc>
          <w:tcPr>
            <w:tcW w:w="1800" w:type="dxa"/>
            <w:vAlign w:val="bottom"/>
          </w:tcPr>
          <w:p>
            <w:pPr>
              <w:spacing w:after="0"/>
              <w:rPr>
                <w:sz w:val="16"/>
                <w:szCs w:val="16"/>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1252DE"/>
              </w:rPr>
              <w:t>2,156</w:t>
            </w: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2,117</w:t>
            </w:r>
          </w:p>
        </w:tc>
        <w:tc>
          <w:tcPr>
            <w:tcW w:w="20" w:type="dxa"/>
            <w:vAlign w:val="bottom"/>
          </w:tcPr>
          <w:p>
            <w:pPr>
              <w:spacing w:after="0"/>
              <w:rPr>
                <w:sz w:val="16"/>
                <w:szCs w:val="16"/>
                <w:color w:val="auto"/>
              </w:rPr>
            </w:pPr>
          </w:p>
        </w:tc>
      </w:tr>
      <w:tr>
        <w:trPr>
          <w:trHeight w:val="203"/>
        </w:trPr>
        <w:tc>
          <w:tcPr>
            <w:tcW w:w="6000" w:type="dxa"/>
            <w:vAlign w:val="bottom"/>
          </w:tcPr>
          <w:p>
            <w:pPr>
              <w:ind w:left="20"/>
              <w:spacing w:after="0"/>
              <w:rPr>
                <w:sz w:val="20"/>
                <w:szCs w:val="20"/>
                <w:color w:val="auto"/>
              </w:rPr>
            </w:pPr>
            <w:r>
              <w:rPr>
                <w:rFonts w:ascii="Arial" w:cs="Arial" w:eastAsia="Arial" w:hAnsi="Arial"/>
                <w:sz w:val="14"/>
                <w:szCs w:val="14"/>
                <w:color w:val="auto"/>
              </w:rPr>
              <w:t>Inception to date amortization of deferred gain at inception</w:t>
            </w:r>
          </w:p>
        </w:tc>
        <w:tc>
          <w:tcPr>
            <w:tcW w:w="18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1252DE"/>
              </w:rPr>
              <w:t>(1,766)</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(1,688)</w:t>
            </w:r>
          </w:p>
        </w:tc>
        <w:tc>
          <w:tcPr>
            <w:tcW w:w="20" w:type="dxa"/>
            <w:vAlign w:val="bottom"/>
          </w:tcPr>
          <w:p>
            <w:pPr>
              <w:spacing w:after="0"/>
              <w:rPr>
                <w:sz w:val="17"/>
                <w:szCs w:val="17"/>
                <w:color w:val="auto"/>
              </w:rPr>
            </w:pPr>
          </w:p>
        </w:tc>
      </w:tr>
      <w:tr>
        <w:trPr>
          <w:trHeight w:val="259"/>
        </w:trPr>
        <w:tc>
          <w:tcPr>
            <w:tcW w:w="600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Inception to date amortization attributed to changes in deferred gain</w:t>
            </w:r>
            <w:r>
              <w:rPr>
                <w:rFonts w:ascii="Arial" w:cs="Arial" w:eastAsia="Arial" w:hAnsi="Arial"/>
                <w:sz w:val="18"/>
                <w:szCs w:val="18"/>
                <w:color w:val="auto"/>
                <w:vertAlign w:val="superscript"/>
              </w:rPr>
              <w:t>(b)</w:t>
            </w:r>
          </w:p>
        </w:tc>
        <w:tc>
          <w:tcPr>
            <w:tcW w:w="1800" w:type="dxa"/>
            <w:vAlign w:val="bottom"/>
            <w:tcBorders>
              <w:bottom w:val="single" w:sz="8" w:color="1352DE"/>
            </w:tcBorders>
          </w:tcPr>
          <w:p>
            <w:pPr>
              <w:spacing w:after="0"/>
              <w:rPr>
                <w:sz w:val="22"/>
                <w:szCs w:val="22"/>
                <w:color w:val="auto"/>
              </w:rPr>
            </w:pPr>
          </w:p>
        </w:tc>
        <w:tc>
          <w:tcPr>
            <w:tcW w:w="15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(112)</w:t>
            </w:r>
          </w:p>
        </w:tc>
        <w:tc>
          <w:tcPr>
            <w:tcW w:w="460" w:type="dxa"/>
            <w:vAlign w:val="bottom"/>
            <w:tcBorders>
              <w:bottom w:val="single" w:sz="8" w:color="1352DE"/>
            </w:tcBorders>
          </w:tcPr>
          <w:p>
            <w:pPr>
              <w:spacing w:after="0"/>
              <w:rPr>
                <w:sz w:val="22"/>
                <w:szCs w:val="22"/>
                <w:color w:val="auto"/>
              </w:rPr>
            </w:pPr>
          </w:p>
        </w:tc>
        <w:tc>
          <w:tcPr>
            <w:tcW w:w="1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22"/>
                <w:szCs w:val="22"/>
                <w:color w:val="auto"/>
              </w:rPr>
            </w:pPr>
          </w:p>
        </w:tc>
      </w:tr>
      <w:tr>
        <w:trPr>
          <w:trHeight w:val="195"/>
        </w:trPr>
        <w:tc>
          <w:tcPr>
            <w:tcW w:w="600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Deferred gain liability reflected in AIG's balance sheet</w:t>
            </w:r>
          </w:p>
        </w:tc>
        <w:tc>
          <w:tcPr>
            <w:tcW w:w="1800" w:type="dxa"/>
            <w:vAlign w:val="bottom"/>
            <w:tcBorders>
              <w:bottom w:val="single" w:sz="8" w:color="1352DE"/>
            </w:tcBorders>
          </w:tcPr>
          <w:p>
            <w:pPr>
              <w:jc w:val="right"/>
              <w:ind w:right="108"/>
              <w:spacing w:after="0"/>
              <w:rPr>
                <w:sz w:val="20"/>
                <w:szCs w:val="20"/>
                <w:color w:val="auto"/>
              </w:rPr>
            </w:pPr>
            <w:r>
              <w:rPr>
                <w:rFonts w:ascii="Arial" w:cs="Arial" w:eastAsia="Arial" w:hAnsi="Arial"/>
                <w:sz w:val="14"/>
                <w:szCs w:val="14"/>
                <w:b w:val="1"/>
                <w:bCs w:val="1"/>
                <w:color w:val="1252DE"/>
              </w:rPr>
              <w:t>$</w:t>
            </w:r>
          </w:p>
        </w:tc>
        <w:tc>
          <w:tcPr>
            <w:tcW w:w="15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b w:val="1"/>
                <w:bCs w:val="1"/>
                <w:color w:val="1252DE"/>
              </w:rPr>
              <w:t>278</w:t>
            </w:r>
          </w:p>
        </w:tc>
        <w:tc>
          <w:tcPr>
            <w:tcW w:w="460" w:type="dxa"/>
            <w:vAlign w:val="bottom"/>
            <w:tcBorders>
              <w:bottom w:val="single" w:sz="8" w:color="1352DE"/>
            </w:tcBorders>
          </w:tcPr>
          <w:p>
            <w:pPr>
              <w:jc w:val="right"/>
              <w:ind w:right="13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16"/>
                <w:szCs w:val="16"/>
                <w:color w:val="auto"/>
              </w:rPr>
            </w:pPr>
          </w:p>
        </w:tc>
      </w:tr>
    </w:tbl>
    <w:p>
      <w:pPr>
        <w:spacing w:after="0" w:line="144"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accretion of discount and a reduction in effective interest rates is offset by changes in estimates of the amount and timing of future recoveries.</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Excluded from APTI.</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presents the rollforward of activity in the deferred gain from the adverse development reinsurance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tcBorders>
              <w:top w:val="single" w:sz="8" w:color="1352DE"/>
            </w:tcBorders>
          </w:tcPr>
          <w:p>
            <w:pPr>
              <w:spacing w:after="0"/>
              <w:rPr>
                <w:sz w:val="15"/>
                <w:szCs w:val="15"/>
                <w:color w:val="auto"/>
              </w:rPr>
            </w:pPr>
          </w:p>
        </w:tc>
        <w:tc>
          <w:tcPr>
            <w:tcW w:w="280" w:type="dxa"/>
            <w:vAlign w:val="bottom"/>
            <w:tcBorders>
              <w:top w:val="single" w:sz="8" w:color="1352DE"/>
            </w:tcBorders>
          </w:tcPr>
          <w:p>
            <w:pPr>
              <w:spacing w:after="0"/>
              <w:rPr>
                <w:sz w:val="15"/>
                <w:szCs w:val="15"/>
                <w:color w:val="auto"/>
              </w:rPr>
            </w:pPr>
          </w:p>
        </w:tc>
        <w:tc>
          <w:tcPr>
            <w:tcW w:w="1600" w:type="dxa"/>
            <w:vAlign w:val="bottom"/>
            <w:tcBorders>
              <w:top w:val="single" w:sz="8" w:color="1352DE"/>
            </w:tcBorders>
            <w:gridSpan w:val="2"/>
          </w:tcPr>
          <w:p>
            <w:pPr>
              <w:jc w:val="right"/>
              <w:spacing w:after="0" w:line="175" w:lineRule="exact"/>
              <w:rPr>
                <w:sz w:val="20"/>
                <w:szCs w:val="20"/>
                <w:color w:val="auto"/>
              </w:rPr>
            </w:pPr>
            <w:r>
              <w:rPr>
                <w:rFonts w:ascii="Arial" w:cs="Arial" w:eastAsia="Arial" w:hAnsi="Arial"/>
                <w:sz w:val="16"/>
                <w:szCs w:val="16"/>
                <w:color w:val="1252DE"/>
              </w:rPr>
              <w:t>Three Months Ended</w:t>
            </w:r>
          </w:p>
        </w:tc>
        <w:tc>
          <w:tcPr>
            <w:tcW w:w="380" w:type="dxa"/>
            <w:vAlign w:val="bottom"/>
            <w:tcBorders>
              <w:top w:val="single" w:sz="8" w:color="1352DE"/>
            </w:tcBorders>
          </w:tcPr>
          <w:p>
            <w:pPr>
              <w:spacing w:after="0"/>
              <w:rPr>
                <w:sz w:val="15"/>
                <w:szCs w:val="15"/>
                <w:color w:val="auto"/>
              </w:rPr>
            </w:pPr>
          </w:p>
        </w:tc>
        <w:tc>
          <w:tcPr>
            <w:tcW w:w="240" w:type="dxa"/>
            <w:vAlign w:val="bottom"/>
            <w:tcBorders>
              <w:top w:val="single" w:sz="8" w:color="1352DE"/>
            </w:tcBorders>
          </w:tcPr>
          <w:p>
            <w:pPr>
              <w:spacing w:after="0"/>
              <w:rPr>
                <w:sz w:val="15"/>
                <w:szCs w:val="15"/>
                <w:color w:val="auto"/>
              </w:rPr>
            </w:pPr>
          </w:p>
        </w:tc>
        <w:tc>
          <w:tcPr>
            <w:tcW w:w="360" w:type="dxa"/>
            <w:vAlign w:val="bottom"/>
            <w:tcBorders>
              <w:top w:val="single" w:sz="8" w:color="1352DE"/>
            </w:tcBorders>
          </w:tcPr>
          <w:p>
            <w:pPr>
              <w:spacing w:after="0"/>
              <w:rPr>
                <w:sz w:val="15"/>
                <w:szCs w:val="15"/>
                <w:color w:val="auto"/>
              </w:rPr>
            </w:pPr>
          </w:p>
        </w:tc>
        <w:tc>
          <w:tcPr>
            <w:tcW w:w="1620" w:type="dxa"/>
            <w:vAlign w:val="bottom"/>
            <w:tcBorders>
              <w:top w:val="single" w:sz="8" w:color="1352DE"/>
            </w:tcBorders>
            <w:gridSpan w:val="2"/>
          </w:tcPr>
          <w:p>
            <w:pPr>
              <w:jc w:val="right"/>
              <w:spacing w:after="0" w:line="175" w:lineRule="exact"/>
              <w:rPr>
                <w:sz w:val="20"/>
                <w:szCs w:val="20"/>
                <w:color w:val="auto"/>
              </w:rPr>
            </w:pPr>
            <w:r>
              <w:rPr>
                <w:rFonts w:ascii="Arial" w:cs="Arial" w:eastAsia="Arial" w:hAnsi="Arial"/>
                <w:sz w:val="16"/>
                <w:szCs w:val="16"/>
                <w:color w:val="1252DE"/>
              </w:rPr>
              <w:t>Nine Months Ended</w:t>
            </w:r>
          </w:p>
        </w:tc>
        <w:tc>
          <w:tcPr>
            <w:tcW w:w="440" w:type="dxa"/>
            <w:vAlign w:val="bottom"/>
            <w:tcBorders>
              <w:top w:val="single" w:sz="8" w:color="1352DE"/>
            </w:tcBorders>
          </w:tcPr>
          <w:p>
            <w:pPr>
              <w:spacing w:after="0"/>
              <w:rPr>
                <w:sz w:val="15"/>
                <w:szCs w:val="15"/>
                <w:color w:val="auto"/>
              </w:rPr>
            </w:pPr>
          </w:p>
        </w:tc>
      </w:tr>
      <w:tr>
        <w:trPr>
          <w:trHeight w:val="215"/>
        </w:trPr>
        <w:tc>
          <w:tcPr>
            <w:tcW w:w="6300" w:type="dxa"/>
            <w:vAlign w:val="bottom"/>
          </w:tcPr>
          <w:p>
            <w:pPr>
              <w:spacing w:after="0"/>
              <w:rPr>
                <w:sz w:val="18"/>
                <w:szCs w:val="18"/>
                <w:color w:val="auto"/>
              </w:rPr>
            </w:pPr>
          </w:p>
        </w:tc>
        <w:tc>
          <w:tcPr>
            <w:tcW w:w="280" w:type="dxa"/>
            <w:vAlign w:val="bottom"/>
            <w:tcBorders>
              <w:bottom w:val="single" w:sz="8" w:color="1352DE"/>
            </w:tcBorders>
          </w:tcPr>
          <w:p>
            <w:pPr>
              <w:spacing w:after="0"/>
              <w:rPr>
                <w:sz w:val="18"/>
                <w:szCs w:val="18"/>
                <w:color w:val="auto"/>
              </w:rPr>
            </w:pPr>
          </w:p>
        </w:tc>
        <w:tc>
          <w:tcPr>
            <w:tcW w:w="1600" w:type="dxa"/>
            <w:vAlign w:val="bottom"/>
            <w:tcBorders>
              <w:bottom w:val="single" w:sz="8" w:color="1352DE"/>
            </w:tcBorders>
            <w:gridSpan w:val="2"/>
          </w:tcPr>
          <w:p>
            <w:pPr>
              <w:jc w:val="right"/>
              <w:ind w:right="139"/>
              <w:spacing w:after="0"/>
              <w:rPr>
                <w:sz w:val="20"/>
                <w:szCs w:val="20"/>
                <w:color w:val="auto"/>
              </w:rPr>
            </w:pPr>
            <w:r>
              <w:rPr>
                <w:rFonts w:ascii="Arial" w:cs="Arial" w:eastAsia="Arial" w:hAnsi="Arial"/>
                <w:sz w:val="16"/>
                <w:szCs w:val="16"/>
                <w:color w:val="1252DE"/>
              </w:rPr>
              <w:t>September 30,</w:t>
            </w:r>
          </w:p>
        </w:tc>
        <w:tc>
          <w:tcPr>
            <w:tcW w:w="380" w:type="dxa"/>
            <w:vAlign w:val="bottom"/>
            <w:tcBorders>
              <w:bottom w:val="single" w:sz="8" w:color="1352DE"/>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bottom w:val="single" w:sz="8" w:color="1352DE"/>
            </w:tcBorders>
          </w:tcPr>
          <w:p>
            <w:pPr>
              <w:spacing w:after="0"/>
              <w:rPr>
                <w:sz w:val="18"/>
                <w:szCs w:val="18"/>
                <w:color w:val="auto"/>
              </w:rPr>
            </w:pPr>
          </w:p>
        </w:tc>
        <w:tc>
          <w:tcPr>
            <w:tcW w:w="1620" w:type="dxa"/>
            <w:vAlign w:val="bottom"/>
            <w:tcBorders>
              <w:bottom w:val="single" w:sz="8" w:color="1352DE"/>
            </w:tcBorders>
            <w:gridSpan w:val="2"/>
          </w:tcPr>
          <w:p>
            <w:pPr>
              <w:jc w:val="right"/>
              <w:ind w:right="159"/>
              <w:spacing w:after="0"/>
              <w:rPr>
                <w:sz w:val="20"/>
                <w:szCs w:val="20"/>
                <w:color w:val="auto"/>
              </w:rPr>
            </w:pPr>
            <w:r>
              <w:rPr>
                <w:rFonts w:ascii="Arial" w:cs="Arial" w:eastAsia="Arial" w:hAnsi="Arial"/>
                <w:sz w:val="16"/>
                <w:szCs w:val="16"/>
                <w:color w:val="1252DE"/>
              </w:rPr>
              <w:t>September 30,</w:t>
            </w:r>
          </w:p>
        </w:tc>
        <w:tc>
          <w:tcPr>
            <w:tcW w:w="440" w:type="dxa"/>
            <w:vAlign w:val="bottom"/>
            <w:tcBorders>
              <w:bottom w:val="single" w:sz="8" w:color="1352DE"/>
            </w:tcBorders>
          </w:tcPr>
          <w:p>
            <w:pPr>
              <w:spacing w:after="0"/>
              <w:rPr>
                <w:sz w:val="18"/>
                <w:szCs w:val="18"/>
                <w:color w:val="auto"/>
              </w:rPr>
            </w:pPr>
          </w:p>
        </w:tc>
      </w:tr>
      <w:tr>
        <w:trPr>
          <w:trHeight w:val="210"/>
        </w:trPr>
        <w:tc>
          <w:tcPr>
            <w:tcW w:w="6300" w:type="dxa"/>
            <w:vAlign w:val="bottom"/>
            <w:tcBorders>
              <w:bottom w:val="single" w:sz="8" w:color="1352DE"/>
            </w:tcBorders>
          </w:tcPr>
          <w:p>
            <w:pPr>
              <w:ind w:left="20"/>
              <w:spacing w:after="0"/>
              <w:rPr>
                <w:sz w:val="20"/>
                <w:szCs w:val="20"/>
                <w:color w:val="auto"/>
              </w:rPr>
            </w:pPr>
            <w:r>
              <w:rPr>
                <w:rFonts w:ascii="Arial" w:cs="Arial" w:eastAsia="Arial" w:hAnsi="Arial"/>
                <w:sz w:val="14"/>
                <w:szCs w:val="14"/>
                <w:i w:val="1"/>
                <w:iCs w:val="1"/>
                <w:color w:val="1252DE"/>
              </w:rPr>
              <w:t>(in millions)</w:t>
            </w:r>
          </w:p>
        </w:tc>
        <w:tc>
          <w:tcPr>
            <w:tcW w:w="28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2026</w:t>
            </w:r>
          </w:p>
        </w:tc>
        <w:tc>
          <w:tcPr>
            <w:tcW w:w="680" w:type="dxa"/>
            <w:vAlign w:val="bottom"/>
            <w:tcBorders>
              <w:bottom w:val="single" w:sz="8" w:color="1352DE"/>
            </w:tcBorders>
          </w:tcPr>
          <w:p>
            <w:pPr>
              <w:spacing w:after="0"/>
              <w:rPr>
                <w:sz w:val="18"/>
                <w:szCs w:val="18"/>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w w:val="95"/>
              </w:rPr>
              <w:t>2025</w:t>
            </w:r>
          </w:p>
        </w:tc>
        <w:tc>
          <w:tcPr>
            <w:tcW w:w="240" w:type="dxa"/>
            <w:vAlign w:val="bottom"/>
            <w:tcBorders>
              <w:bottom w:val="single" w:sz="8" w:color="1352DE"/>
            </w:tcBorders>
          </w:tcPr>
          <w:p>
            <w:pPr>
              <w:spacing w:after="0"/>
              <w:rPr>
                <w:sz w:val="18"/>
                <w:szCs w:val="18"/>
                <w:color w:val="auto"/>
              </w:rPr>
            </w:pPr>
          </w:p>
        </w:tc>
        <w:tc>
          <w:tcPr>
            <w:tcW w:w="360" w:type="dxa"/>
            <w:vAlign w:val="bottom"/>
            <w:tcBorders>
              <w:bottom w:val="single" w:sz="8" w:color="1352DE"/>
            </w:tcBorders>
          </w:tcPr>
          <w:p>
            <w:pPr>
              <w:spacing w:after="0"/>
              <w:rPr>
                <w:sz w:val="18"/>
                <w:szCs w:val="18"/>
                <w:color w:val="auto"/>
              </w:rPr>
            </w:pPr>
          </w:p>
        </w:tc>
        <w:tc>
          <w:tcPr>
            <w:tcW w:w="90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2026</w:t>
            </w:r>
          </w:p>
        </w:tc>
        <w:tc>
          <w:tcPr>
            <w:tcW w:w="720" w:type="dxa"/>
            <w:vAlign w:val="bottom"/>
            <w:tcBorders>
              <w:bottom w:val="single" w:sz="8" w:color="1352DE"/>
            </w:tcBorders>
          </w:tcPr>
          <w:p>
            <w:pPr>
              <w:spacing w:after="0"/>
              <w:rPr>
                <w:sz w:val="18"/>
                <w:szCs w:val="18"/>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1252DE"/>
              </w:rPr>
              <w:t>2025</w:t>
            </w:r>
          </w:p>
        </w:tc>
      </w:tr>
      <w:tr>
        <w:trPr>
          <w:trHeight w:val="209"/>
        </w:trPr>
        <w:tc>
          <w:tcPr>
            <w:tcW w:w="6300" w:type="dxa"/>
            <w:vAlign w:val="bottom"/>
            <w:tcBorders>
              <w:bottom w:val="single" w:sz="8" w:color="1352DE"/>
            </w:tcBorders>
          </w:tcPr>
          <w:p>
            <w:pPr>
              <w:ind w:left="20"/>
              <w:spacing w:after="0"/>
              <w:rPr>
                <w:sz w:val="20"/>
                <w:szCs w:val="20"/>
                <w:color w:val="auto"/>
              </w:rPr>
            </w:pPr>
            <w:r>
              <w:rPr>
                <w:rFonts w:ascii="Arial" w:cs="Arial" w:eastAsia="Arial" w:hAnsi="Arial"/>
                <w:sz w:val="16"/>
                <w:szCs w:val="16"/>
                <w:b w:val="1"/>
                <w:bCs w:val="1"/>
                <w:color w:val="1252DE"/>
              </w:rPr>
              <w:t>Balance at beginning of period, net of discount</w:t>
            </w:r>
          </w:p>
        </w:tc>
        <w:tc>
          <w:tcPr>
            <w:tcW w:w="2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w:t>
            </w:r>
          </w:p>
        </w:tc>
        <w:tc>
          <w:tcPr>
            <w:tcW w:w="92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241</w:t>
            </w:r>
          </w:p>
        </w:tc>
        <w:tc>
          <w:tcPr>
            <w:tcW w:w="680" w:type="dxa"/>
            <w:vAlign w:val="bottom"/>
            <w:tcBorders>
              <w:bottom w:val="single" w:sz="8" w:color="1352DE"/>
            </w:tcBorders>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316</w:t>
            </w:r>
          </w:p>
        </w:tc>
        <w:tc>
          <w:tcPr>
            <w:tcW w:w="240" w:type="dxa"/>
            <w:vAlign w:val="bottom"/>
            <w:tcBorders>
              <w:bottom w:val="single" w:sz="8" w:color="1352DE"/>
            </w:tcBorders>
          </w:tcPr>
          <w:p>
            <w:pPr>
              <w:spacing w:after="0"/>
              <w:rPr>
                <w:sz w:val="18"/>
                <w:szCs w:val="18"/>
                <w:color w:val="auto"/>
              </w:rPr>
            </w:pPr>
          </w:p>
        </w:tc>
        <w:tc>
          <w:tcPr>
            <w:tcW w:w="36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b w:val="1"/>
                <w:bCs w:val="1"/>
                <w:color w:val="1252DE"/>
              </w:rPr>
              <w:t>$</w:t>
            </w: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273</w:t>
            </w:r>
          </w:p>
        </w:tc>
        <w:tc>
          <w:tcPr>
            <w:tcW w:w="720" w:type="dxa"/>
            <w:vAlign w:val="bottom"/>
            <w:tcBorders>
              <w:bottom w:val="single" w:sz="8" w:color="1352DE"/>
            </w:tcBorders>
          </w:tcPr>
          <w:p>
            <w:pPr>
              <w:jc w:val="right"/>
              <w:ind w:right="4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284</w:t>
            </w:r>
          </w:p>
        </w:tc>
      </w:tr>
      <w:tr>
        <w:trPr>
          <w:trHeight w:val="199"/>
        </w:trPr>
        <w:tc>
          <w:tcPr>
            <w:tcW w:w="6300" w:type="dxa"/>
            <w:vAlign w:val="bottom"/>
          </w:tcPr>
          <w:p>
            <w:pPr>
              <w:ind w:left="140"/>
              <w:spacing w:after="0" w:line="199" w:lineRule="exact"/>
              <w:rPr>
                <w:sz w:val="20"/>
                <w:szCs w:val="20"/>
                <w:color w:val="auto"/>
              </w:rPr>
            </w:pPr>
            <w:r>
              <w:rPr>
                <w:rFonts w:ascii="Arial" w:cs="Arial" w:eastAsia="Arial" w:hAnsi="Arial"/>
                <w:sz w:val="16"/>
                <w:szCs w:val="16"/>
                <w:color w:val="auto"/>
              </w:rPr>
              <w:t>(Favorable) unfavorable prior year reserve development ceded to NICO</w:t>
            </w:r>
            <w:r>
              <w:rPr>
                <w:rFonts w:ascii="Arial" w:cs="Arial" w:eastAsia="Arial" w:hAnsi="Arial"/>
                <w:sz w:val="21"/>
                <w:szCs w:val="21"/>
                <w:color w:val="auto"/>
                <w:vertAlign w:val="superscript"/>
              </w:rPr>
              <w:t>(a)</w:t>
            </w:r>
          </w:p>
        </w:tc>
        <w:tc>
          <w:tcPr>
            <w:tcW w:w="2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1252DE"/>
              </w:rPr>
              <w:t>13</w:t>
            </w: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DE"/>
              </w:rPr>
              <w:t>(87)</w:t>
            </w:r>
          </w:p>
        </w:tc>
        <w:tc>
          <w:tcPr>
            <w:tcW w:w="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6"/>
        </w:trPr>
        <w:tc>
          <w:tcPr>
            <w:tcW w:w="6300" w:type="dxa"/>
            <w:vAlign w:val="bottom"/>
          </w:tcPr>
          <w:p>
            <w:pPr>
              <w:ind w:left="140"/>
              <w:spacing w:after="0" w:line="216" w:lineRule="exact"/>
              <w:rPr>
                <w:sz w:val="20"/>
                <w:szCs w:val="20"/>
                <w:color w:val="auto"/>
              </w:rPr>
            </w:pPr>
            <w:r>
              <w:rPr>
                <w:rFonts w:ascii="Arial" w:cs="Arial" w:eastAsia="Arial" w:hAnsi="Arial"/>
                <w:sz w:val="16"/>
                <w:szCs w:val="16"/>
                <w:color w:val="auto"/>
              </w:rPr>
              <w:t>Amortization attributed to deferred gain at inception</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1252DE"/>
              </w:rPr>
              <w:t>(26)</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DE"/>
              </w:rPr>
              <w:t>(78)</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26"/>
        </w:trPr>
        <w:tc>
          <w:tcPr>
            <w:tcW w:w="6300" w:type="dxa"/>
            <w:vAlign w:val="bottom"/>
          </w:tcPr>
          <w:p>
            <w:pPr>
              <w:ind w:left="140"/>
              <w:spacing w:after="0" w:line="226" w:lineRule="exact"/>
              <w:rPr>
                <w:sz w:val="20"/>
                <w:szCs w:val="20"/>
                <w:color w:val="auto"/>
              </w:rPr>
            </w:pPr>
            <w:r>
              <w:rPr>
                <w:rFonts w:ascii="Arial" w:cs="Arial" w:eastAsia="Arial" w:hAnsi="Arial"/>
                <w:sz w:val="16"/>
                <w:szCs w:val="16"/>
                <w:color w:val="auto"/>
              </w:rPr>
              <w:t>Amortization attributed to changes in deferred gain</w:t>
            </w:r>
            <w:r>
              <w:rPr>
                <w:rFonts w:ascii="Arial" w:cs="Arial" w:eastAsia="Arial" w:hAnsi="Arial"/>
                <w:sz w:val="21"/>
                <w:szCs w:val="21"/>
                <w:color w:val="auto"/>
                <w:vertAlign w:val="superscript"/>
              </w:rPr>
              <w:t>(c)</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1252DE"/>
              </w:rPr>
              <w:t>(4)</w:t>
            </w: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1252DE"/>
              </w:rPr>
              <w:t>44</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6300" w:type="dxa"/>
            <w:vAlign w:val="bottom"/>
            <w:tcBorders>
              <w:bottom w:val="single" w:sz="8" w:color="1352DE"/>
            </w:tcBorders>
          </w:tcPr>
          <w:p>
            <w:pPr>
              <w:ind w:left="140"/>
              <w:spacing w:after="0"/>
              <w:rPr>
                <w:sz w:val="20"/>
                <w:szCs w:val="20"/>
                <w:color w:val="auto"/>
              </w:rPr>
            </w:pPr>
            <w:r>
              <w:rPr>
                <w:rFonts w:ascii="Arial" w:cs="Arial" w:eastAsia="Arial" w:hAnsi="Arial"/>
                <w:sz w:val="16"/>
                <w:szCs w:val="16"/>
                <w:color w:val="auto"/>
              </w:rPr>
              <w:t>Changes in discount on ceded loss reserves</w:t>
            </w:r>
          </w:p>
        </w:tc>
        <w:tc>
          <w:tcPr>
            <w:tcW w:w="280" w:type="dxa"/>
            <w:vAlign w:val="bottom"/>
            <w:tcBorders>
              <w:bottom w:val="single" w:sz="8" w:color="1352DE"/>
            </w:tcBorders>
          </w:tcPr>
          <w:p>
            <w:pPr>
              <w:spacing w:after="0"/>
              <w:rPr>
                <w:sz w:val="18"/>
                <w:szCs w:val="18"/>
                <w:color w:val="auto"/>
              </w:rPr>
            </w:pPr>
          </w:p>
        </w:tc>
        <w:tc>
          <w:tcPr>
            <w:tcW w:w="92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54</w:t>
            </w:r>
          </w:p>
        </w:tc>
        <w:tc>
          <w:tcPr>
            <w:tcW w:w="680" w:type="dxa"/>
            <w:vAlign w:val="bottom"/>
            <w:tcBorders>
              <w:bottom w:val="single" w:sz="8" w:color="1352DE"/>
            </w:tcBorders>
          </w:tcPr>
          <w:p>
            <w:pPr>
              <w:spacing w:after="0"/>
              <w:rPr>
                <w:sz w:val="18"/>
                <w:szCs w:val="18"/>
                <w:color w:val="auto"/>
              </w:rPr>
            </w:pP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1352DE"/>
            </w:tcBorders>
          </w:tcPr>
          <w:p>
            <w:pPr>
              <w:spacing w:after="0"/>
              <w:rPr>
                <w:sz w:val="18"/>
                <w:szCs w:val="18"/>
                <w:color w:val="auto"/>
              </w:rPr>
            </w:pPr>
          </w:p>
        </w:tc>
        <w:tc>
          <w:tcPr>
            <w:tcW w:w="360" w:type="dxa"/>
            <w:vAlign w:val="bottom"/>
            <w:tcBorders>
              <w:bottom w:val="single" w:sz="8" w:color="1352DE"/>
            </w:tcBorders>
          </w:tcPr>
          <w:p>
            <w:pPr>
              <w:spacing w:after="0"/>
              <w:rPr>
                <w:sz w:val="18"/>
                <w:szCs w:val="18"/>
                <w:color w:val="auto"/>
              </w:rPr>
            </w:pP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126</w:t>
            </w:r>
          </w:p>
        </w:tc>
        <w:tc>
          <w:tcPr>
            <w:tcW w:w="720" w:type="dxa"/>
            <w:vAlign w:val="bottom"/>
            <w:tcBorders>
              <w:bottom w:val="single" w:sz="8" w:color="1352DE"/>
            </w:tcBorders>
          </w:tcPr>
          <w:p>
            <w:pPr>
              <w:spacing w:after="0"/>
              <w:rPr>
                <w:sz w:val="18"/>
                <w:szCs w:val="18"/>
                <w:color w:val="auto"/>
              </w:rPr>
            </w:pP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6300" w:type="dxa"/>
            <w:vAlign w:val="bottom"/>
            <w:tcBorders>
              <w:bottom w:val="single" w:sz="8" w:color="1352DE"/>
            </w:tcBorders>
          </w:tcPr>
          <w:p>
            <w:pPr>
              <w:ind w:left="20"/>
              <w:spacing w:after="0"/>
              <w:rPr>
                <w:sz w:val="20"/>
                <w:szCs w:val="20"/>
                <w:color w:val="auto"/>
              </w:rPr>
            </w:pPr>
            <w:r>
              <w:rPr>
                <w:rFonts w:ascii="Arial" w:cs="Arial" w:eastAsia="Arial" w:hAnsi="Arial"/>
                <w:sz w:val="16"/>
                <w:szCs w:val="16"/>
                <w:b w:val="1"/>
                <w:bCs w:val="1"/>
                <w:color w:val="1252DE"/>
              </w:rPr>
              <w:t>Balance at end of period, net of discount</w:t>
            </w:r>
          </w:p>
        </w:tc>
        <w:tc>
          <w:tcPr>
            <w:tcW w:w="280" w:type="dxa"/>
            <w:vAlign w:val="bottom"/>
            <w:tcBorders>
              <w:bottom w:val="single" w:sz="8" w:color="1352DE"/>
            </w:tcBorders>
          </w:tcPr>
          <w:p>
            <w:pPr>
              <w:jc w:val="right"/>
              <w:spacing w:after="0"/>
              <w:rPr>
                <w:sz w:val="20"/>
                <w:szCs w:val="20"/>
                <w:color w:val="auto"/>
              </w:rPr>
            </w:pPr>
            <w:r>
              <w:rPr>
                <w:rFonts w:ascii="Arial" w:cs="Arial" w:eastAsia="Arial" w:hAnsi="Arial"/>
                <w:sz w:val="16"/>
                <w:szCs w:val="16"/>
                <w:b w:val="1"/>
                <w:bCs w:val="1"/>
                <w:color w:val="1252DE"/>
              </w:rPr>
              <w:t>$</w:t>
            </w:r>
          </w:p>
        </w:tc>
        <w:tc>
          <w:tcPr>
            <w:tcW w:w="92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278</w:t>
            </w:r>
          </w:p>
        </w:tc>
        <w:tc>
          <w:tcPr>
            <w:tcW w:w="680" w:type="dxa"/>
            <w:vAlign w:val="bottom"/>
            <w:tcBorders>
              <w:bottom w:val="single" w:sz="8" w:color="1352DE"/>
            </w:tcBorders>
          </w:tcPr>
          <w:p>
            <w:pPr>
              <w:jc w:val="right"/>
              <w:ind w:right="4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298</w:t>
            </w:r>
          </w:p>
        </w:tc>
        <w:tc>
          <w:tcPr>
            <w:tcW w:w="240" w:type="dxa"/>
            <w:vAlign w:val="bottom"/>
            <w:tcBorders>
              <w:bottom w:val="single" w:sz="8" w:color="1352DE"/>
            </w:tcBorders>
          </w:tcPr>
          <w:p>
            <w:pPr>
              <w:spacing w:after="0"/>
              <w:rPr>
                <w:sz w:val="18"/>
                <w:szCs w:val="18"/>
                <w:color w:val="auto"/>
              </w:rPr>
            </w:pPr>
          </w:p>
        </w:tc>
        <w:tc>
          <w:tcPr>
            <w:tcW w:w="36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b w:val="1"/>
                <w:bCs w:val="1"/>
                <w:color w:val="1252DE"/>
              </w:rPr>
              <w:t>$</w:t>
            </w:r>
          </w:p>
        </w:tc>
        <w:tc>
          <w:tcPr>
            <w:tcW w:w="90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b w:val="1"/>
                <w:bCs w:val="1"/>
                <w:color w:val="1252DE"/>
              </w:rPr>
              <w:t>278</w:t>
            </w:r>
          </w:p>
        </w:tc>
        <w:tc>
          <w:tcPr>
            <w:tcW w:w="720" w:type="dxa"/>
            <w:vAlign w:val="bottom"/>
            <w:tcBorders>
              <w:bottom w:val="single" w:sz="8" w:color="1352DE"/>
            </w:tcBorders>
          </w:tcPr>
          <w:p>
            <w:pPr>
              <w:jc w:val="right"/>
              <w:ind w:right="4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1352DE"/>
            </w:tcBorders>
          </w:tcPr>
          <w:p>
            <w:pPr>
              <w:jc w:val="right"/>
              <w:spacing w:after="0"/>
              <w:rPr>
                <w:sz w:val="20"/>
                <w:szCs w:val="20"/>
                <w:color w:val="auto"/>
              </w:rPr>
            </w:pPr>
            <w:r>
              <w:rPr>
                <w:rFonts w:ascii="Arial" w:cs="Arial" w:eastAsia="Arial" w:hAnsi="Arial"/>
                <w:sz w:val="16"/>
                <w:szCs w:val="16"/>
                <w:color w:val="auto"/>
              </w:rPr>
              <w:t>298</w:t>
            </w:r>
          </w:p>
        </w:tc>
      </w:tr>
    </w:tbl>
    <w:p>
      <w:pPr>
        <w:spacing w:after="0" w:line="144" w:lineRule="exact"/>
        <w:rPr>
          <w:sz w:val="20"/>
          <w:szCs w:val="20"/>
          <w:color w:val="auto"/>
        </w:rPr>
      </w:pPr>
    </w:p>
    <w:p>
      <w:pPr>
        <w:ind w:left="220" w:hanging="212"/>
        <w:spacing w:after="0"/>
        <w:tabs>
          <w:tab w:leader="none" w:pos="2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year reserve development ceded to NICO under the retroactive reinsurance agreement is deferred under GAAP.</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Represents amortization of the deferred gain recognized in APTI.</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Excluded from APTI.</w:t>
      </w:r>
    </w:p>
    <w:p>
      <w:pPr>
        <w:spacing w:after="0" w:line="165"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lines of business subject to this agreement include those with longer tails, which carry a higher degree of uncertainty. Since inception, there have been periods of both favorable and unfavorable prior year development. This agreement will continue to reduce the impact of volatility in the development on our ultimate loss estimates over time.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Fortitude Re</w:t>
      </w:r>
    </w:p>
    <w:p>
      <w:pPr>
        <w:spacing w:after="0" w:line="86"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color w:val="auto"/>
        </w:rPr>
        <w:t>Fortitude Re was established during the first quarter of 2018 in a series of reinsurance transactions related to our run-off operations. Those reinsurance transactions were designed to consolidate most of our insurance run-off lines into a single legal entity. As of September 30, 2026, $3.0 billion of reserves related to business written by multiple wholly-owned AIG subsidiaries had been ceded to Fortitude Re under these reinsurance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2343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7"/>
          <w:szCs w:val="27"/>
          <w:color w:val="001871"/>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1871"/>
        </w:rPr>
        <w:t xml:space="preserve">Liquidity </w:t>
      </w:r>
      <w:r>
        <w:rPr>
          <w:rFonts w:ascii="Arial" w:cs="Arial" w:eastAsia="Arial" w:hAnsi="Arial"/>
          <w:sz w:val="16"/>
          <w:szCs w:val="16"/>
          <w:color w:val="000000"/>
        </w:rPr>
        <w:t>refers to the ability to generate sufficient cash resources to meet the cash requirements of our business operations and payment obligations.</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001871"/>
        </w:rPr>
        <w:t xml:space="preserve">Capital </w:t>
      </w:r>
      <w:r>
        <w:rPr>
          <w:rFonts w:ascii="Arial" w:cs="Arial" w:eastAsia="Arial" w:hAnsi="Arial"/>
          <w:sz w:val="16"/>
          <w:szCs w:val="16"/>
          <w:color w:val="000000"/>
        </w:rPr>
        <w:t>refers to the long-term financial resources available to support the operation of our businesses, fund business growth and cover financial and</w:t>
      </w:r>
      <w:r>
        <w:rPr>
          <w:rFonts w:ascii="Arial" w:cs="Arial" w:eastAsia="Arial" w:hAnsi="Arial"/>
          <w:sz w:val="16"/>
          <w:szCs w:val="16"/>
          <w:b w:val="1"/>
          <w:bCs w:val="1"/>
          <w:color w:val="001871"/>
        </w:rPr>
        <w:t xml:space="preserve"> </w:t>
      </w:r>
      <w:r>
        <w:rPr>
          <w:rFonts w:ascii="Arial" w:cs="Arial" w:eastAsia="Arial" w:hAnsi="Arial"/>
          <w:sz w:val="16"/>
          <w:szCs w:val="16"/>
          <w:color w:val="000000"/>
        </w:rPr>
        <w:t>operational needs that arise from adverse circumstances. Our primary source of ongoing capital generation is derived from the profitability of our insurance subsidiaries. We must comply with numerous constraints on our capital positions. These constraints drive the requirements for capital adequacy at AIG and the individual businesses and are based on internally defined risk tolerances, regulatory requirements, rating agency and creditor expectations and business needs.</w:t>
      </w:r>
    </w:p>
    <w:p>
      <w:pPr>
        <w:spacing w:after="0" w:line="75"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i w:val="1"/>
          <w:iCs w:val="1"/>
          <w:color w:val="auto"/>
        </w:rPr>
        <w:t>For information regarding our liquidity risk framework, see Part II, Item 7. MD&amp;A – Enterprise Risk Management and Part II, Item 7. MD&amp;A – Enterprise Risk Management – Liquidity Risk in the 2025 Annual Report.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67</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Liquidity and Capital Resources</w:t>
      </w:r>
    </w:p>
    <w:p>
      <w:pPr>
        <w:spacing w:after="0" w:line="2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believe that we have sufficient liquidity and capital resources to satisfy future requirements and meet our obligations to policyholders, customers, creditors and debt-holders, including those arising from reasonably foreseeable contingencies or events. Nevertheless, some circumstances may cause our cash or capital needs to exceed projected liquidity or readily deployable capital resources.</w:t>
      </w:r>
    </w:p>
    <w:p>
      <w:pPr>
        <w:spacing w:after="0" w:line="52"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i w:val="1"/>
          <w:iCs w:val="1"/>
          <w:color w:val="auto"/>
        </w:rPr>
        <w:t>For information regarding risks associated with our liquidity and capital resources, see Part I, Item 1A. Risk Factors – Liquidity, Capital and Credit in the 2025 Annual Report.</w:t>
      </w:r>
    </w:p>
    <w:p>
      <w:pPr>
        <w:spacing w:after="0" w:line="4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Depending on market conditions, regulatory and rating agency considerations and other factors, we may take various liability and capital management actions. Liability management actions may include, but are not limited to, repurchasing or redeeming outstanding debt, issuing new debt or engaging in debt exchange offers. Capital management actions may include, but are not limited to, issuing preferred stock, paying dividends to our shareholders on AIG common stock, par value $2.50 per share (AIG Common Stock) and repurchases of AIG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LIQUIDITY AND CAPITAL RESOURCES HIGHLIGHTS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Sources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Liquidity to AIG Parent from Subsidiaries</w:t>
      </w:r>
    </w:p>
    <w:p>
      <w:pPr>
        <w:spacing w:after="0" w:line="86"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During the nine months ended September 30, 2026, our General Insurance companies distributed dividends of $2.4 billion to AIG Parent or applicable intermediate holding companies.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Sales of Corebridge Shares by AIG</w:t>
      </w:r>
    </w:p>
    <w:p>
      <w:pPr>
        <w:spacing w:after="0" w:line="86"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In February 2026, we sold 24.7 million shares of Corebridge common stock at a per share purchase price of $30.42. The aggregate proceeds to AIG Parent were $750 million.</w:t>
      </w:r>
    </w:p>
    <w:p>
      <w:pPr>
        <w:spacing w:after="0" w:line="48"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In May 2026, we sold 25.5 million shares of Corebridge common stock, representing our remaining interest in Corebridge, at a per share purchase price of $27.90. The aggregate proceeds to AIG Parent were approximately $710 million.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Debt Issuance</w:t>
      </w:r>
    </w:p>
    <w:p>
      <w:pPr>
        <w:spacing w:after="0" w:line="73"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On September 24, 2026, AIG issued €625 million aggregate principal amount of 4.250% Notes Due 2031 and €500 million aggregate principal amount of 4.750% Notes Due 2036, which was equivalent to approximately $1.3 billion in the aggregate.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Uses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General Borrowings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 made interest payments on our general borrowings totaling $267 million during the nine months ended September 30, 2026.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Dividends</w:t>
      </w:r>
    </w:p>
    <w:p>
      <w:pPr>
        <w:spacing w:after="0" w:line="86" w:lineRule="exact"/>
        <w:rPr>
          <w:sz w:val="20"/>
          <w:szCs w:val="20"/>
          <w:color w:val="auto"/>
        </w:rPr>
      </w:pPr>
    </w:p>
    <w:p>
      <w:pPr>
        <w:jc w:val="both"/>
        <w:ind w:right="360"/>
        <w:spacing w:after="0" w:line="301" w:lineRule="auto"/>
        <w:rPr>
          <w:sz w:val="20"/>
          <w:szCs w:val="20"/>
          <w:color w:val="auto"/>
        </w:rPr>
      </w:pPr>
      <w:r>
        <w:rPr>
          <w:rFonts w:ascii="Arial" w:cs="Arial" w:eastAsia="Arial" w:hAnsi="Arial"/>
          <w:sz w:val="16"/>
          <w:szCs w:val="16"/>
          <w:color w:val="auto"/>
        </w:rPr>
        <w:t>We made cash dividend payments in the amount of $0.50 per share on AIG Common Stock for the three month periods ended September 30, 2026 and June 30, 2026 (an increase of 11 percent from prior dividend payments), and $0.45 per share for the three months ended March 31, 2026, totaling $764 million in the aggregate.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Repurchases of Common Stock</w:t>
      </w:r>
    </w:p>
    <w:p>
      <w:pPr>
        <w:spacing w:after="0" w:line="86"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During the nine months ended September 30, 2026, AIG Parent repurchased approximately 22 million shares of AIG Common Stock, for an aggregate purchase price of approximately $1.7 billion. Pursuant to a Rule 10b5-1 plan, from October 1, 2026 to October 29, 2026, AIG Parent repurchased approximately 1 million shares of AIG Common Stock for an aggregate purchase price of approximately $88 million.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Acquisition of Convex Group Limited (Convex) and Onex Corporation (Onex)</w:t>
      </w:r>
    </w:p>
    <w:p>
      <w:pPr>
        <w:spacing w:after="0" w:line="86"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On February 6, 2026, AIG closed its previously announced acquisitions of (i) a 35 percent equity interest in Convex for $2.1 billion and (ii) a 9.9 percent ownership stake in Onex, for $642 million.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ANALYSIS OF SOURCES AND USES OF CASH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Operating Cash Flow Activities</w:t>
      </w:r>
    </w:p>
    <w:p>
      <w:pPr>
        <w:spacing w:after="0" w:line="8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Insurance companies generally receive most premiums in advance of the payment of claims or policy benefits. The ability of insurance companies to generate positive cash flow is affected by the frequency and severity of losses under their insurance policies, policy retention rates, effective management of their investment portfolio and operating expense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24771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760" w:hanging="734"/>
        <w:spacing w:after="0"/>
        <w:tabs>
          <w:tab w:leader="none" w:pos="760" w:val="left"/>
        </w:tabs>
        <w:numPr>
          <w:ilvl w:val="0"/>
          <w:numId w:val="111"/>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Liquidity and Capital Resources</w:t>
      </w:r>
    </w:p>
    <w:p>
      <w:pPr>
        <w:spacing w:after="0" w:line="270"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Interest payments totaled $273 million and $268 million in the nine months ended September 30, 2026 and 2025, respectively. Excluding interest payments, AIG had operating cash inflows of $4.8 billion and $2.9 billion in the nine months ended September 30, 2026 and 2025,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Investing Cash Flow Activities</w:t>
      </w:r>
    </w:p>
    <w:p>
      <w:pPr>
        <w:spacing w:after="0" w:line="6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Net cash used in investing activities in the nine months ended September 30, 2026 was $2.9 billion compared to net cash provided by investing activities of $3.3 billion in the prior year period.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Financing Cash Flow Activities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in the nine months ended September 30, 2026 totaled $1.3 billion, reflecting:</w:t>
      </w:r>
    </w:p>
    <w:p>
      <w:pPr>
        <w:spacing w:after="0" w:line="86" w:lineRule="exact"/>
        <w:rPr>
          <w:sz w:val="20"/>
          <w:szCs w:val="20"/>
          <w:color w:val="auto"/>
        </w:rPr>
      </w:pPr>
    </w:p>
    <w:p>
      <w:pPr>
        <w:ind w:left="220" w:right="280" w:hanging="212"/>
        <w:spacing w:after="0" w:line="316" w:lineRule="auto"/>
        <w:tabs>
          <w:tab w:leader="none" w:pos="21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$764 million to pay dividends of $0.50 per share in the three months ended September 30, 2026 and June 30, 2026, and $0.45 per share for the three months ended March 31, 2026 on AIG Common Stock;</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$1.7 billion to repurchase approximately 22 million shares of AIG Common Stock;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$1.3 billion in net inflows from the issuance and repayment of long-term debt.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in the nine months ended September 30, 2025 totaled $5.7 billion reflecting:</w:t>
      </w:r>
    </w:p>
    <w:p>
      <w:pPr>
        <w:spacing w:after="0" w:line="86" w:lineRule="exact"/>
        <w:rPr>
          <w:sz w:val="20"/>
          <w:szCs w:val="20"/>
          <w:color w:val="auto"/>
        </w:rPr>
      </w:pPr>
    </w:p>
    <w:p>
      <w:pPr>
        <w:ind w:left="220" w:right="280" w:hanging="212"/>
        <w:spacing w:after="0" w:line="316" w:lineRule="auto"/>
        <w:tabs>
          <w:tab w:leader="none" w:pos="21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$734 million to pay dividends of $0.45 per share in the three months ended September 30, 2025 and June 30, 2025, and $0.40 per share for the three months ended March 31, 2025 on AIG Common Stock;</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$5.3 billion to repurchase approximately 66 million shares of AIG Common Stock;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$154 million in net inflows from the issuance and repayment of long-term debt.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LIQUIDITY AND CAPITAL RESOURCES OF AIG PARENT AND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AIG Parent</w:t>
      </w:r>
    </w:p>
    <w:p>
      <w:pPr>
        <w:spacing w:after="0" w:line="8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As of September 30, 2026 and December 31, 2025, respectively, AIG Parent had approximately $8.7 billion and $9.3 billion in liquidity sources held in the form of cash, short-term investments and AIG Parent's committed, revolving syndicated credit facility of $3.0 billion. AIG Parent’s primary sources of liquidity are dividends, distributions, loans and other payments from subsidiaries and credit facilities. AIG Parent’s primary uses of liquidity are for debt service, capital and liability management, operating expenses and dividends on AIG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We expect to access the debt and preferred equity markets from time to time to meet funding requirements as needed.</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utilize our capital resources to support our businesses, with the majority of capital allocated to our insurance operations. Should we have or generate more capital than is needed to support our business strategies (including organic or inorganic growth opportunities) or mitigate risks inherent to our business, we may develop plans to distribute such capital to shareholders via dividends or AIG Common Stock repurchase authorizations or deploy such capital towards liability management.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Insurance Companies</w:t>
      </w:r>
    </w:p>
    <w:p>
      <w:pPr>
        <w:spacing w:after="0" w:line="8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expect that our insurance companies will be able to continue to satisfy reasonably foreseeable future liquidity requirements and meet their obligations, including those arising from reasonably foreseeable contingencies or events, through cash from operations and, to the extent necessary, monetization of invested assets.</w:t>
      </w:r>
    </w:p>
    <w:p>
      <w:pPr>
        <w:spacing w:after="0" w:line="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insurance companies’ liquidity resources are primarily held in the form of cash, short-term investments and publicly traded, investment grade rated fixed maturity securities. Each of our material insurance companies’ liquidity is monitored through various internal liquidity risk measures. The primary sources of liquidity are premiums, fees, reinsurance recoverables and investment income and maturities. Certain of our insurance companies have access to Federal Home Loan Bank (FHLB) borrowings as an additional source of funding.</w:t>
      </w:r>
    </w:p>
    <w:p>
      <w:pPr>
        <w:spacing w:after="0" w:line="7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The primary uses of liquidity are paid losses, reinsurance payments, interest payments, dividends, expenses, investment purchases and collateral requirements. Payments of dividends to AIG Parent or intermediate holding companies by insurance subsidiaries are subject to certain restrictions imposed by regulatory authorities. </w:t>
      </w:r>
      <w:r>
        <w:rPr>
          <w:rFonts w:ascii="Arial" w:cs="Arial" w:eastAsia="Arial" w:hAnsi="Arial"/>
          <w:sz w:val="16"/>
          <w:szCs w:val="16"/>
          <w:i w:val="1"/>
          <w:iCs w:val="1"/>
          <w:color w:val="auto"/>
        </w:rPr>
        <w:t>For information regarding restrictions on payments of dividends by our subsidiaries, see Note 18 to the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in the 2025 Annual Report.</w:t>
      </w:r>
    </w:p>
    <w:p>
      <w:pPr>
        <w:spacing w:after="0" w:line="67"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Our insurance companies may require additional funding to meet capital or liquidity needs under certain circumstances. For example, large catastrophes may require us to provide additional support to the affected operations of our insurance companies.</w:t>
      </w:r>
    </w:p>
    <w:p>
      <w:pPr>
        <w:spacing w:after="0" w:line="4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are party to several letter of credit agreements with various financial institutions, which issue letters of credit from time to time in support of our insurance companies. These letters of credit are subject to reimbursement by us in the event of a drawdown. Letters of credit issued in support of our insurance companies totaled approximately $2.2 billion at September 30, 2026.</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69</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Liquidity and Capital Resources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CREDIT FACILITIES</w:t>
      </w:r>
    </w:p>
    <w:p>
      <w:pPr>
        <w:spacing w:after="0" w:line="10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We maintain a syndicated, multicurrency revolving credit facility (the Facility) as a potential source of liquidity for general corporate purposes with aggregate commitments by the bank syndicate to provide AIG Parent with unsecured revolving loans and/or standby letters of credit of up to $3.0 billion. The Facility is scheduled to expire in September 2029.</w:t>
      </w:r>
    </w:p>
    <w:p>
      <w:pPr>
        <w:spacing w:after="0" w:line="6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Our ability to utilize the Facility is conditioned on the satisfaction of certain legal, operating, administrative and financial covenants and other requirements contained in the Facility. These include covenants relating to our maintenance of a specified total consolidated net worth and total consolidated debt to total consolidated capitalization. Failure to satisfy these and other requirements contained in the Facility would restrict our access to the Facility and could have a material adverse effect on our financial condition, results of operations and liquidity.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2026, a total of $3.0 billion remained available under the Facility.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CONTRACTUAL OBLIGATIONS</w:t>
      </w:r>
    </w:p>
    <w:p>
      <w:pPr>
        <w:spacing w:after="0" w:line="117"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 xml:space="preserve">As of September 30, 2026, there have been no material changes in our contractual obligations from December 31, 2025, a description of which may be found in </w:t>
      </w:r>
      <w:r>
        <w:rPr>
          <w:rFonts w:ascii="Arial" w:cs="Arial" w:eastAsia="Arial" w:hAnsi="Arial"/>
          <w:sz w:val="16"/>
          <w:szCs w:val="16"/>
          <w:i w:val="1"/>
          <w:iCs w:val="1"/>
          <w:color w:val="auto"/>
        </w:rPr>
        <w:t>Part II, Item 7. MD&amp;A – Liquidity and Capital Resources – Contractual Obligations in the 2025 Annual Report.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OFF-BALANCE SHEET ARRANGEMENTS AND COMMERCIAL COMMITMENTS</w:t>
      </w:r>
    </w:p>
    <w:p>
      <w:pPr>
        <w:spacing w:after="0" w:line="117"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 xml:space="preserve">As of September 30, 2026, there have been no material changes in our off-balance sheet arrangements and commercial commitments from December 31, 2025, a description of which may be found in </w:t>
      </w:r>
      <w:r>
        <w:rPr>
          <w:rFonts w:ascii="Arial" w:cs="Arial" w:eastAsia="Arial" w:hAnsi="Arial"/>
          <w:sz w:val="16"/>
          <w:szCs w:val="16"/>
          <w:i w:val="1"/>
          <w:iCs w:val="1"/>
          <w:color w:val="auto"/>
        </w:rPr>
        <w:t>Part II, Item 7. MD&amp;A – Liquidity and Capital Resources – Off-Balance Sheet Arrangements and Commercial</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Commitments in the 2025 Annual Report</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DEBT</w:t>
      </w:r>
    </w:p>
    <w:p>
      <w:pPr>
        <w:spacing w:after="0" w:line="104"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We expect to service and repay general borrowings through maturing investments and dispositions of invested assets, future cash flows from operations, cash flows generated from invested assets, future debt or preferred stock issuances and other financing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provides the rollforward of our total debt outstanding: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Borders>
              <w:top w:val="single" w:sz="8" w:color="1352DE"/>
            </w:tcBorders>
            <w:vMerge w:val="restart"/>
          </w:tcPr>
          <w:p>
            <w:pPr>
              <w:ind w:left="20"/>
              <w:spacing w:after="0"/>
              <w:rPr>
                <w:sz w:val="20"/>
                <w:szCs w:val="20"/>
                <w:color w:val="auto"/>
              </w:rPr>
            </w:pPr>
            <w:r>
              <w:rPr>
                <w:rFonts w:ascii="Arial" w:cs="Arial" w:eastAsia="Arial" w:hAnsi="Arial"/>
                <w:sz w:val="14"/>
                <w:szCs w:val="14"/>
                <w:b w:val="1"/>
                <w:bCs w:val="1"/>
                <w:color w:val="1251DE"/>
              </w:rPr>
              <w:t>Nine Months Ended September 30, 2026</w:t>
            </w:r>
          </w:p>
        </w:tc>
        <w:tc>
          <w:tcPr>
            <w:tcW w:w="300" w:type="dxa"/>
            <w:vAlign w:val="bottom"/>
            <w:tcBorders>
              <w:top w:val="single" w:sz="8" w:color="1352DE"/>
            </w:tcBorders>
          </w:tcPr>
          <w:p>
            <w:pPr>
              <w:spacing w:after="0"/>
              <w:rPr>
                <w:sz w:val="14"/>
                <w:szCs w:val="14"/>
                <w:color w:val="auto"/>
              </w:rPr>
            </w:pPr>
          </w:p>
        </w:tc>
        <w:tc>
          <w:tcPr>
            <w:tcW w:w="72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1252DE"/>
              </w:rPr>
              <w:t>Balance,</w:t>
            </w:r>
          </w:p>
        </w:tc>
        <w:tc>
          <w:tcPr>
            <w:tcW w:w="260" w:type="dxa"/>
            <w:vAlign w:val="bottom"/>
            <w:tcBorders>
              <w:top w:val="single" w:sz="8" w:color="1352DE"/>
            </w:tcBorders>
          </w:tcPr>
          <w:p>
            <w:pPr>
              <w:spacing w:after="0"/>
              <w:rPr>
                <w:sz w:val="14"/>
                <w:szCs w:val="14"/>
                <w:color w:val="auto"/>
              </w:rPr>
            </w:pPr>
          </w:p>
        </w:tc>
        <w:tc>
          <w:tcPr>
            <w:tcW w:w="820" w:type="dxa"/>
            <w:vAlign w:val="bottom"/>
            <w:tcBorders>
              <w:top w:val="single" w:sz="8" w:color="1352DE"/>
            </w:tcBorders>
          </w:tcPr>
          <w:p>
            <w:pPr>
              <w:spacing w:after="0"/>
              <w:rPr>
                <w:sz w:val="14"/>
                <w:szCs w:val="14"/>
                <w:color w:val="auto"/>
              </w:rPr>
            </w:pPr>
          </w:p>
        </w:tc>
        <w:tc>
          <w:tcPr>
            <w:tcW w:w="280" w:type="dxa"/>
            <w:vAlign w:val="bottom"/>
            <w:tcBorders>
              <w:top w:val="single" w:sz="8" w:color="1352DE"/>
            </w:tcBorders>
          </w:tcPr>
          <w:p>
            <w:pPr>
              <w:spacing w:after="0"/>
              <w:rPr>
                <w:sz w:val="14"/>
                <w:szCs w:val="14"/>
                <w:color w:val="auto"/>
              </w:rPr>
            </w:pPr>
          </w:p>
        </w:tc>
        <w:tc>
          <w:tcPr>
            <w:tcW w:w="100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1252DE"/>
              </w:rPr>
              <w:t>Maturities</w:t>
            </w:r>
          </w:p>
        </w:tc>
        <w:tc>
          <w:tcPr>
            <w:tcW w:w="260" w:type="dxa"/>
            <w:vAlign w:val="bottom"/>
            <w:tcBorders>
              <w:top w:val="single" w:sz="8" w:color="1352DE"/>
            </w:tcBorders>
          </w:tcPr>
          <w:p>
            <w:pPr>
              <w:spacing w:after="0"/>
              <w:rPr>
                <w:sz w:val="14"/>
                <w:szCs w:val="14"/>
                <w:color w:val="auto"/>
              </w:rPr>
            </w:pPr>
          </w:p>
        </w:tc>
        <w:tc>
          <w:tcPr>
            <w:tcW w:w="820" w:type="dxa"/>
            <w:vAlign w:val="bottom"/>
            <w:tcBorders>
              <w:top w:val="single" w:sz="8" w:color="1352DE"/>
            </w:tcBorders>
          </w:tcPr>
          <w:p>
            <w:pPr>
              <w:jc w:val="right"/>
              <w:spacing w:after="0"/>
              <w:rPr>
                <w:sz w:val="20"/>
                <w:szCs w:val="20"/>
                <w:color w:val="auto"/>
              </w:rPr>
            </w:pPr>
            <w:r>
              <w:rPr>
                <w:rFonts w:ascii="Arial" w:cs="Arial" w:eastAsia="Arial" w:hAnsi="Arial"/>
                <w:sz w:val="14"/>
                <w:szCs w:val="14"/>
                <w:color w:val="1252DE"/>
              </w:rPr>
              <w:t>Effect of</w:t>
            </w:r>
          </w:p>
        </w:tc>
        <w:tc>
          <w:tcPr>
            <w:tcW w:w="260" w:type="dxa"/>
            <w:vAlign w:val="bottom"/>
            <w:tcBorders>
              <w:top w:val="single" w:sz="8" w:color="1352DE"/>
            </w:tcBorders>
          </w:tcPr>
          <w:p>
            <w:pPr>
              <w:spacing w:after="0"/>
              <w:rPr>
                <w:sz w:val="14"/>
                <w:szCs w:val="14"/>
                <w:color w:val="auto"/>
              </w:rPr>
            </w:pPr>
          </w:p>
        </w:tc>
        <w:tc>
          <w:tcPr>
            <w:tcW w:w="760" w:type="dxa"/>
            <w:vAlign w:val="bottom"/>
            <w:tcBorders>
              <w:top w:val="single" w:sz="8" w:color="1352DE"/>
            </w:tcBorders>
          </w:tcPr>
          <w:p>
            <w:pPr>
              <w:spacing w:after="0"/>
              <w:rPr>
                <w:sz w:val="14"/>
                <w:szCs w:val="14"/>
                <w:color w:val="auto"/>
              </w:rPr>
            </w:pPr>
          </w:p>
        </w:tc>
        <w:tc>
          <w:tcPr>
            <w:tcW w:w="260" w:type="dxa"/>
            <w:vAlign w:val="bottom"/>
            <w:tcBorders>
              <w:top w:val="single" w:sz="8" w:color="1352DE"/>
            </w:tcBorders>
          </w:tcPr>
          <w:p>
            <w:pPr>
              <w:spacing w:after="0"/>
              <w:rPr>
                <w:sz w:val="14"/>
                <w:szCs w:val="14"/>
                <w:color w:val="auto"/>
              </w:rPr>
            </w:pPr>
          </w:p>
        </w:tc>
        <w:tc>
          <w:tcPr>
            <w:tcW w:w="720" w:type="dxa"/>
            <w:vAlign w:val="bottom"/>
            <w:tcBorders>
              <w:top w:val="single" w:sz="8" w:color="1352DE"/>
            </w:tcBorders>
          </w:tcPr>
          <w:p>
            <w:pPr>
              <w:jc w:val="right"/>
              <w:spacing w:after="0"/>
              <w:rPr>
                <w:sz w:val="20"/>
                <w:szCs w:val="20"/>
                <w:color w:val="auto"/>
              </w:rPr>
            </w:pPr>
            <w:r>
              <w:rPr>
                <w:rFonts w:ascii="Arial" w:cs="Arial" w:eastAsia="Arial" w:hAnsi="Arial"/>
                <w:sz w:val="14"/>
                <w:szCs w:val="14"/>
                <w:b w:val="1"/>
                <w:bCs w:val="1"/>
                <w:color w:val="1252DE"/>
              </w:rPr>
              <w:t>Balance,</w:t>
            </w:r>
          </w:p>
        </w:tc>
        <w:tc>
          <w:tcPr>
            <w:tcW w:w="0" w:type="dxa"/>
            <w:vAlign w:val="bottom"/>
          </w:tcPr>
          <w:p>
            <w:pPr>
              <w:spacing w:after="0"/>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vMerge w:val="restart"/>
          </w:tcPr>
          <w:p>
            <w:pPr>
              <w:jc w:val="right"/>
              <w:spacing w:after="0" w:line="149" w:lineRule="exact"/>
              <w:rPr>
                <w:sz w:val="20"/>
                <w:szCs w:val="20"/>
                <w:color w:val="auto"/>
              </w:rPr>
            </w:pPr>
            <w:r>
              <w:rPr>
                <w:rFonts w:ascii="Arial" w:cs="Arial" w:eastAsia="Arial" w:hAnsi="Arial"/>
                <w:sz w:val="14"/>
                <w:szCs w:val="14"/>
                <w:color w:val="1252DE"/>
              </w:rPr>
              <w:t>Beginning</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restart"/>
          </w:tcPr>
          <w:p>
            <w:pPr>
              <w:jc w:val="right"/>
              <w:spacing w:after="0" w:line="149" w:lineRule="exact"/>
              <w:rPr>
                <w:sz w:val="20"/>
                <w:szCs w:val="20"/>
                <w:color w:val="auto"/>
              </w:rPr>
            </w:pPr>
            <w:r>
              <w:rPr>
                <w:rFonts w:ascii="Arial" w:cs="Arial" w:eastAsia="Arial" w:hAnsi="Arial"/>
                <w:sz w:val="14"/>
                <w:szCs w:val="14"/>
                <w:color w:val="1252DE"/>
              </w:rPr>
              <w:t>and</w:t>
            </w:r>
          </w:p>
        </w:tc>
        <w:tc>
          <w:tcPr>
            <w:tcW w:w="260" w:type="dxa"/>
            <w:vAlign w:val="bottom"/>
          </w:tcPr>
          <w:p>
            <w:pPr>
              <w:spacing w:after="0"/>
              <w:rPr>
                <w:sz w:val="10"/>
                <w:szCs w:val="10"/>
                <w:color w:val="auto"/>
              </w:rPr>
            </w:pPr>
          </w:p>
        </w:tc>
        <w:tc>
          <w:tcPr>
            <w:tcW w:w="820" w:type="dxa"/>
            <w:vAlign w:val="bottom"/>
            <w:vMerge w:val="restart"/>
          </w:tcPr>
          <w:p>
            <w:pPr>
              <w:jc w:val="right"/>
              <w:spacing w:after="0" w:line="149" w:lineRule="exact"/>
              <w:rPr>
                <w:sz w:val="20"/>
                <w:szCs w:val="20"/>
                <w:color w:val="auto"/>
              </w:rPr>
            </w:pPr>
            <w:r>
              <w:rPr>
                <w:rFonts w:ascii="Arial" w:cs="Arial" w:eastAsia="Arial" w:hAnsi="Arial"/>
                <w:sz w:val="14"/>
                <w:szCs w:val="14"/>
                <w:color w:val="1252DE"/>
              </w:rPr>
              <w:t>Foreign</w:t>
            </w:r>
          </w:p>
        </w:tc>
        <w:tc>
          <w:tcPr>
            <w:tcW w:w="260" w:type="dxa"/>
            <w:vAlign w:val="bottom"/>
          </w:tcPr>
          <w:p>
            <w:pPr>
              <w:spacing w:after="0"/>
              <w:rPr>
                <w:sz w:val="10"/>
                <w:szCs w:val="10"/>
                <w:color w:val="auto"/>
              </w:rPr>
            </w:pPr>
          </w:p>
        </w:tc>
        <w:tc>
          <w:tcPr>
            <w:tcW w:w="760" w:type="dxa"/>
            <w:vAlign w:val="bottom"/>
            <w:vMerge w:val="restart"/>
          </w:tcPr>
          <w:p>
            <w:pPr>
              <w:jc w:val="right"/>
              <w:ind w:right="8"/>
              <w:spacing w:after="0" w:line="149" w:lineRule="exact"/>
              <w:rPr>
                <w:sz w:val="20"/>
                <w:szCs w:val="20"/>
                <w:color w:val="auto"/>
              </w:rPr>
            </w:pPr>
            <w:r>
              <w:rPr>
                <w:rFonts w:ascii="Arial" w:cs="Arial" w:eastAsia="Arial" w:hAnsi="Arial"/>
                <w:sz w:val="14"/>
                <w:szCs w:val="14"/>
                <w:color w:val="1252DE"/>
              </w:rPr>
              <w:t>Other</w:t>
            </w:r>
          </w:p>
        </w:tc>
        <w:tc>
          <w:tcPr>
            <w:tcW w:w="260" w:type="dxa"/>
            <w:vAlign w:val="bottom"/>
          </w:tcPr>
          <w:p>
            <w:pPr>
              <w:spacing w:after="0"/>
              <w:rPr>
                <w:sz w:val="10"/>
                <w:szCs w:val="10"/>
                <w:color w:val="auto"/>
              </w:rPr>
            </w:pPr>
          </w:p>
        </w:tc>
        <w:tc>
          <w:tcPr>
            <w:tcW w:w="7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1252DE"/>
              </w:rPr>
              <w:t>End of</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1252DE"/>
              </w:rPr>
              <w:t>Issuances</w:t>
            </w:r>
          </w:p>
        </w:tc>
        <w:tc>
          <w:tcPr>
            <w:tcW w:w="2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1DE"/>
              </w:rPr>
              <w:t>(in millions)</w:t>
            </w:r>
          </w:p>
        </w:tc>
        <w:tc>
          <w:tcPr>
            <w:tcW w:w="300" w:type="dxa"/>
            <w:vAlign w:val="bottom"/>
            <w:tcBorders>
              <w:bottom w:val="single" w:sz="8" w:color="1352DE"/>
            </w:tcBorders>
          </w:tcPr>
          <w:p>
            <w:pPr>
              <w:spacing w:after="0"/>
              <w:rPr>
                <w:sz w:val="16"/>
                <w:szCs w:val="16"/>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of Year</w:t>
            </w:r>
          </w:p>
        </w:tc>
        <w:tc>
          <w:tcPr>
            <w:tcW w:w="260" w:type="dxa"/>
            <w:vAlign w:val="bottom"/>
            <w:tcBorders>
              <w:bottom w:val="single" w:sz="8" w:color="1352DE"/>
            </w:tcBorders>
          </w:tcPr>
          <w:p>
            <w:pPr>
              <w:spacing w:after="0"/>
              <w:rPr>
                <w:sz w:val="16"/>
                <w:szCs w:val="16"/>
                <w:color w:val="auto"/>
              </w:rPr>
            </w:pPr>
          </w:p>
        </w:tc>
        <w:tc>
          <w:tcPr>
            <w:tcW w:w="820" w:type="dxa"/>
            <w:vAlign w:val="bottom"/>
            <w:tcBorders>
              <w:bottom w:val="single" w:sz="8" w:color="1352DE"/>
            </w:tcBorders>
            <w:vMerge w:val="continue"/>
          </w:tcPr>
          <w:p>
            <w:pPr>
              <w:spacing w:after="0"/>
              <w:rPr>
                <w:sz w:val="16"/>
                <w:szCs w:val="16"/>
                <w:color w:val="auto"/>
              </w:rPr>
            </w:pPr>
          </w:p>
        </w:tc>
        <w:tc>
          <w:tcPr>
            <w:tcW w:w="280" w:type="dxa"/>
            <w:vAlign w:val="bottom"/>
            <w:tcBorders>
              <w:bottom w:val="single" w:sz="8" w:color="1352DE"/>
            </w:tcBorders>
          </w:tcPr>
          <w:p>
            <w:pPr>
              <w:spacing w:after="0"/>
              <w:rPr>
                <w:sz w:val="16"/>
                <w:szCs w:val="16"/>
                <w:color w:val="auto"/>
              </w:rPr>
            </w:pPr>
          </w:p>
        </w:tc>
        <w:tc>
          <w:tcPr>
            <w:tcW w:w="10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Repayments</w:t>
            </w:r>
          </w:p>
        </w:tc>
        <w:tc>
          <w:tcPr>
            <w:tcW w:w="260" w:type="dxa"/>
            <w:vAlign w:val="bottom"/>
            <w:tcBorders>
              <w:bottom w:val="single" w:sz="8" w:color="1352DE"/>
            </w:tcBorders>
          </w:tcPr>
          <w:p>
            <w:pPr>
              <w:spacing w:after="0"/>
              <w:rPr>
                <w:sz w:val="16"/>
                <w:szCs w:val="16"/>
                <w:color w:val="auto"/>
              </w:rPr>
            </w:pPr>
          </w:p>
        </w:tc>
        <w:tc>
          <w:tcPr>
            <w:tcW w:w="82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1252DE"/>
              </w:rPr>
              <w:t>Exchange</w:t>
            </w:r>
          </w:p>
        </w:tc>
        <w:tc>
          <w:tcPr>
            <w:tcW w:w="260" w:type="dxa"/>
            <w:vAlign w:val="bottom"/>
            <w:tcBorders>
              <w:bottom w:val="single" w:sz="8" w:color="1352DE"/>
            </w:tcBorders>
          </w:tcPr>
          <w:p>
            <w:pPr>
              <w:spacing w:after="0"/>
              <w:rPr>
                <w:sz w:val="16"/>
                <w:szCs w:val="16"/>
                <w:color w:val="auto"/>
              </w:rPr>
            </w:pPr>
          </w:p>
        </w:tc>
        <w:tc>
          <w:tcPr>
            <w:tcW w:w="76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1252DE"/>
              </w:rPr>
              <w:t>Changes</w:t>
            </w:r>
          </w:p>
        </w:tc>
        <w:tc>
          <w:tcPr>
            <w:tcW w:w="260" w:type="dxa"/>
            <w:vAlign w:val="bottom"/>
            <w:tcBorders>
              <w:bottom w:val="single" w:sz="8" w:color="1352DE"/>
            </w:tcBorders>
          </w:tcPr>
          <w:p>
            <w:pPr>
              <w:spacing w:after="0"/>
              <w:rPr>
                <w:sz w:val="16"/>
                <w:szCs w:val="16"/>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Period</w:t>
            </w:r>
          </w:p>
        </w:tc>
        <w:tc>
          <w:tcPr>
            <w:tcW w:w="0" w:type="dxa"/>
            <w:vAlign w:val="bottom"/>
          </w:tcPr>
          <w:p>
            <w:pPr>
              <w:spacing w:after="0"/>
              <w:rPr>
                <w:sz w:val="1"/>
                <w:szCs w:val="1"/>
                <w:color w:val="auto"/>
              </w:rPr>
            </w:pPr>
          </w:p>
        </w:tc>
      </w:tr>
      <w:tr>
        <w:trPr>
          <w:trHeight w:val="194"/>
        </w:trPr>
        <w:tc>
          <w:tcPr>
            <w:tcW w:w="4760" w:type="dxa"/>
            <w:vAlign w:val="bottom"/>
          </w:tcPr>
          <w:p>
            <w:pPr>
              <w:ind w:left="20"/>
              <w:spacing w:after="0"/>
              <w:rPr>
                <w:sz w:val="20"/>
                <w:szCs w:val="20"/>
                <w:color w:val="auto"/>
              </w:rPr>
            </w:pPr>
            <w:r>
              <w:rPr>
                <w:rFonts w:ascii="Arial" w:cs="Arial" w:eastAsia="Arial" w:hAnsi="Arial"/>
                <w:sz w:val="14"/>
                <w:szCs w:val="14"/>
                <w:b w:val="1"/>
                <w:bCs w:val="1"/>
                <w:color w:val="1252DE"/>
              </w:rPr>
              <w:t>General borrowings:</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rPr>
                <w:sz w:val="20"/>
                <w:szCs w:val="20"/>
                <w:color w:val="auto"/>
              </w:rPr>
            </w:pPr>
            <w:r>
              <w:rPr>
                <w:rFonts w:ascii="Arial" w:cs="Arial" w:eastAsia="Arial" w:hAnsi="Arial"/>
                <w:sz w:val="14"/>
                <w:szCs w:val="14"/>
                <w:color w:val="auto"/>
              </w:rPr>
              <w:t>Notes and bonds payable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8,529</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1,267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348"/>
              <w:spacing w:after="0"/>
              <w:rPr>
                <w:sz w:val="20"/>
                <w:szCs w:val="20"/>
                <w:color w:val="auto"/>
              </w:rPr>
            </w:pPr>
            <w:r>
              <w:rPr>
                <w:rFonts w:ascii="Arial" w:cs="Arial" w:eastAsia="Arial" w:hAnsi="Arial"/>
                <w:sz w:val="14"/>
                <w:szCs w:val="14"/>
                <w:color w:val="auto"/>
                <w:w w:val="96"/>
              </w:rPr>
              <w:t>(35)</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1252DE"/>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9,765</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1352DE"/>
            </w:tcBorders>
          </w:tcPr>
          <w:p>
            <w:pPr>
              <w:ind w:left="140"/>
              <w:spacing w:after="0"/>
              <w:rPr>
                <w:sz w:val="20"/>
                <w:szCs w:val="20"/>
                <w:color w:val="auto"/>
              </w:rPr>
            </w:pPr>
            <w:r>
              <w:rPr>
                <w:rFonts w:ascii="Arial" w:cs="Arial" w:eastAsia="Arial" w:hAnsi="Arial"/>
                <w:sz w:val="14"/>
                <w:szCs w:val="14"/>
                <w:color w:val="auto"/>
              </w:rPr>
              <w:t>Junior subordinated debt</w:t>
            </w:r>
          </w:p>
        </w:tc>
        <w:tc>
          <w:tcPr>
            <w:tcW w:w="30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481</w:t>
            </w:r>
          </w:p>
        </w:tc>
        <w:tc>
          <w:tcPr>
            <w:tcW w:w="26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1352DE"/>
            </w:tcBorders>
          </w:tcPr>
          <w:p>
            <w:pPr>
              <w:spacing w:after="0"/>
              <w:rPr>
                <w:sz w:val="17"/>
                <w:szCs w:val="17"/>
                <w:color w:val="auto"/>
              </w:rPr>
            </w:pPr>
          </w:p>
        </w:tc>
        <w:tc>
          <w:tcPr>
            <w:tcW w:w="100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center"/>
              <w:ind w:left="36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481</w:t>
            </w:r>
          </w:p>
        </w:tc>
        <w:tc>
          <w:tcPr>
            <w:tcW w:w="0" w:type="dxa"/>
            <w:vAlign w:val="bottom"/>
          </w:tcPr>
          <w:p>
            <w:pPr>
              <w:spacing w:after="0"/>
              <w:rPr>
                <w:sz w:val="1"/>
                <w:szCs w:val="1"/>
                <w:color w:val="auto"/>
              </w:rPr>
            </w:pPr>
          </w:p>
        </w:tc>
      </w:tr>
      <w:tr>
        <w:trPr>
          <w:trHeight w:val="195"/>
        </w:trPr>
        <w:tc>
          <w:tcPr>
            <w:tcW w:w="4760" w:type="dxa"/>
            <w:vAlign w:val="bottom"/>
          </w:tcPr>
          <w:p>
            <w:pPr>
              <w:ind w:left="20"/>
              <w:spacing w:after="0"/>
              <w:rPr>
                <w:sz w:val="20"/>
                <w:szCs w:val="20"/>
                <w:color w:val="auto"/>
              </w:rPr>
            </w:pPr>
            <w:r>
              <w:rPr>
                <w:rFonts w:ascii="Arial" w:cs="Arial" w:eastAsia="Arial" w:hAnsi="Arial"/>
                <w:sz w:val="14"/>
                <w:szCs w:val="14"/>
                <w:b w:val="1"/>
                <w:bCs w:val="1"/>
                <w:color w:val="1252DE"/>
              </w:rPr>
              <w:t>Total general borrowings</w:t>
            </w:r>
          </w:p>
        </w:tc>
        <w:tc>
          <w:tcPr>
            <w:tcW w:w="3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9,010</w:t>
            </w:r>
          </w:p>
        </w:tc>
        <w:tc>
          <w:tcPr>
            <w:tcW w:w="2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1,267</w:t>
            </w:r>
          </w:p>
        </w:tc>
        <w:tc>
          <w:tcPr>
            <w:tcW w:w="28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center"/>
              <w:ind w:left="348"/>
              <w:spacing w:after="0"/>
              <w:rPr>
                <w:sz w:val="20"/>
                <w:szCs w:val="20"/>
                <w:color w:val="auto"/>
              </w:rPr>
            </w:pPr>
            <w:r>
              <w:rPr>
                <w:rFonts w:ascii="Arial" w:cs="Arial" w:eastAsia="Arial" w:hAnsi="Arial"/>
                <w:sz w:val="14"/>
                <w:szCs w:val="14"/>
                <w:color w:val="auto"/>
                <w:w w:val="96"/>
              </w:rPr>
              <w:t>(35)</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1252DE"/>
              </w:rPr>
              <w:t>10,246</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Borrowings supported by assets</w:t>
            </w:r>
          </w:p>
        </w:tc>
        <w:tc>
          <w:tcPr>
            <w:tcW w:w="30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1352DE"/>
            </w:tcBorders>
          </w:tcPr>
          <w:p>
            <w:pPr>
              <w:spacing w:after="0"/>
              <w:rPr>
                <w:sz w:val="17"/>
                <w:szCs w:val="17"/>
                <w:color w:val="auto"/>
              </w:rPr>
            </w:pPr>
          </w:p>
        </w:tc>
        <w:tc>
          <w:tcPr>
            <w:tcW w:w="10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1352DE"/>
            </w:tcBorders>
          </w:tcPr>
          <w:p>
            <w:pPr>
              <w:spacing w:after="0"/>
              <w:rPr>
                <w:sz w:val="17"/>
                <w:szCs w:val="17"/>
                <w:color w:val="auto"/>
              </w:rPr>
            </w:pPr>
          </w:p>
        </w:tc>
        <w:tc>
          <w:tcPr>
            <w:tcW w:w="820" w:type="dxa"/>
            <w:vAlign w:val="bottom"/>
            <w:tcBorders>
              <w:bottom w:val="single" w:sz="8" w:color="1352DE"/>
            </w:tcBorders>
          </w:tcPr>
          <w:p>
            <w:pPr>
              <w:jc w:val="center"/>
              <w:ind w:left="36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352DE"/>
            </w:tcBorders>
          </w:tcPr>
          <w:p>
            <w:pPr>
              <w:spacing w:after="0"/>
              <w:rPr>
                <w:sz w:val="17"/>
                <w:szCs w:val="17"/>
                <w:color w:val="auto"/>
              </w:rPr>
            </w:pPr>
          </w:p>
        </w:tc>
        <w:tc>
          <w:tcPr>
            <w:tcW w:w="7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1352DE"/>
            </w:tcBorders>
          </w:tcPr>
          <w:p>
            <w:pPr>
              <w:spacing w:after="0"/>
              <w:rPr>
                <w:sz w:val="17"/>
                <w:szCs w:val="17"/>
                <w:color w:val="auto"/>
              </w:rPr>
            </w:pP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10</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1352DE"/>
            </w:tcBorders>
          </w:tcPr>
          <w:p>
            <w:pPr>
              <w:ind w:left="20"/>
              <w:spacing w:after="0"/>
              <w:rPr>
                <w:sz w:val="20"/>
                <w:szCs w:val="20"/>
                <w:color w:val="auto"/>
              </w:rPr>
            </w:pPr>
            <w:r>
              <w:rPr>
                <w:rFonts w:ascii="Arial" w:cs="Arial" w:eastAsia="Arial" w:hAnsi="Arial"/>
                <w:sz w:val="14"/>
                <w:szCs w:val="14"/>
                <w:b w:val="1"/>
                <w:bCs w:val="1"/>
                <w:color w:val="1252DE"/>
              </w:rPr>
              <w:t>Total long-term debt</w:t>
            </w:r>
          </w:p>
        </w:tc>
        <w:tc>
          <w:tcPr>
            <w:tcW w:w="3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9,035</w:t>
            </w:r>
          </w:p>
        </w:tc>
        <w:tc>
          <w:tcPr>
            <w:tcW w:w="2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1,267</w:t>
            </w:r>
          </w:p>
        </w:tc>
        <w:tc>
          <w:tcPr>
            <w:tcW w:w="2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1352DE"/>
            </w:tcBorders>
          </w:tcPr>
          <w:p>
            <w:pPr>
              <w:jc w:val="center"/>
              <w:ind w:left="348"/>
              <w:spacing w:after="0"/>
              <w:rPr>
                <w:sz w:val="20"/>
                <w:szCs w:val="20"/>
                <w:color w:val="auto"/>
              </w:rPr>
            </w:pPr>
            <w:r>
              <w:rPr>
                <w:rFonts w:ascii="Arial" w:cs="Arial" w:eastAsia="Arial" w:hAnsi="Arial"/>
                <w:sz w:val="14"/>
                <w:szCs w:val="14"/>
                <w:color w:val="auto"/>
                <w:w w:val="96"/>
              </w:rPr>
              <w:t>(35)</w:t>
            </w:r>
          </w:p>
        </w:tc>
        <w:tc>
          <w:tcPr>
            <w:tcW w:w="2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10,256</w:t>
            </w:r>
          </w:p>
        </w:tc>
        <w:tc>
          <w:tcPr>
            <w:tcW w:w="0" w:type="dxa"/>
            <w:vAlign w:val="bottom"/>
          </w:tcPr>
          <w:p>
            <w:pPr>
              <w:spacing w:after="0"/>
              <w:rPr>
                <w:sz w:val="1"/>
                <w:szCs w:val="1"/>
                <w:color w:val="auto"/>
              </w:rPr>
            </w:pPr>
          </w:p>
        </w:tc>
      </w:tr>
      <w:tr>
        <w:trPr>
          <w:trHeight w:val="197"/>
        </w:trPr>
        <w:tc>
          <w:tcPr>
            <w:tcW w:w="4760" w:type="dxa"/>
            <w:vAlign w:val="bottom"/>
            <w:tcBorders>
              <w:bottom w:val="single" w:sz="8" w:color="1352DE"/>
            </w:tcBorders>
          </w:tcPr>
          <w:p>
            <w:pPr>
              <w:ind w:left="20"/>
              <w:spacing w:after="0" w:line="197" w:lineRule="exact"/>
              <w:rPr>
                <w:sz w:val="20"/>
                <w:szCs w:val="20"/>
                <w:color w:val="auto"/>
              </w:rPr>
            </w:pPr>
            <w:r>
              <w:rPr>
                <w:rFonts w:ascii="Arial" w:cs="Arial" w:eastAsia="Arial" w:hAnsi="Arial"/>
                <w:sz w:val="14"/>
                <w:szCs w:val="14"/>
                <w:b w:val="1"/>
                <w:bCs w:val="1"/>
                <w:color w:val="1252DE"/>
              </w:rPr>
              <w:t>Debt of consolidated investment entities - not guaranteed by AIG</w:t>
            </w:r>
            <w:r>
              <w:rPr>
                <w:rFonts w:ascii="Arial" w:cs="Arial" w:eastAsia="Arial" w:hAnsi="Arial"/>
                <w:sz w:val="18"/>
                <w:szCs w:val="18"/>
                <w:b w:val="1"/>
                <w:bCs w:val="1"/>
                <w:color w:val="1252DE"/>
                <w:vertAlign w:val="superscript"/>
              </w:rPr>
              <w:t>(a)</w:t>
            </w:r>
          </w:p>
        </w:tc>
        <w:tc>
          <w:tcPr>
            <w:tcW w:w="300" w:type="dxa"/>
            <w:vAlign w:val="bottom"/>
            <w:tcBorders>
              <w:bottom w:val="single" w:sz="8" w:color="1352DE"/>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156</w:t>
            </w:r>
          </w:p>
        </w:tc>
        <w:tc>
          <w:tcPr>
            <w:tcW w:w="26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1352DE"/>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1352DE"/>
            </w:tcBorders>
          </w:tcPr>
          <w:p>
            <w:pPr>
              <w:jc w:val="right"/>
              <w:ind w:right="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1352DE"/>
            </w:tcBorders>
          </w:tcPr>
          <w:p>
            <w:pPr>
              <w:jc w:val="center"/>
              <w:ind w:left="36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72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154</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(a) Includes debt of consolidated investment entities related to real estate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1871"/>
        </w:rPr>
        <w:t>Debt Maturities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summarizes maturing long-term debt at September 30, 2026 of AIG for the next four quarters: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Borders>
              <w:top w:val="single" w:sz="8" w:color="1352DE"/>
            </w:tcBorders>
          </w:tcPr>
          <w:p>
            <w:pPr>
              <w:spacing w:after="0"/>
              <w:rPr>
                <w:sz w:val="15"/>
                <w:szCs w:val="15"/>
                <w:color w:val="auto"/>
              </w:rPr>
            </w:pPr>
          </w:p>
        </w:tc>
        <w:tc>
          <w:tcPr>
            <w:tcW w:w="2340" w:type="dxa"/>
            <w:vAlign w:val="bottom"/>
            <w:tcBorders>
              <w:top w:val="single" w:sz="8" w:color="1352DE"/>
            </w:tcBorders>
          </w:tcPr>
          <w:p>
            <w:pPr>
              <w:spacing w:after="0"/>
              <w:rPr>
                <w:sz w:val="15"/>
                <w:szCs w:val="15"/>
                <w:color w:val="auto"/>
              </w:rPr>
            </w:pPr>
          </w:p>
        </w:tc>
        <w:tc>
          <w:tcPr>
            <w:tcW w:w="840" w:type="dxa"/>
            <w:vAlign w:val="bottom"/>
            <w:tcBorders>
              <w:top w:val="single" w:sz="8" w:color="1352DE"/>
            </w:tcBorders>
          </w:tcPr>
          <w:p>
            <w:pPr>
              <w:jc w:val="right"/>
              <w:ind w:right="59"/>
              <w:spacing w:after="0" w:line="175" w:lineRule="exact"/>
              <w:rPr>
                <w:sz w:val="20"/>
                <w:szCs w:val="20"/>
                <w:color w:val="auto"/>
              </w:rPr>
            </w:pPr>
            <w:r>
              <w:rPr>
                <w:rFonts w:ascii="Arial" w:cs="Arial" w:eastAsia="Arial" w:hAnsi="Arial"/>
                <w:sz w:val="16"/>
                <w:szCs w:val="16"/>
                <w:color w:val="1252DE"/>
              </w:rPr>
              <w:t>Fourth</w:t>
            </w:r>
          </w:p>
        </w:tc>
        <w:tc>
          <w:tcPr>
            <w:tcW w:w="360" w:type="dxa"/>
            <w:vAlign w:val="bottom"/>
            <w:tcBorders>
              <w:top w:val="single" w:sz="8" w:color="1352DE"/>
            </w:tcBorders>
          </w:tcPr>
          <w:p>
            <w:pPr>
              <w:spacing w:after="0"/>
              <w:rPr>
                <w:sz w:val="15"/>
                <w:szCs w:val="15"/>
                <w:color w:val="auto"/>
              </w:rPr>
            </w:pPr>
          </w:p>
        </w:tc>
        <w:tc>
          <w:tcPr>
            <w:tcW w:w="820" w:type="dxa"/>
            <w:vAlign w:val="bottom"/>
            <w:tcBorders>
              <w:top w:val="single" w:sz="8" w:color="1352DE"/>
            </w:tcBorders>
          </w:tcPr>
          <w:p>
            <w:pPr>
              <w:jc w:val="right"/>
              <w:ind w:right="39"/>
              <w:spacing w:after="0" w:line="175" w:lineRule="exact"/>
              <w:rPr>
                <w:sz w:val="20"/>
                <w:szCs w:val="20"/>
                <w:color w:val="auto"/>
              </w:rPr>
            </w:pPr>
            <w:r>
              <w:rPr>
                <w:rFonts w:ascii="Arial" w:cs="Arial" w:eastAsia="Arial" w:hAnsi="Arial"/>
                <w:sz w:val="16"/>
                <w:szCs w:val="16"/>
                <w:color w:val="1252DE"/>
              </w:rPr>
              <w:t>First</w:t>
            </w:r>
          </w:p>
        </w:tc>
        <w:tc>
          <w:tcPr>
            <w:tcW w:w="360" w:type="dxa"/>
            <w:vAlign w:val="bottom"/>
            <w:tcBorders>
              <w:top w:val="single" w:sz="8" w:color="1352DE"/>
            </w:tcBorders>
          </w:tcPr>
          <w:p>
            <w:pPr>
              <w:spacing w:after="0"/>
              <w:rPr>
                <w:sz w:val="15"/>
                <w:szCs w:val="15"/>
                <w:color w:val="auto"/>
              </w:rPr>
            </w:pPr>
          </w:p>
        </w:tc>
        <w:tc>
          <w:tcPr>
            <w:tcW w:w="820" w:type="dxa"/>
            <w:vAlign w:val="bottom"/>
            <w:tcBorders>
              <w:top w:val="single" w:sz="8" w:color="1352DE"/>
            </w:tcBorders>
          </w:tcPr>
          <w:p>
            <w:pPr>
              <w:jc w:val="right"/>
              <w:ind w:right="39"/>
              <w:spacing w:after="0" w:line="175" w:lineRule="exact"/>
              <w:rPr>
                <w:sz w:val="20"/>
                <w:szCs w:val="20"/>
                <w:color w:val="auto"/>
              </w:rPr>
            </w:pPr>
            <w:r>
              <w:rPr>
                <w:rFonts w:ascii="Arial" w:cs="Arial" w:eastAsia="Arial" w:hAnsi="Arial"/>
                <w:sz w:val="16"/>
                <w:szCs w:val="16"/>
                <w:color w:val="1252DE"/>
              </w:rPr>
              <w:t>Second</w:t>
            </w:r>
          </w:p>
        </w:tc>
        <w:tc>
          <w:tcPr>
            <w:tcW w:w="380" w:type="dxa"/>
            <w:vAlign w:val="bottom"/>
            <w:tcBorders>
              <w:top w:val="single" w:sz="8" w:color="1352DE"/>
            </w:tcBorders>
          </w:tcPr>
          <w:p>
            <w:pPr>
              <w:spacing w:after="0"/>
              <w:rPr>
                <w:sz w:val="15"/>
                <w:szCs w:val="15"/>
                <w:color w:val="auto"/>
              </w:rPr>
            </w:pPr>
          </w:p>
        </w:tc>
        <w:tc>
          <w:tcPr>
            <w:tcW w:w="840" w:type="dxa"/>
            <w:vAlign w:val="bottom"/>
            <w:tcBorders>
              <w:top w:val="single" w:sz="8" w:color="1352DE"/>
            </w:tcBorders>
          </w:tcPr>
          <w:p>
            <w:pPr>
              <w:jc w:val="right"/>
              <w:ind w:right="79"/>
              <w:spacing w:after="0" w:line="175" w:lineRule="exact"/>
              <w:rPr>
                <w:sz w:val="20"/>
                <w:szCs w:val="20"/>
                <w:color w:val="auto"/>
              </w:rPr>
            </w:pPr>
            <w:r>
              <w:rPr>
                <w:rFonts w:ascii="Arial" w:cs="Arial" w:eastAsia="Arial" w:hAnsi="Arial"/>
                <w:sz w:val="16"/>
                <w:szCs w:val="16"/>
                <w:color w:val="1252DE"/>
              </w:rPr>
              <w:t>Third</w:t>
            </w:r>
          </w:p>
        </w:tc>
        <w:tc>
          <w:tcPr>
            <w:tcW w:w="400" w:type="dxa"/>
            <w:vAlign w:val="bottom"/>
            <w:tcBorders>
              <w:top w:val="single" w:sz="8" w:color="1352DE"/>
            </w:tcBorders>
          </w:tcPr>
          <w:p>
            <w:pPr>
              <w:spacing w:after="0"/>
              <w:rPr>
                <w:sz w:val="15"/>
                <w:szCs w:val="15"/>
                <w:color w:val="auto"/>
              </w:rPr>
            </w:pPr>
          </w:p>
        </w:tc>
        <w:tc>
          <w:tcPr>
            <w:tcW w:w="500" w:type="dxa"/>
            <w:vAlign w:val="bottom"/>
            <w:tcBorders>
              <w:top w:val="single" w:sz="8" w:color="1352DE"/>
            </w:tcBorders>
          </w:tcPr>
          <w:p>
            <w:pPr>
              <w:spacing w:after="0"/>
              <w:rPr>
                <w:sz w:val="15"/>
                <w:szCs w:val="15"/>
                <w:color w:val="auto"/>
              </w:rPr>
            </w:pPr>
          </w:p>
        </w:tc>
      </w:tr>
      <w:tr>
        <w:trPr>
          <w:trHeight w:val="215"/>
        </w:trPr>
        <w:tc>
          <w:tcPr>
            <w:tcW w:w="3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1252DE"/>
              </w:rPr>
              <w:t>Quarter</w:t>
            </w:r>
          </w:p>
        </w:tc>
        <w:tc>
          <w:tcPr>
            <w:tcW w:w="3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1252DE"/>
              </w:rPr>
              <w:t>Quarter</w:t>
            </w:r>
          </w:p>
        </w:tc>
        <w:tc>
          <w:tcPr>
            <w:tcW w:w="3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1252DE"/>
              </w:rPr>
              <w:t>Quarter</w:t>
            </w:r>
          </w:p>
        </w:tc>
        <w:tc>
          <w:tcPr>
            <w:tcW w:w="3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1252DE"/>
              </w:rPr>
              <w:t>Quarter</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3560" w:type="dxa"/>
            <w:vAlign w:val="bottom"/>
            <w:tcBorders>
              <w:bottom w:val="single" w:sz="8" w:color="1352DE"/>
            </w:tcBorders>
          </w:tcPr>
          <w:p>
            <w:pPr>
              <w:ind w:left="20"/>
              <w:spacing w:after="0"/>
              <w:rPr>
                <w:sz w:val="20"/>
                <w:szCs w:val="20"/>
                <w:color w:val="auto"/>
              </w:rPr>
            </w:pPr>
            <w:r>
              <w:rPr>
                <w:rFonts w:ascii="Arial" w:cs="Arial" w:eastAsia="Arial" w:hAnsi="Arial"/>
                <w:sz w:val="14"/>
                <w:szCs w:val="14"/>
                <w:i w:val="1"/>
                <w:iCs w:val="1"/>
                <w:color w:val="1252DE"/>
              </w:rPr>
              <w:t>(in millions)</w:t>
            </w:r>
          </w:p>
        </w:tc>
        <w:tc>
          <w:tcPr>
            <w:tcW w:w="2340" w:type="dxa"/>
            <w:vAlign w:val="bottom"/>
            <w:tcBorders>
              <w:bottom w:val="single" w:sz="8" w:color="1352DE"/>
            </w:tcBorders>
          </w:tcPr>
          <w:p>
            <w:pPr>
              <w:spacing w:after="0"/>
              <w:rPr>
                <w:sz w:val="18"/>
                <w:szCs w:val="18"/>
                <w:color w:val="auto"/>
              </w:rPr>
            </w:pPr>
          </w:p>
        </w:tc>
        <w:tc>
          <w:tcPr>
            <w:tcW w:w="84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color w:val="1252DE"/>
              </w:rPr>
              <w:t>2026</w:t>
            </w:r>
          </w:p>
        </w:tc>
        <w:tc>
          <w:tcPr>
            <w:tcW w:w="36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color w:val="1252DE"/>
              </w:rPr>
              <w:t>2027</w:t>
            </w:r>
          </w:p>
        </w:tc>
        <w:tc>
          <w:tcPr>
            <w:tcW w:w="360" w:type="dxa"/>
            <w:vAlign w:val="bottom"/>
            <w:tcBorders>
              <w:bottom w:val="single" w:sz="8" w:color="1352DE"/>
            </w:tcBorders>
          </w:tcPr>
          <w:p>
            <w:pPr>
              <w:spacing w:after="0"/>
              <w:rPr>
                <w:sz w:val="18"/>
                <w:szCs w:val="18"/>
                <w:color w:val="auto"/>
              </w:rPr>
            </w:pPr>
          </w:p>
        </w:tc>
        <w:tc>
          <w:tcPr>
            <w:tcW w:w="820" w:type="dxa"/>
            <w:vAlign w:val="bottom"/>
            <w:tcBorders>
              <w:bottom w:val="single" w:sz="8" w:color="1352DE"/>
            </w:tcBorders>
          </w:tcPr>
          <w:p>
            <w:pPr>
              <w:jc w:val="right"/>
              <w:ind w:right="39"/>
              <w:spacing w:after="0"/>
              <w:rPr>
                <w:sz w:val="20"/>
                <w:szCs w:val="20"/>
                <w:color w:val="auto"/>
              </w:rPr>
            </w:pPr>
            <w:r>
              <w:rPr>
                <w:rFonts w:ascii="Arial" w:cs="Arial" w:eastAsia="Arial" w:hAnsi="Arial"/>
                <w:sz w:val="16"/>
                <w:szCs w:val="16"/>
                <w:color w:val="1252DE"/>
              </w:rPr>
              <w:t>2027</w:t>
            </w:r>
          </w:p>
        </w:tc>
        <w:tc>
          <w:tcPr>
            <w:tcW w:w="380" w:type="dxa"/>
            <w:vAlign w:val="bottom"/>
            <w:tcBorders>
              <w:bottom w:val="single" w:sz="8" w:color="1352DE"/>
            </w:tcBorders>
          </w:tcPr>
          <w:p>
            <w:pPr>
              <w:spacing w:after="0"/>
              <w:rPr>
                <w:sz w:val="18"/>
                <w:szCs w:val="18"/>
                <w:color w:val="auto"/>
              </w:rPr>
            </w:pPr>
          </w:p>
        </w:tc>
        <w:tc>
          <w:tcPr>
            <w:tcW w:w="84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color w:val="1252DE"/>
              </w:rPr>
              <w:t>2027</w:t>
            </w:r>
          </w:p>
        </w:tc>
        <w:tc>
          <w:tcPr>
            <w:tcW w:w="400" w:type="dxa"/>
            <w:vAlign w:val="bottom"/>
            <w:tcBorders>
              <w:bottom w:val="single" w:sz="8" w:color="1352DE"/>
            </w:tcBorders>
          </w:tcPr>
          <w:p>
            <w:pPr>
              <w:spacing w:after="0"/>
              <w:rPr>
                <w:sz w:val="18"/>
                <w:szCs w:val="18"/>
                <w:color w:val="auto"/>
              </w:rPr>
            </w:pPr>
          </w:p>
        </w:tc>
        <w:tc>
          <w:tcPr>
            <w:tcW w:w="500" w:type="dxa"/>
            <w:vAlign w:val="bottom"/>
            <w:tcBorders>
              <w:bottom w:val="single" w:sz="8" w:color="1352DE"/>
            </w:tcBorders>
          </w:tcPr>
          <w:p>
            <w:pPr>
              <w:ind w:left="140"/>
              <w:spacing w:after="0"/>
              <w:rPr>
                <w:sz w:val="20"/>
                <w:szCs w:val="20"/>
                <w:color w:val="auto"/>
              </w:rPr>
            </w:pPr>
            <w:r>
              <w:rPr>
                <w:rFonts w:ascii="Arial" w:cs="Arial" w:eastAsia="Arial" w:hAnsi="Arial"/>
                <w:sz w:val="16"/>
                <w:szCs w:val="16"/>
                <w:color w:val="1252DE"/>
                <w:w w:val="95"/>
              </w:rPr>
              <w:t>Total</w:t>
            </w:r>
          </w:p>
        </w:tc>
      </w:tr>
      <w:tr>
        <w:trPr>
          <w:trHeight w:val="210"/>
        </w:trPr>
        <w:tc>
          <w:tcPr>
            <w:tcW w:w="3560" w:type="dxa"/>
            <w:vAlign w:val="bottom"/>
            <w:tcBorders>
              <w:bottom w:val="single" w:sz="8" w:color="1352DE"/>
            </w:tcBorders>
          </w:tcPr>
          <w:p>
            <w:pPr>
              <w:ind w:left="20"/>
              <w:spacing w:after="0"/>
              <w:rPr>
                <w:sz w:val="20"/>
                <w:szCs w:val="20"/>
                <w:color w:val="auto"/>
              </w:rPr>
            </w:pPr>
            <w:r>
              <w:rPr>
                <w:rFonts w:ascii="Arial" w:cs="Arial" w:eastAsia="Arial" w:hAnsi="Arial"/>
                <w:sz w:val="16"/>
                <w:szCs w:val="16"/>
                <w:color w:val="auto"/>
              </w:rPr>
              <w:t>General borrowings</w:t>
            </w:r>
          </w:p>
        </w:tc>
        <w:tc>
          <w:tcPr>
            <w:tcW w:w="234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1352DE"/>
            </w:tcBorders>
          </w:tcPr>
          <w:p>
            <w:pPr>
              <w:jc w:val="right"/>
              <w:ind w:right="99"/>
              <w:spacing w:after="0"/>
              <w:rPr>
                <w:sz w:val="20"/>
                <w:szCs w:val="20"/>
                <w:color w:val="auto"/>
              </w:rPr>
            </w:pPr>
            <w:r>
              <w:rPr>
                <w:rFonts w:ascii="Arial" w:cs="Arial" w:eastAsia="Arial" w:hAnsi="Arial"/>
                <w:sz w:val="16"/>
                <w:szCs w:val="16"/>
                <w:color w:val="auto"/>
              </w:rPr>
              <w:t>932</w:t>
            </w:r>
          </w:p>
        </w:tc>
        <w:tc>
          <w:tcPr>
            <w:tcW w:w="380" w:type="dxa"/>
            <w:vAlign w:val="bottom"/>
            <w:tcBorders>
              <w:bottom w:val="single" w:sz="8" w:color="1352DE"/>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1352DE"/>
            </w:tcBorders>
          </w:tcPr>
          <w:p>
            <w:pPr>
              <w:jc w:val="right"/>
              <w:ind w:right="1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1352DE"/>
            </w:tcBorders>
          </w:tcPr>
          <w:p>
            <w:pPr>
              <w:jc w:val="right"/>
              <w:ind w:right="59"/>
              <w:spacing w:after="0"/>
              <w:rPr>
                <w:sz w:val="20"/>
                <w:szCs w:val="20"/>
                <w:color w:val="auto"/>
              </w:rPr>
            </w:pPr>
            <w:r>
              <w:rPr>
                <w:rFonts w:ascii="Arial" w:cs="Arial" w:eastAsia="Arial" w:hAnsi="Arial"/>
                <w:sz w:val="16"/>
                <w:szCs w:val="16"/>
                <w:b w:val="1"/>
                <w:bCs w:val="1"/>
                <w:color w:val="1252DE"/>
              </w:rPr>
              <w:t>$</w:t>
            </w:r>
          </w:p>
        </w:tc>
        <w:tc>
          <w:tcPr>
            <w:tcW w:w="500" w:type="dxa"/>
            <w:vAlign w:val="bottom"/>
            <w:tcBorders>
              <w:bottom w:val="single" w:sz="8" w:color="1352DE"/>
            </w:tcBorders>
          </w:tcPr>
          <w:p>
            <w:pPr>
              <w:ind w:left="160"/>
              <w:spacing w:after="0"/>
              <w:rPr>
                <w:sz w:val="20"/>
                <w:szCs w:val="20"/>
                <w:color w:val="auto"/>
              </w:rPr>
            </w:pPr>
            <w:r>
              <w:rPr>
                <w:rFonts w:ascii="Arial" w:cs="Arial" w:eastAsia="Arial" w:hAnsi="Arial"/>
                <w:sz w:val="16"/>
                <w:szCs w:val="16"/>
                <w:b w:val="1"/>
                <w:bCs w:val="1"/>
                <w:color w:val="1252DE"/>
              </w:rPr>
              <w:t>961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24771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60" w:hanging="734"/>
        <w:spacing w:after="0"/>
        <w:tabs>
          <w:tab w:leader="none" w:pos="760" w:val="left"/>
        </w:tabs>
        <w:numPr>
          <w:ilvl w:val="0"/>
          <w:numId w:val="114"/>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Liquidity and Capital Resources</w:t>
      </w:r>
    </w:p>
    <w:p>
      <w:pPr>
        <w:spacing w:after="0" w:line="200" w:lineRule="exact"/>
        <w:rPr>
          <w:sz w:val="20"/>
          <w:szCs w:val="20"/>
          <w:color w:val="auto"/>
        </w:rPr>
      </w:pPr>
    </w:p>
    <w:p>
      <w:pPr>
        <w:spacing w:after="0" w:line="299" w:lineRule="exact"/>
        <w:rPr>
          <w:sz w:val="20"/>
          <w:szCs w:val="20"/>
          <w:color w:val="auto"/>
        </w:rPr>
      </w:pPr>
    </w:p>
    <w:p>
      <w:pPr>
        <w:ind w:right="980"/>
        <w:spacing w:after="0" w:line="349" w:lineRule="auto"/>
        <w:rPr>
          <w:sz w:val="20"/>
          <w:szCs w:val="20"/>
          <w:color w:val="auto"/>
        </w:rPr>
      </w:pPr>
      <w:r>
        <w:rPr>
          <w:rFonts w:ascii="Arial" w:cs="Arial" w:eastAsia="Arial" w:hAnsi="Arial"/>
          <w:sz w:val="16"/>
          <w:szCs w:val="16"/>
          <w:b w:val="1"/>
          <w:bCs w:val="1"/>
          <w:color w:val="1352DE"/>
        </w:rPr>
        <w:t>The following table presents maturities of long-term debt (including unamortized original issue discount, hedge accounting valuation adjustments and fair value adjustments, when applicable):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Borders>
              <w:top w:val="single" w:sz="8" w:color="1352DE"/>
            </w:tcBorders>
          </w:tcPr>
          <w:p>
            <w:pPr>
              <w:ind w:left="20"/>
              <w:spacing w:after="0"/>
              <w:rPr>
                <w:sz w:val="20"/>
                <w:szCs w:val="20"/>
                <w:color w:val="auto"/>
              </w:rPr>
            </w:pPr>
            <w:r>
              <w:rPr>
                <w:rFonts w:ascii="Arial" w:cs="Arial" w:eastAsia="Arial" w:hAnsi="Arial"/>
                <w:sz w:val="15"/>
                <w:szCs w:val="15"/>
                <w:b w:val="1"/>
                <w:bCs w:val="1"/>
                <w:color w:val="1252DE"/>
              </w:rPr>
              <w:t>September 30, 2026</w:t>
            </w:r>
          </w:p>
        </w:tc>
        <w:tc>
          <w:tcPr>
            <w:tcW w:w="1280" w:type="dxa"/>
            <w:vAlign w:val="bottom"/>
            <w:tcBorders>
              <w:top w:val="single" w:sz="8" w:color="1352DE"/>
            </w:tcBorders>
          </w:tcPr>
          <w:p>
            <w:pPr>
              <w:spacing w:after="0"/>
              <w:rPr>
                <w:sz w:val="18"/>
                <w:szCs w:val="18"/>
                <w:color w:val="auto"/>
              </w:rPr>
            </w:pPr>
          </w:p>
        </w:tc>
        <w:tc>
          <w:tcPr>
            <w:tcW w:w="640" w:type="dxa"/>
            <w:vAlign w:val="bottom"/>
            <w:tcBorders>
              <w:top w:val="single" w:sz="8" w:color="1352DE"/>
            </w:tcBorders>
          </w:tcPr>
          <w:p>
            <w:pPr>
              <w:spacing w:after="0"/>
              <w:rPr>
                <w:sz w:val="18"/>
                <w:szCs w:val="18"/>
                <w:color w:val="auto"/>
              </w:rPr>
            </w:pPr>
          </w:p>
        </w:tc>
        <w:tc>
          <w:tcPr>
            <w:tcW w:w="260" w:type="dxa"/>
            <w:vAlign w:val="bottom"/>
            <w:tcBorders>
              <w:top w:val="single" w:sz="8" w:color="1352DE"/>
            </w:tcBorders>
          </w:tcPr>
          <w:p>
            <w:pPr>
              <w:spacing w:after="0"/>
              <w:rPr>
                <w:sz w:val="18"/>
                <w:szCs w:val="18"/>
                <w:color w:val="auto"/>
              </w:rPr>
            </w:pPr>
          </w:p>
        </w:tc>
        <w:tc>
          <w:tcPr>
            <w:tcW w:w="940" w:type="dxa"/>
            <w:vAlign w:val="bottom"/>
            <w:tcBorders>
              <w:top w:val="single" w:sz="8" w:color="1352DE"/>
            </w:tcBorders>
          </w:tcPr>
          <w:p>
            <w:pPr>
              <w:jc w:val="right"/>
              <w:spacing w:after="0"/>
              <w:rPr>
                <w:sz w:val="20"/>
                <w:szCs w:val="20"/>
                <w:color w:val="auto"/>
              </w:rPr>
            </w:pPr>
            <w:r>
              <w:rPr>
                <w:rFonts w:ascii="Arial" w:cs="Arial" w:eastAsia="Arial" w:hAnsi="Arial"/>
                <w:sz w:val="15"/>
                <w:szCs w:val="15"/>
                <w:color w:val="1252DE"/>
              </w:rPr>
              <w:t>Remainder</w:t>
            </w:r>
          </w:p>
        </w:tc>
        <w:tc>
          <w:tcPr>
            <w:tcW w:w="140" w:type="dxa"/>
            <w:vAlign w:val="bottom"/>
            <w:tcBorders>
              <w:top w:val="single" w:sz="8" w:color="1352DE"/>
            </w:tcBorders>
          </w:tcPr>
          <w:p>
            <w:pPr>
              <w:spacing w:after="0"/>
              <w:rPr>
                <w:sz w:val="18"/>
                <w:szCs w:val="18"/>
                <w:color w:val="auto"/>
              </w:rPr>
            </w:pPr>
          </w:p>
        </w:tc>
        <w:tc>
          <w:tcPr>
            <w:tcW w:w="640" w:type="dxa"/>
            <w:vAlign w:val="bottom"/>
            <w:tcBorders>
              <w:top w:val="single" w:sz="8" w:color="1352DE"/>
              <w:bottom w:val="single" w:sz="8" w:color="1352DE"/>
            </w:tcBorders>
          </w:tcPr>
          <w:p>
            <w:pPr>
              <w:spacing w:after="0"/>
              <w:rPr>
                <w:sz w:val="18"/>
                <w:szCs w:val="18"/>
                <w:color w:val="auto"/>
              </w:rPr>
            </w:pPr>
          </w:p>
        </w:tc>
        <w:tc>
          <w:tcPr>
            <w:tcW w:w="300" w:type="dxa"/>
            <w:vAlign w:val="bottom"/>
            <w:tcBorders>
              <w:top w:val="single" w:sz="8" w:color="1352DE"/>
              <w:bottom w:val="single" w:sz="8" w:color="1352DE"/>
            </w:tcBorders>
          </w:tcPr>
          <w:p>
            <w:pPr>
              <w:spacing w:after="0"/>
              <w:rPr>
                <w:sz w:val="18"/>
                <w:szCs w:val="18"/>
                <w:color w:val="auto"/>
              </w:rPr>
            </w:pPr>
          </w:p>
        </w:tc>
        <w:tc>
          <w:tcPr>
            <w:tcW w:w="540" w:type="dxa"/>
            <w:vAlign w:val="bottom"/>
            <w:tcBorders>
              <w:top w:val="single" w:sz="8" w:color="1352DE"/>
              <w:bottom w:val="single" w:sz="8" w:color="1352DE"/>
            </w:tcBorders>
          </w:tcPr>
          <w:p>
            <w:pPr>
              <w:spacing w:after="0"/>
              <w:rPr>
                <w:sz w:val="18"/>
                <w:szCs w:val="18"/>
                <w:color w:val="auto"/>
              </w:rPr>
            </w:pPr>
          </w:p>
        </w:tc>
        <w:tc>
          <w:tcPr>
            <w:tcW w:w="240" w:type="dxa"/>
            <w:vAlign w:val="bottom"/>
            <w:tcBorders>
              <w:top w:val="single" w:sz="8" w:color="1352DE"/>
              <w:bottom w:val="single" w:sz="8" w:color="1352DE"/>
            </w:tcBorders>
          </w:tcPr>
          <w:p>
            <w:pPr>
              <w:spacing w:after="0"/>
              <w:rPr>
                <w:sz w:val="18"/>
                <w:szCs w:val="18"/>
                <w:color w:val="auto"/>
              </w:rPr>
            </w:pPr>
          </w:p>
        </w:tc>
        <w:tc>
          <w:tcPr>
            <w:tcW w:w="1180" w:type="dxa"/>
            <w:vAlign w:val="bottom"/>
            <w:tcBorders>
              <w:top w:val="single" w:sz="8" w:color="1352DE"/>
              <w:bottom w:val="single" w:sz="8" w:color="1352DE"/>
            </w:tcBorders>
            <w:gridSpan w:val="3"/>
          </w:tcPr>
          <w:p>
            <w:pPr>
              <w:jc w:val="right"/>
              <w:ind w:right="64"/>
              <w:spacing w:after="0"/>
              <w:rPr>
                <w:sz w:val="20"/>
                <w:szCs w:val="20"/>
                <w:color w:val="auto"/>
              </w:rPr>
            </w:pPr>
            <w:r>
              <w:rPr>
                <w:rFonts w:ascii="Arial" w:cs="Arial" w:eastAsia="Arial" w:hAnsi="Arial"/>
                <w:sz w:val="15"/>
                <w:szCs w:val="15"/>
                <w:color w:val="1252DE"/>
              </w:rPr>
              <w:t>Year Ending</w:t>
            </w:r>
          </w:p>
        </w:tc>
        <w:tc>
          <w:tcPr>
            <w:tcW w:w="220" w:type="dxa"/>
            <w:vAlign w:val="bottom"/>
            <w:tcBorders>
              <w:top w:val="single" w:sz="8" w:color="1352DE"/>
              <w:bottom w:val="single" w:sz="8" w:color="1352DE"/>
            </w:tcBorders>
          </w:tcPr>
          <w:p>
            <w:pPr>
              <w:spacing w:after="0"/>
              <w:rPr>
                <w:sz w:val="18"/>
                <w:szCs w:val="18"/>
                <w:color w:val="auto"/>
              </w:rPr>
            </w:pPr>
          </w:p>
        </w:tc>
        <w:tc>
          <w:tcPr>
            <w:tcW w:w="540" w:type="dxa"/>
            <w:vAlign w:val="bottom"/>
            <w:tcBorders>
              <w:top w:val="single" w:sz="8" w:color="1352DE"/>
              <w:bottom w:val="single" w:sz="8" w:color="1352DE"/>
            </w:tcBorders>
          </w:tcPr>
          <w:p>
            <w:pPr>
              <w:spacing w:after="0"/>
              <w:rPr>
                <w:sz w:val="18"/>
                <w:szCs w:val="18"/>
                <w:color w:val="auto"/>
              </w:rPr>
            </w:pPr>
          </w:p>
        </w:tc>
        <w:tc>
          <w:tcPr>
            <w:tcW w:w="240" w:type="dxa"/>
            <w:vAlign w:val="bottom"/>
            <w:tcBorders>
              <w:top w:val="single" w:sz="8" w:color="1352DE"/>
              <w:bottom w:val="single" w:sz="8" w:color="1352DE"/>
            </w:tcBorders>
          </w:tcPr>
          <w:p>
            <w:pPr>
              <w:spacing w:after="0"/>
              <w:rPr>
                <w:sz w:val="18"/>
                <w:szCs w:val="18"/>
                <w:color w:val="auto"/>
              </w:rPr>
            </w:pPr>
          </w:p>
        </w:tc>
        <w:tc>
          <w:tcPr>
            <w:tcW w:w="780" w:type="dxa"/>
            <w:vAlign w:val="bottom"/>
            <w:tcBorders>
              <w:top w:val="single" w:sz="8" w:color="1352DE"/>
              <w:bottom w:val="single" w:sz="8" w:color="1352DE"/>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Borders>
              <w:bottom w:val="single" w:sz="8" w:color="1352DE"/>
            </w:tcBorders>
          </w:tcPr>
          <w:p>
            <w:pPr>
              <w:ind w:left="20"/>
              <w:spacing w:after="0"/>
              <w:rPr>
                <w:sz w:val="20"/>
                <w:szCs w:val="20"/>
                <w:color w:val="auto"/>
              </w:rPr>
            </w:pPr>
            <w:r>
              <w:rPr>
                <w:rFonts w:ascii="Arial" w:cs="Arial" w:eastAsia="Arial" w:hAnsi="Arial"/>
                <w:sz w:val="13"/>
                <w:szCs w:val="13"/>
                <w:i w:val="1"/>
                <w:iCs w:val="1"/>
                <w:color w:val="1252DE"/>
              </w:rPr>
              <w:t>(in millions)</w:t>
            </w:r>
          </w:p>
        </w:tc>
        <w:tc>
          <w:tcPr>
            <w:tcW w:w="128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Total</w:t>
            </w:r>
          </w:p>
        </w:tc>
        <w:tc>
          <w:tcPr>
            <w:tcW w:w="260" w:type="dxa"/>
            <w:vAlign w:val="bottom"/>
            <w:tcBorders>
              <w:bottom w:val="single" w:sz="8" w:color="1352DE"/>
            </w:tcBorders>
          </w:tcPr>
          <w:p>
            <w:pPr>
              <w:spacing w:after="0"/>
              <w:rPr>
                <w:sz w:val="16"/>
                <w:szCs w:val="16"/>
                <w:color w:val="auto"/>
              </w:rPr>
            </w:pPr>
          </w:p>
        </w:tc>
        <w:tc>
          <w:tcPr>
            <w:tcW w:w="9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of 2026</w:t>
            </w:r>
          </w:p>
        </w:tc>
        <w:tc>
          <w:tcPr>
            <w:tcW w:w="140" w:type="dxa"/>
            <w:vAlign w:val="bottom"/>
            <w:tcBorders>
              <w:bottom w:val="single" w:sz="8" w:color="1352DE"/>
            </w:tcBorders>
          </w:tcPr>
          <w:p>
            <w:pPr>
              <w:spacing w:after="0"/>
              <w:rPr>
                <w:sz w:val="16"/>
                <w:szCs w:val="16"/>
                <w:color w:val="auto"/>
              </w:rPr>
            </w:pPr>
          </w:p>
        </w:tc>
        <w:tc>
          <w:tcPr>
            <w:tcW w:w="6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2027</w:t>
            </w:r>
          </w:p>
        </w:tc>
        <w:tc>
          <w:tcPr>
            <w:tcW w:w="300" w:type="dxa"/>
            <w:vAlign w:val="bottom"/>
            <w:tcBorders>
              <w:bottom w:val="single" w:sz="8" w:color="1352DE"/>
            </w:tcBorders>
          </w:tcPr>
          <w:p>
            <w:pPr>
              <w:spacing w:after="0"/>
              <w:rPr>
                <w:sz w:val="16"/>
                <w:szCs w:val="16"/>
                <w:color w:val="auto"/>
              </w:rPr>
            </w:pPr>
          </w:p>
        </w:tc>
        <w:tc>
          <w:tcPr>
            <w:tcW w:w="54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2028</w:t>
            </w:r>
          </w:p>
        </w:tc>
        <w:tc>
          <w:tcPr>
            <w:tcW w:w="240" w:type="dxa"/>
            <w:vAlign w:val="bottom"/>
            <w:tcBorders>
              <w:bottom w:val="single" w:sz="8" w:color="1352DE"/>
            </w:tcBorders>
          </w:tcPr>
          <w:p>
            <w:pPr>
              <w:spacing w:after="0"/>
              <w:rPr>
                <w:sz w:val="16"/>
                <w:szCs w:val="16"/>
                <w:color w:val="auto"/>
              </w:rPr>
            </w:pPr>
          </w:p>
        </w:tc>
        <w:tc>
          <w:tcPr>
            <w:tcW w:w="46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2029</w:t>
            </w:r>
          </w:p>
        </w:tc>
        <w:tc>
          <w:tcPr>
            <w:tcW w:w="240" w:type="dxa"/>
            <w:vAlign w:val="bottom"/>
            <w:tcBorders>
              <w:bottom w:val="single" w:sz="8" w:color="1352DE"/>
            </w:tcBorders>
          </w:tcPr>
          <w:p>
            <w:pPr>
              <w:spacing w:after="0"/>
              <w:rPr>
                <w:sz w:val="16"/>
                <w:szCs w:val="16"/>
                <w:color w:val="auto"/>
              </w:rPr>
            </w:pPr>
          </w:p>
        </w:tc>
        <w:tc>
          <w:tcPr>
            <w:tcW w:w="4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2030</w:t>
            </w:r>
          </w:p>
        </w:tc>
        <w:tc>
          <w:tcPr>
            <w:tcW w:w="220" w:type="dxa"/>
            <w:vAlign w:val="bottom"/>
            <w:tcBorders>
              <w:bottom w:val="single" w:sz="8" w:color="1352DE"/>
            </w:tcBorders>
          </w:tcPr>
          <w:p>
            <w:pPr>
              <w:spacing w:after="0"/>
              <w:rPr>
                <w:sz w:val="16"/>
                <w:szCs w:val="16"/>
                <w:color w:val="auto"/>
              </w:rPr>
            </w:pPr>
          </w:p>
        </w:tc>
        <w:tc>
          <w:tcPr>
            <w:tcW w:w="5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1252DE"/>
              </w:rPr>
              <w:t>2031</w:t>
            </w:r>
          </w:p>
        </w:tc>
        <w:tc>
          <w:tcPr>
            <w:tcW w:w="240" w:type="dxa"/>
            <w:vAlign w:val="bottom"/>
            <w:tcBorders>
              <w:bottom w:val="single" w:sz="8" w:color="1352DE"/>
            </w:tcBorders>
          </w:tcPr>
          <w:p>
            <w:pPr>
              <w:spacing w:after="0"/>
              <w:rPr>
                <w:sz w:val="16"/>
                <w:szCs w:val="16"/>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1252DE"/>
              </w:rPr>
              <w:t>Thereafter</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5"/>
                <w:szCs w:val="15"/>
                <w:b w:val="1"/>
                <w:bCs w:val="1"/>
                <w:color w:val="1252DE"/>
              </w:rPr>
              <w:t>General borrowings:</w:t>
            </w: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1352DE"/>
              </w:rPr>
              <w:t>9,765</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80" w:type="dxa"/>
            <w:vAlign w:val="bottom"/>
          </w:tcPr>
          <w:p>
            <w:pPr>
              <w:ind w:left="140"/>
              <w:spacing w:after="0"/>
              <w:rPr>
                <w:sz w:val="20"/>
                <w:szCs w:val="20"/>
                <w:color w:val="auto"/>
              </w:rPr>
            </w:pPr>
            <w:r>
              <w:rPr>
                <w:rFonts w:ascii="Arial" w:cs="Arial" w:eastAsia="Arial" w:hAnsi="Arial"/>
                <w:sz w:val="15"/>
                <w:szCs w:val="15"/>
                <w:color w:val="auto"/>
              </w:rPr>
              <w:t>Notes and bonds payable</w:t>
            </w:r>
          </w:p>
        </w:tc>
        <w:tc>
          <w:tcPr>
            <w:tcW w:w="12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29</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932</w:t>
            </w:r>
          </w:p>
        </w:tc>
        <w:tc>
          <w:tcPr>
            <w:tcW w:w="3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691</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205</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4"/>
              <w:spacing w:after="0"/>
              <w:rPr>
                <w:sz w:val="20"/>
                <w:szCs w:val="20"/>
                <w:color w:val="auto"/>
              </w:rPr>
            </w:pPr>
            <w:r>
              <w:rPr>
                <w:rFonts w:ascii="Arial" w:cs="Arial" w:eastAsia="Arial" w:hAnsi="Arial"/>
                <w:sz w:val="15"/>
                <w:szCs w:val="15"/>
                <w:color w:val="auto"/>
              </w:rPr>
              <w:t>960</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64"/>
              <w:spacing w:after="0"/>
              <w:rPr>
                <w:sz w:val="20"/>
                <w:szCs w:val="20"/>
                <w:color w:val="auto"/>
              </w:rPr>
            </w:pPr>
            <w:r>
              <w:rPr>
                <w:rFonts w:ascii="Arial" w:cs="Arial" w:eastAsia="Arial" w:hAnsi="Arial"/>
                <w:sz w:val="15"/>
                <w:szCs w:val="15"/>
                <w:color w:val="auto"/>
              </w:rPr>
              <w:t>703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6,245</w:t>
            </w:r>
          </w:p>
        </w:tc>
        <w:tc>
          <w:tcPr>
            <w:tcW w:w="0" w:type="dxa"/>
            <w:vAlign w:val="bottom"/>
          </w:tcPr>
          <w:p>
            <w:pPr>
              <w:spacing w:after="0"/>
              <w:rPr>
                <w:sz w:val="1"/>
                <w:szCs w:val="1"/>
                <w:color w:val="auto"/>
              </w:rPr>
            </w:pPr>
          </w:p>
        </w:tc>
      </w:tr>
      <w:tr>
        <w:trPr>
          <w:trHeight w:val="208"/>
        </w:trPr>
        <w:tc>
          <w:tcPr>
            <w:tcW w:w="3280" w:type="dxa"/>
            <w:vAlign w:val="bottom"/>
            <w:tcBorders>
              <w:bottom w:val="single" w:sz="8" w:color="1352DE"/>
            </w:tcBorders>
          </w:tcPr>
          <w:p>
            <w:pPr>
              <w:ind w:left="140"/>
              <w:spacing w:after="0"/>
              <w:rPr>
                <w:sz w:val="20"/>
                <w:szCs w:val="20"/>
                <w:color w:val="auto"/>
              </w:rPr>
            </w:pPr>
            <w:r>
              <w:rPr>
                <w:rFonts w:ascii="Arial" w:cs="Arial" w:eastAsia="Arial" w:hAnsi="Arial"/>
                <w:sz w:val="15"/>
                <w:szCs w:val="15"/>
                <w:color w:val="auto"/>
              </w:rPr>
              <w:t>Junior subordinated debt</w:t>
            </w:r>
          </w:p>
        </w:tc>
        <w:tc>
          <w:tcPr>
            <w:tcW w:w="128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481</w:t>
            </w:r>
          </w:p>
        </w:tc>
        <w:tc>
          <w:tcPr>
            <w:tcW w:w="260" w:type="dxa"/>
            <w:vAlign w:val="bottom"/>
            <w:tcBorders>
              <w:bottom w:val="single" w:sz="8" w:color="1352DE"/>
            </w:tcBorders>
          </w:tcPr>
          <w:p>
            <w:pPr>
              <w:spacing w:after="0"/>
              <w:rPr>
                <w:sz w:val="18"/>
                <w:szCs w:val="18"/>
                <w:color w:val="auto"/>
              </w:rPr>
            </w:pPr>
          </w:p>
        </w:tc>
        <w:tc>
          <w:tcPr>
            <w:tcW w:w="9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1352DE"/>
            </w:tcBorders>
          </w:tcPr>
          <w:p>
            <w:pPr>
              <w:spacing w:after="0"/>
              <w:rPr>
                <w:sz w:val="18"/>
                <w:szCs w:val="18"/>
                <w:color w:val="auto"/>
              </w:rPr>
            </w:pPr>
          </w:p>
        </w:tc>
        <w:tc>
          <w:tcPr>
            <w:tcW w:w="48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Arial" w:cs="Arial" w:eastAsia="Arial" w:hAnsi="Arial"/>
                <w:sz w:val="15"/>
                <w:szCs w:val="15"/>
                <w:b w:val="1"/>
                <w:bCs w:val="1"/>
                <w:color w:val="1252DE"/>
              </w:rPr>
              <w:t>Total general borrowings</w:t>
            </w:r>
          </w:p>
        </w:tc>
        <w:tc>
          <w:tcPr>
            <w:tcW w:w="1280" w:type="dxa"/>
            <w:vAlign w:val="bottom"/>
          </w:tcPr>
          <w:p>
            <w:pPr>
              <w:spacing w:after="0"/>
              <w:rPr>
                <w:sz w:val="16"/>
                <w:szCs w:val="16"/>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b w:val="1"/>
                <w:bCs w:val="1"/>
                <w:color w:val="1352DE"/>
              </w:rPr>
              <w:t>10,246</w:t>
            </w:r>
          </w:p>
        </w:tc>
        <w:tc>
          <w:tcPr>
            <w:tcW w:w="26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b w:val="1"/>
                <w:bCs w:val="1"/>
                <w:color w:val="1252DE"/>
              </w:rPr>
              <w:t>29</w:t>
            </w:r>
          </w:p>
        </w:tc>
        <w:tc>
          <w:tcPr>
            <w:tcW w:w="14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1252DE"/>
              </w:rPr>
              <w:t>932</w:t>
            </w:r>
          </w:p>
        </w:tc>
        <w:tc>
          <w:tcPr>
            <w:tcW w:w="300" w:type="dxa"/>
            <w:vAlign w:val="bottom"/>
          </w:tcPr>
          <w:p>
            <w:pPr>
              <w:spacing w:after="0"/>
              <w:rPr>
                <w:sz w:val="16"/>
                <w:szCs w:val="16"/>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b w:val="1"/>
                <w:bCs w:val="1"/>
                <w:color w:val="1252DE"/>
              </w:rPr>
              <w:t>691</w:t>
            </w:r>
          </w:p>
        </w:tc>
        <w:tc>
          <w:tcPr>
            <w:tcW w:w="24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b w:val="1"/>
                <w:bCs w:val="1"/>
                <w:color w:val="1252DE"/>
              </w:rPr>
              <w:t>205</w:t>
            </w:r>
          </w:p>
        </w:tc>
        <w:tc>
          <w:tcPr>
            <w:tcW w:w="240" w:type="dxa"/>
            <w:vAlign w:val="bottom"/>
          </w:tcPr>
          <w:p>
            <w:pPr>
              <w:spacing w:after="0"/>
              <w:rPr>
                <w:sz w:val="16"/>
                <w:szCs w:val="16"/>
                <w:color w:val="auto"/>
              </w:rPr>
            </w:pPr>
          </w:p>
        </w:tc>
        <w:tc>
          <w:tcPr>
            <w:tcW w:w="480" w:type="dxa"/>
            <w:vAlign w:val="bottom"/>
          </w:tcPr>
          <w:p>
            <w:pPr>
              <w:jc w:val="right"/>
              <w:ind w:right="24"/>
              <w:spacing w:after="0"/>
              <w:rPr>
                <w:sz w:val="20"/>
                <w:szCs w:val="20"/>
                <w:color w:val="auto"/>
              </w:rPr>
            </w:pPr>
            <w:r>
              <w:rPr>
                <w:rFonts w:ascii="Arial" w:cs="Arial" w:eastAsia="Arial" w:hAnsi="Arial"/>
                <w:sz w:val="15"/>
                <w:szCs w:val="15"/>
                <w:b w:val="1"/>
                <w:bCs w:val="1"/>
                <w:color w:val="1252DE"/>
              </w:rPr>
              <w:t>960</w:t>
            </w:r>
          </w:p>
        </w:tc>
        <w:tc>
          <w:tcPr>
            <w:tcW w:w="2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Arial" w:cs="Arial" w:eastAsia="Arial" w:hAnsi="Arial"/>
                <w:sz w:val="15"/>
                <w:szCs w:val="15"/>
                <w:b w:val="1"/>
                <w:bCs w:val="1"/>
                <w:color w:val="1252DE"/>
              </w:rPr>
              <w:t>703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1252DE"/>
              </w:rPr>
              <w:t>6,726</w:t>
            </w:r>
          </w:p>
        </w:tc>
        <w:tc>
          <w:tcPr>
            <w:tcW w:w="0" w:type="dxa"/>
            <w:vAlign w:val="bottom"/>
          </w:tcPr>
          <w:p>
            <w:pPr>
              <w:spacing w:after="0"/>
              <w:rPr>
                <w:sz w:val="1"/>
                <w:szCs w:val="1"/>
                <w:color w:val="auto"/>
              </w:rPr>
            </w:pPr>
          </w:p>
        </w:tc>
      </w:tr>
      <w:tr>
        <w:trPr>
          <w:trHeight w:val="208"/>
        </w:trPr>
        <w:tc>
          <w:tcPr>
            <w:tcW w:w="3280" w:type="dxa"/>
            <w:vAlign w:val="bottom"/>
            <w:tcBorders>
              <w:bottom w:val="single" w:sz="8" w:color="1352DE"/>
            </w:tcBorders>
          </w:tcPr>
          <w:p>
            <w:pPr>
              <w:ind w:left="20"/>
              <w:spacing w:after="0"/>
              <w:rPr>
                <w:sz w:val="20"/>
                <w:szCs w:val="20"/>
                <w:color w:val="auto"/>
              </w:rPr>
            </w:pPr>
            <w:r>
              <w:rPr>
                <w:rFonts w:ascii="Arial" w:cs="Arial" w:eastAsia="Arial" w:hAnsi="Arial"/>
                <w:sz w:val="15"/>
                <w:szCs w:val="15"/>
                <w:color w:val="auto"/>
              </w:rPr>
              <w:t>Borrowings supported by assets</w:t>
            </w:r>
          </w:p>
        </w:tc>
        <w:tc>
          <w:tcPr>
            <w:tcW w:w="128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10</w:t>
            </w:r>
          </w:p>
        </w:tc>
        <w:tc>
          <w:tcPr>
            <w:tcW w:w="260" w:type="dxa"/>
            <w:vAlign w:val="bottom"/>
            <w:tcBorders>
              <w:bottom w:val="single" w:sz="8" w:color="1352DE"/>
            </w:tcBorders>
          </w:tcPr>
          <w:p>
            <w:pPr>
              <w:spacing w:after="0"/>
              <w:rPr>
                <w:sz w:val="18"/>
                <w:szCs w:val="18"/>
                <w:color w:val="auto"/>
              </w:rPr>
            </w:pPr>
          </w:p>
        </w:tc>
        <w:tc>
          <w:tcPr>
            <w:tcW w:w="9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1352DE"/>
            </w:tcBorders>
          </w:tcPr>
          <w:p>
            <w:pPr>
              <w:spacing w:after="0"/>
              <w:rPr>
                <w:sz w:val="18"/>
                <w:szCs w:val="18"/>
                <w:color w:val="auto"/>
              </w:rPr>
            </w:pP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1352DE"/>
            </w:tcBorders>
          </w:tcPr>
          <w:p>
            <w:pPr>
              <w:spacing w:after="0"/>
              <w:rPr>
                <w:sz w:val="18"/>
                <w:szCs w:val="18"/>
                <w:color w:val="auto"/>
              </w:rPr>
            </w:pP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1352DE"/>
            </w:tcBorders>
          </w:tcPr>
          <w:p>
            <w:pPr>
              <w:spacing w:after="0"/>
              <w:rPr>
                <w:sz w:val="18"/>
                <w:szCs w:val="18"/>
                <w:color w:val="auto"/>
              </w:rPr>
            </w:pPr>
          </w:p>
        </w:tc>
        <w:tc>
          <w:tcPr>
            <w:tcW w:w="48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1352DE"/>
            </w:tcBorders>
          </w:tcPr>
          <w:p>
            <w:pPr>
              <w:spacing w:after="0"/>
              <w:rPr>
                <w:sz w:val="18"/>
                <w:szCs w:val="18"/>
                <w:color w:val="auto"/>
              </w:rPr>
            </w:pPr>
          </w:p>
        </w:tc>
        <w:tc>
          <w:tcPr>
            <w:tcW w:w="54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1352DE"/>
            </w:tcBorders>
          </w:tcPr>
          <w:p>
            <w:pPr>
              <w:spacing w:after="0"/>
              <w:rPr>
                <w:sz w:val="18"/>
                <w:szCs w:val="18"/>
                <w:color w:val="auto"/>
              </w:rPr>
            </w:pP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1352DE"/>
            </w:tcBorders>
          </w:tcPr>
          <w:p>
            <w:pPr>
              <w:ind w:left="20"/>
              <w:spacing w:after="0"/>
              <w:rPr>
                <w:sz w:val="20"/>
                <w:szCs w:val="20"/>
                <w:color w:val="auto"/>
              </w:rPr>
            </w:pPr>
            <w:r>
              <w:rPr>
                <w:rFonts w:ascii="Arial" w:cs="Arial" w:eastAsia="Arial" w:hAnsi="Arial"/>
                <w:sz w:val="15"/>
                <w:szCs w:val="15"/>
                <w:b w:val="1"/>
                <w:bCs w:val="1"/>
                <w:color w:val="1252DE"/>
              </w:rPr>
              <w:t>Total long-term debt*</w:t>
            </w:r>
          </w:p>
        </w:tc>
        <w:tc>
          <w:tcPr>
            <w:tcW w:w="128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w:t>
            </w:r>
          </w:p>
        </w:tc>
        <w:tc>
          <w:tcPr>
            <w:tcW w:w="64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352DE"/>
              </w:rPr>
              <w:t>10,256</w:t>
            </w:r>
          </w:p>
        </w:tc>
        <w:tc>
          <w:tcPr>
            <w:tcW w:w="260" w:type="dxa"/>
            <w:vAlign w:val="bottom"/>
            <w:tcBorders>
              <w:bottom w:val="single" w:sz="8" w:color="1352DE"/>
            </w:tcBorders>
          </w:tcPr>
          <w:p>
            <w:pPr>
              <w:jc w:val="right"/>
              <w:ind w:right="84"/>
              <w:spacing w:after="0"/>
              <w:rPr>
                <w:sz w:val="20"/>
                <w:szCs w:val="20"/>
                <w:color w:val="auto"/>
              </w:rPr>
            </w:pPr>
            <w:r>
              <w:rPr>
                <w:rFonts w:ascii="Arial" w:cs="Arial" w:eastAsia="Arial" w:hAnsi="Arial"/>
                <w:sz w:val="15"/>
                <w:szCs w:val="15"/>
                <w:b w:val="1"/>
                <w:bCs w:val="1"/>
                <w:color w:val="1252DE"/>
                <w:w w:val="95"/>
              </w:rPr>
              <w:t>$</w:t>
            </w:r>
          </w:p>
        </w:tc>
        <w:tc>
          <w:tcPr>
            <w:tcW w:w="9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29</w:t>
            </w:r>
          </w:p>
        </w:tc>
        <w:tc>
          <w:tcPr>
            <w:tcW w:w="14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w:t>
            </w:r>
          </w:p>
        </w:tc>
        <w:tc>
          <w:tcPr>
            <w:tcW w:w="6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932</w:t>
            </w:r>
          </w:p>
        </w:tc>
        <w:tc>
          <w:tcPr>
            <w:tcW w:w="300" w:type="dxa"/>
            <w:vAlign w:val="bottom"/>
            <w:tcBorders>
              <w:bottom w:val="single" w:sz="8" w:color="1352DE"/>
            </w:tcBorders>
          </w:tcPr>
          <w:p>
            <w:pPr>
              <w:jc w:val="right"/>
              <w:ind w:right="104"/>
              <w:spacing w:after="0"/>
              <w:rPr>
                <w:sz w:val="20"/>
                <w:szCs w:val="20"/>
                <w:color w:val="auto"/>
              </w:rPr>
            </w:pPr>
            <w:r>
              <w:rPr>
                <w:rFonts w:ascii="Arial" w:cs="Arial" w:eastAsia="Arial" w:hAnsi="Arial"/>
                <w:sz w:val="15"/>
                <w:szCs w:val="15"/>
                <w:b w:val="1"/>
                <w:bCs w:val="1"/>
                <w:color w:val="1252DE"/>
              </w:rPr>
              <w:t>$</w:t>
            </w:r>
          </w:p>
        </w:tc>
        <w:tc>
          <w:tcPr>
            <w:tcW w:w="54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691</w:t>
            </w:r>
          </w:p>
        </w:tc>
        <w:tc>
          <w:tcPr>
            <w:tcW w:w="24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w:t>
            </w:r>
          </w:p>
        </w:tc>
        <w:tc>
          <w:tcPr>
            <w:tcW w:w="460" w:type="dxa"/>
            <w:vAlign w:val="bottom"/>
            <w:tcBorders>
              <w:bottom w:val="single" w:sz="8" w:color="1352DE"/>
            </w:tcBorders>
          </w:tcPr>
          <w:p>
            <w:pPr>
              <w:jc w:val="right"/>
              <w:ind w:right="4"/>
              <w:spacing w:after="0"/>
              <w:rPr>
                <w:sz w:val="20"/>
                <w:szCs w:val="20"/>
                <w:color w:val="auto"/>
              </w:rPr>
            </w:pPr>
            <w:r>
              <w:rPr>
                <w:rFonts w:ascii="Arial" w:cs="Arial" w:eastAsia="Arial" w:hAnsi="Arial"/>
                <w:sz w:val="15"/>
                <w:szCs w:val="15"/>
                <w:b w:val="1"/>
                <w:bCs w:val="1"/>
                <w:color w:val="1252DE"/>
              </w:rPr>
              <w:t>205</w:t>
            </w:r>
          </w:p>
        </w:tc>
        <w:tc>
          <w:tcPr>
            <w:tcW w:w="24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rPr>
              <w:t>$</w:t>
            </w:r>
          </w:p>
        </w:tc>
        <w:tc>
          <w:tcPr>
            <w:tcW w:w="480" w:type="dxa"/>
            <w:vAlign w:val="bottom"/>
            <w:tcBorders>
              <w:bottom w:val="single" w:sz="8" w:color="1352DE"/>
            </w:tcBorders>
          </w:tcPr>
          <w:p>
            <w:pPr>
              <w:jc w:val="right"/>
              <w:ind w:right="24"/>
              <w:spacing w:after="0"/>
              <w:rPr>
                <w:sz w:val="20"/>
                <w:szCs w:val="20"/>
                <w:color w:val="auto"/>
              </w:rPr>
            </w:pPr>
            <w:r>
              <w:rPr>
                <w:rFonts w:ascii="Arial" w:cs="Arial" w:eastAsia="Arial" w:hAnsi="Arial"/>
                <w:sz w:val="15"/>
                <w:szCs w:val="15"/>
                <w:b w:val="1"/>
                <w:bCs w:val="1"/>
                <w:color w:val="1252DE"/>
              </w:rPr>
              <w:t>960</w:t>
            </w:r>
          </w:p>
        </w:tc>
        <w:tc>
          <w:tcPr>
            <w:tcW w:w="220" w:type="dxa"/>
            <w:vAlign w:val="bottom"/>
            <w:tcBorders>
              <w:bottom w:val="single" w:sz="8" w:color="1352DE"/>
            </w:tcBorders>
          </w:tcPr>
          <w:p>
            <w:pPr>
              <w:jc w:val="right"/>
              <w:ind w:right="44"/>
              <w:spacing w:after="0"/>
              <w:rPr>
                <w:sz w:val="20"/>
                <w:szCs w:val="20"/>
                <w:color w:val="auto"/>
              </w:rPr>
            </w:pPr>
            <w:r>
              <w:rPr>
                <w:rFonts w:ascii="Arial" w:cs="Arial" w:eastAsia="Arial" w:hAnsi="Arial"/>
                <w:sz w:val="15"/>
                <w:szCs w:val="15"/>
                <w:b w:val="1"/>
                <w:bCs w:val="1"/>
                <w:color w:val="1252DE"/>
                <w:w w:val="95"/>
              </w:rPr>
              <w:t>$</w:t>
            </w:r>
          </w:p>
        </w:tc>
        <w:tc>
          <w:tcPr>
            <w:tcW w:w="540" w:type="dxa"/>
            <w:vAlign w:val="bottom"/>
            <w:tcBorders>
              <w:bottom w:val="single" w:sz="8" w:color="1352DE"/>
            </w:tcBorders>
          </w:tcPr>
          <w:p>
            <w:pPr>
              <w:jc w:val="right"/>
              <w:ind w:right="64"/>
              <w:spacing w:after="0"/>
              <w:rPr>
                <w:sz w:val="20"/>
                <w:szCs w:val="20"/>
                <w:color w:val="auto"/>
              </w:rPr>
            </w:pPr>
            <w:r>
              <w:rPr>
                <w:rFonts w:ascii="Arial" w:cs="Arial" w:eastAsia="Arial" w:hAnsi="Arial"/>
                <w:sz w:val="15"/>
                <w:szCs w:val="15"/>
                <w:b w:val="1"/>
                <w:bCs w:val="1"/>
                <w:color w:val="1252DE"/>
              </w:rPr>
              <w:t>703</w:t>
            </w:r>
          </w:p>
        </w:tc>
        <w:tc>
          <w:tcPr>
            <w:tcW w:w="24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w:t>
            </w:r>
          </w:p>
        </w:tc>
        <w:tc>
          <w:tcPr>
            <w:tcW w:w="780" w:type="dxa"/>
            <w:vAlign w:val="bottom"/>
            <w:tcBorders>
              <w:bottom w:val="single" w:sz="8" w:color="1352DE"/>
            </w:tcBorders>
          </w:tcPr>
          <w:p>
            <w:pPr>
              <w:jc w:val="right"/>
              <w:spacing w:after="0"/>
              <w:rPr>
                <w:sz w:val="20"/>
                <w:szCs w:val="20"/>
                <w:color w:val="auto"/>
              </w:rPr>
            </w:pPr>
            <w:r>
              <w:rPr>
                <w:rFonts w:ascii="Arial" w:cs="Arial" w:eastAsia="Arial" w:hAnsi="Arial"/>
                <w:sz w:val="15"/>
                <w:szCs w:val="15"/>
                <w:b w:val="1"/>
                <w:bCs w:val="1"/>
                <w:color w:val="1252DE"/>
              </w:rPr>
              <w:t>6,736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right="80" w:hanging="212"/>
        <w:spacing w:after="0" w:line="286" w:lineRule="auto"/>
        <w:tabs>
          <w:tab w:leader="none" w:pos="21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Does not reflect $154 million of notes issued by consolidated investment entities, for which recourse is limited to the assets of the respective investment entities and for which there is no recourse to the general credit of AIG.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FINANCIAL STRENGTH RATINGS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 xml:space="preserve">Financial Strength ratings estimate an insurance company’s ability to pay its obligations under an insurance policy. </w:t>
      </w:r>
      <w:r>
        <w:rPr>
          <w:rFonts w:ascii="Arial" w:cs="Arial" w:eastAsia="Arial" w:hAnsi="Arial"/>
          <w:sz w:val="16"/>
          <w:szCs w:val="16"/>
          <w:color w:val="000000"/>
        </w:rPr>
        <w:t>The following table presents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ratings of our significant insurance subsidiaries as of the date of this filing.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tcBorders>
              <w:top w:val="single" w:sz="8" w:color="1352DE"/>
              <w:bottom w:val="single" w:sz="8" w:color="1352DE"/>
            </w:tcBorders>
          </w:tcPr>
          <w:p>
            <w:pPr>
              <w:spacing w:after="0"/>
              <w:rPr>
                <w:sz w:val="18"/>
                <w:szCs w:val="18"/>
                <w:color w:val="auto"/>
              </w:rPr>
            </w:pPr>
          </w:p>
        </w:tc>
        <w:tc>
          <w:tcPr>
            <w:tcW w:w="2260" w:type="dxa"/>
            <w:vAlign w:val="bottom"/>
            <w:tcBorders>
              <w:top w:val="single" w:sz="8" w:color="1352DE"/>
              <w:bottom w:val="single" w:sz="8" w:color="1352DE"/>
            </w:tcBorders>
          </w:tcPr>
          <w:p>
            <w:pPr>
              <w:jc w:val="center"/>
              <w:ind w:left="628"/>
              <w:spacing w:after="0"/>
              <w:rPr>
                <w:sz w:val="20"/>
                <w:szCs w:val="20"/>
                <w:color w:val="auto"/>
              </w:rPr>
            </w:pPr>
            <w:r>
              <w:rPr>
                <w:rFonts w:ascii="Arial" w:cs="Arial" w:eastAsia="Arial" w:hAnsi="Arial"/>
                <w:sz w:val="14"/>
                <w:szCs w:val="14"/>
                <w:color w:val="1252DE"/>
              </w:rPr>
              <w:t>A.M. Best</w:t>
            </w:r>
          </w:p>
        </w:tc>
        <w:tc>
          <w:tcPr>
            <w:tcW w:w="1300" w:type="dxa"/>
            <w:vAlign w:val="bottom"/>
            <w:tcBorders>
              <w:top w:val="single" w:sz="8" w:color="1352DE"/>
              <w:bottom w:val="single" w:sz="8" w:color="1352DE"/>
            </w:tcBorders>
          </w:tcPr>
          <w:p>
            <w:pPr>
              <w:ind w:left="460"/>
              <w:spacing w:after="0"/>
              <w:rPr>
                <w:sz w:val="20"/>
                <w:szCs w:val="20"/>
                <w:color w:val="auto"/>
              </w:rPr>
            </w:pPr>
            <w:r>
              <w:rPr>
                <w:rFonts w:ascii="Arial" w:cs="Arial" w:eastAsia="Arial" w:hAnsi="Arial"/>
                <w:sz w:val="14"/>
                <w:szCs w:val="14"/>
                <w:color w:val="1252DE"/>
              </w:rPr>
              <w:t>S&amp;P</w:t>
            </w:r>
          </w:p>
        </w:tc>
        <w:tc>
          <w:tcPr>
            <w:tcW w:w="1340" w:type="dxa"/>
            <w:vAlign w:val="bottom"/>
            <w:tcBorders>
              <w:top w:val="single" w:sz="8" w:color="1352DE"/>
              <w:bottom w:val="single" w:sz="8" w:color="1352DE"/>
            </w:tcBorders>
          </w:tcPr>
          <w:p>
            <w:pPr>
              <w:jc w:val="center"/>
              <w:spacing w:after="0"/>
              <w:rPr>
                <w:sz w:val="20"/>
                <w:szCs w:val="20"/>
                <w:color w:val="auto"/>
              </w:rPr>
            </w:pPr>
            <w:r>
              <w:rPr>
                <w:rFonts w:ascii="Arial" w:cs="Arial" w:eastAsia="Arial" w:hAnsi="Arial"/>
                <w:sz w:val="14"/>
                <w:szCs w:val="14"/>
                <w:color w:val="1252DE"/>
              </w:rPr>
              <w:t>Fitch</w:t>
            </w:r>
          </w:p>
        </w:tc>
        <w:tc>
          <w:tcPr>
            <w:tcW w:w="1440" w:type="dxa"/>
            <w:vAlign w:val="bottom"/>
            <w:tcBorders>
              <w:top w:val="single" w:sz="8" w:color="1352DE"/>
              <w:bottom w:val="single" w:sz="8" w:color="1352DE"/>
            </w:tcBorders>
          </w:tcPr>
          <w:p>
            <w:pPr>
              <w:jc w:val="center"/>
              <w:spacing w:after="0"/>
              <w:rPr>
                <w:sz w:val="20"/>
                <w:szCs w:val="20"/>
                <w:color w:val="auto"/>
              </w:rPr>
            </w:pPr>
            <w:r>
              <w:rPr>
                <w:rFonts w:ascii="Arial" w:cs="Arial" w:eastAsia="Arial" w:hAnsi="Arial"/>
                <w:sz w:val="14"/>
                <w:szCs w:val="14"/>
                <w:color w:val="1252DE"/>
              </w:rPr>
              <w:t>Moody’s</w:t>
            </w:r>
          </w:p>
        </w:tc>
      </w:tr>
      <w:tr>
        <w:trPr>
          <w:trHeight w:val="196"/>
        </w:trPr>
        <w:tc>
          <w:tcPr>
            <w:tcW w:w="48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National Union Fire Insurance Company of Pittsburgh, Pa.</w:t>
            </w:r>
          </w:p>
        </w:tc>
        <w:tc>
          <w:tcPr>
            <w:tcW w:w="2260" w:type="dxa"/>
            <w:vAlign w:val="bottom"/>
            <w:tcBorders>
              <w:bottom w:val="single" w:sz="8" w:color="1352DE"/>
            </w:tcBorders>
          </w:tcPr>
          <w:p>
            <w:pPr>
              <w:jc w:val="center"/>
              <w:ind w:left="628"/>
              <w:spacing w:after="0"/>
              <w:rPr>
                <w:sz w:val="20"/>
                <w:szCs w:val="20"/>
                <w:color w:val="auto"/>
              </w:rPr>
            </w:pPr>
            <w:r>
              <w:rPr>
                <w:rFonts w:ascii="Arial" w:cs="Arial" w:eastAsia="Arial" w:hAnsi="Arial"/>
                <w:sz w:val="14"/>
                <w:szCs w:val="14"/>
                <w:color w:val="auto"/>
                <w:w w:val="85"/>
              </w:rPr>
              <w:t>A</w:t>
            </w:r>
          </w:p>
        </w:tc>
        <w:tc>
          <w:tcPr>
            <w:tcW w:w="1300" w:type="dxa"/>
            <w:vAlign w:val="bottom"/>
            <w:tcBorders>
              <w:bottom w:val="single" w:sz="8" w:color="1352DE"/>
            </w:tcBorders>
          </w:tcPr>
          <w:p>
            <w:pPr>
              <w:ind w:left="500"/>
              <w:spacing w:after="0"/>
              <w:rPr>
                <w:sz w:val="20"/>
                <w:szCs w:val="20"/>
                <w:color w:val="auto"/>
              </w:rPr>
            </w:pPr>
            <w:r>
              <w:rPr>
                <w:rFonts w:ascii="Arial" w:cs="Arial" w:eastAsia="Arial" w:hAnsi="Arial"/>
                <w:sz w:val="14"/>
                <w:szCs w:val="14"/>
                <w:color w:val="auto"/>
              </w:rPr>
              <w:t>AA-</w:t>
            </w:r>
          </w:p>
        </w:tc>
        <w:tc>
          <w:tcPr>
            <w:tcW w:w="13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AA-</w:t>
            </w:r>
          </w:p>
        </w:tc>
        <w:tc>
          <w:tcPr>
            <w:tcW w:w="14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A1</w:t>
            </w:r>
          </w:p>
        </w:tc>
      </w:tr>
      <w:tr>
        <w:trPr>
          <w:trHeight w:val="196"/>
        </w:trPr>
        <w:tc>
          <w:tcPr>
            <w:tcW w:w="48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Lexington Insurance Company</w:t>
            </w:r>
          </w:p>
        </w:tc>
        <w:tc>
          <w:tcPr>
            <w:tcW w:w="2260" w:type="dxa"/>
            <w:vAlign w:val="bottom"/>
            <w:tcBorders>
              <w:bottom w:val="single" w:sz="8" w:color="1352DE"/>
            </w:tcBorders>
          </w:tcPr>
          <w:p>
            <w:pPr>
              <w:jc w:val="center"/>
              <w:ind w:left="628"/>
              <w:spacing w:after="0"/>
              <w:rPr>
                <w:sz w:val="20"/>
                <w:szCs w:val="20"/>
                <w:color w:val="auto"/>
              </w:rPr>
            </w:pPr>
            <w:r>
              <w:rPr>
                <w:rFonts w:ascii="Arial" w:cs="Arial" w:eastAsia="Arial" w:hAnsi="Arial"/>
                <w:sz w:val="14"/>
                <w:szCs w:val="14"/>
                <w:color w:val="auto"/>
                <w:w w:val="85"/>
              </w:rPr>
              <w:t>A</w:t>
            </w:r>
          </w:p>
        </w:tc>
        <w:tc>
          <w:tcPr>
            <w:tcW w:w="1300" w:type="dxa"/>
            <w:vAlign w:val="bottom"/>
            <w:tcBorders>
              <w:bottom w:val="single" w:sz="8" w:color="1352DE"/>
            </w:tcBorders>
          </w:tcPr>
          <w:p>
            <w:pPr>
              <w:ind w:left="500"/>
              <w:spacing w:after="0"/>
              <w:rPr>
                <w:sz w:val="20"/>
                <w:szCs w:val="20"/>
                <w:color w:val="auto"/>
              </w:rPr>
            </w:pPr>
            <w:r>
              <w:rPr>
                <w:rFonts w:ascii="Arial" w:cs="Arial" w:eastAsia="Arial" w:hAnsi="Arial"/>
                <w:sz w:val="14"/>
                <w:szCs w:val="14"/>
                <w:color w:val="auto"/>
              </w:rPr>
              <w:t>AA-</w:t>
            </w:r>
          </w:p>
        </w:tc>
        <w:tc>
          <w:tcPr>
            <w:tcW w:w="13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AA-</w:t>
            </w:r>
          </w:p>
        </w:tc>
        <w:tc>
          <w:tcPr>
            <w:tcW w:w="14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A1</w:t>
            </w:r>
          </w:p>
        </w:tc>
      </w:tr>
      <w:tr>
        <w:trPr>
          <w:trHeight w:val="196"/>
        </w:trPr>
        <w:tc>
          <w:tcPr>
            <w:tcW w:w="48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American Home Assurance Company</w:t>
            </w:r>
          </w:p>
        </w:tc>
        <w:tc>
          <w:tcPr>
            <w:tcW w:w="2260" w:type="dxa"/>
            <w:vAlign w:val="bottom"/>
            <w:tcBorders>
              <w:bottom w:val="single" w:sz="8" w:color="1352DE"/>
            </w:tcBorders>
          </w:tcPr>
          <w:p>
            <w:pPr>
              <w:jc w:val="center"/>
              <w:ind w:left="628"/>
              <w:spacing w:after="0"/>
              <w:rPr>
                <w:sz w:val="20"/>
                <w:szCs w:val="20"/>
                <w:color w:val="auto"/>
              </w:rPr>
            </w:pPr>
            <w:r>
              <w:rPr>
                <w:rFonts w:ascii="Arial" w:cs="Arial" w:eastAsia="Arial" w:hAnsi="Arial"/>
                <w:sz w:val="14"/>
                <w:szCs w:val="14"/>
                <w:color w:val="auto"/>
                <w:w w:val="85"/>
              </w:rPr>
              <w:t>A</w:t>
            </w:r>
          </w:p>
        </w:tc>
        <w:tc>
          <w:tcPr>
            <w:tcW w:w="1300" w:type="dxa"/>
            <w:vAlign w:val="bottom"/>
            <w:tcBorders>
              <w:bottom w:val="single" w:sz="8" w:color="1352DE"/>
            </w:tcBorders>
          </w:tcPr>
          <w:p>
            <w:pPr>
              <w:ind w:left="500"/>
              <w:spacing w:after="0"/>
              <w:rPr>
                <w:sz w:val="20"/>
                <w:szCs w:val="20"/>
                <w:color w:val="auto"/>
              </w:rPr>
            </w:pPr>
            <w:r>
              <w:rPr>
                <w:rFonts w:ascii="Arial" w:cs="Arial" w:eastAsia="Arial" w:hAnsi="Arial"/>
                <w:sz w:val="14"/>
                <w:szCs w:val="14"/>
                <w:color w:val="auto"/>
              </w:rPr>
              <w:t>AA-</w:t>
            </w:r>
          </w:p>
        </w:tc>
        <w:tc>
          <w:tcPr>
            <w:tcW w:w="13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AA-</w:t>
            </w:r>
          </w:p>
        </w:tc>
        <w:tc>
          <w:tcPr>
            <w:tcW w:w="14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A1</w:t>
            </w:r>
          </w:p>
        </w:tc>
      </w:tr>
      <w:tr>
        <w:trPr>
          <w:trHeight w:val="196"/>
        </w:trPr>
        <w:tc>
          <w:tcPr>
            <w:tcW w:w="48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AIG Europe S.A.</w:t>
            </w:r>
          </w:p>
        </w:tc>
        <w:tc>
          <w:tcPr>
            <w:tcW w:w="2260" w:type="dxa"/>
            <w:vAlign w:val="bottom"/>
            <w:tcBorders>
              <w:bottom w:val="single" w:sz="8" w:color="1352DE"/>
            </w:tcBorders>
          </w:tcPr>
          <w:p>
            <w:pPr>
              <w:jc w:val="center"/>
              <w:ind w:left="628"/>
              <w:spacing w:after="0"/>
              <w:rPr>
                <w:sz w:val="20"/>
                <w:szCs w:val="20"/>
                <w:color w:val="auto"/>
              </w:rPr>
            </w:pPr>
            <w:r>
              <w:rPr>
                <w:rFonts w:ascii="Arial" w:cs="Arial" w:eastAsia="Arial" w:hAnsi="Arial"/>
                <w:sz w:val="14"/>
                <w:szCs w:val="14"/>
                <w:color w:val="auto"/>
                <w:w w:val="98"/>
              </w:rPr>
              <w:t>NR</w:t>
            </w:r>
          </w:p>
        </w:tc>
        <w:tc>
          <w:tcPr>
            <w:tcW w:w="1300" w:type="dxa"/>
            <w:vAlign w:val="bottom"/>
            <w:tcBorders>
              <w:bottom w:val="single" w:sz="8" w:color="1352DE"/>
            </w:tcBorders>
          </w:tcPr>
          <w:p>
            <w:pPr>
              <w:ind w:left="500"/>
              <w:spacing w:after="0"/>
              <w:rPr>
                <w:sz w:val="20"/>
                <w:szCs w:val="20"/>
                <w:color w:val="auto"/>
              </w:rPr>
            </w:pPr>
            <w:r>
              <w:rPr>
                <w:rFonts w:ascii="Arial" w:cs="Arial" w:eastAsia="Arial" w:hAnsi="Arial"/>
                <w:sz w:val="14"/>
                <w:szCs w:val="14"/>
                <w:color w:val="auto"/>
              </w:rPr>
              <w:t>AA-</w:t>
            </w:r>
          </w:p>
        </w:tc>
        <w:tc>
          <w:tcPr>
            <w:tcW w:w="13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AA-</w:t>
            </w:r>
          </w:p>
        </w:tc>
        <w:tc>
          <w:tcPr>
            <w:tcW w:w="14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A1</w:t>
            </w:r>
          </w:p>
        </w:tc>
      </w:tr>
      <w:tr>
        <w:trPr>
          <w:trHeight w:val="196"/>
        </w:trPr>
        <w:tc>
          <w:tcPr>
            <w:tcW w:w="48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American International Group UK Limited</w:t>
            </w:r>
          </w:p>
        </w:tc>
        <w:tc>
          <w:tcPr>
            <w:tcW w:w="2260" w:type="dxa"/>
            <w:vAlign w:val="bottom"/>
            <w:tcBorders>
              <w:bottom w:val="single" w:sz="8" w:color="1352DE"/>
            </w:tcBorders>
          </w:tcPr>
          <w:p>
            <w:pPr>
              <w:jc w:val="center"/>
              <w:ind w:left="628"/>
              <w:spacing w:after="0"/>
              <w:rPr>
                <w:sz w:val="20"/>
                <w:szCs w:val="20"/>
                <w:color w:val="auto"/>
              </w:rPr>
            </w:pPr>
            <w:r>
              <w:rPr>
                <w:rFonts w:ascii="Arial" w:cs="Arial" w:eastAsia="Arial" w:hAnsi="Arial"/>
                <w:sz w:val="14"/>
                <w:szCs w:val="14"/>
                <w:color w:val="auto"/>
                <w:w w:val="85"/>
              </w:rPr>
              <w:t>A</w:t>
            </w:r>
          </w:p>
        </w:tc>
        <w:tc>
          <w:tcPr>
            <w:tcW w:w="1300" w:type="dxa"/>
            <w:vAlign w:val="bottom"/>
            <w:tcBorders>
              <w:bottom w:val="single" w:sz="8" w:color="1352DE"/>
            </w:tcBorders>
          </w:tcPr>
          <w:p>
            <w:pPr>
              <w:ind w:left="500"/>
              <w:spacing w:after="0"/>
              <w:rPr>
                <w:sz w:val="20"/>
                <w:szCs w:val="20"/>
                <w:color w:val="auto"/>
              </w:rPr>
            </w:pPr>
            <w:r>
              <w:rPr>
                <w:rFonts w:ascii="Arial" w:cs="Arial" w:eastAsia="Arial" w:hAnsi="Arial"/>
                <w:sz w:val="14"/>
                <w:szCs w:val="14"/>
                <w:color w:val="auto"/>
              </w:rPr>
              <w:t>AA-</w:t>
            </w:r>
          </w:p>
        </w:tc>
        <w:tc>
          <w:tcPr>
            <w:tcW w:w="13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AA-</w:t>
            </w:r>
          </w:p>
        </w:tc>
        <w:tc>
          <w:tcPr>
            <w:tcW w:w="14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A1</w:t>
            </w:r>
          </w:p>
        </w:tc>
      </w:tr>
      <w:tr>
        <w:trPr>
          <w:trHeight w:val="196"/>
        </w:trPr>
        <w:tc>
          <w:tcPr>
            <w:tcW w:w="48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auto"/>
              </w:rPr>
              <w:t>AIG General Insurance Company, Ltd.</w:t>
            </w:r>
          </w:p>
        </w:tc>
        <w:tc>
          <w:tcPr>
            <w:tcW w:w="2260" w:type="dxa"/>
            <w:vAlign w:val="bottom"/>
            <w:tcBorders>
              <w:bottom w:val="single" w:sz="8" w:color="1352DE"/>
            </w:tcBorders>
          </w:tcPr>
          <w:p>
            <w:pPr>
              <w:jc w:val="center"/>
              <w:ind w:left="628"/>
              <w:spacing w:after="0"/>
              <w:rPr>
                <w:sz w:val="20"/>
                <w:szCs w:val="20"/>
                <w:color w:val="auto"/>
              </w:rPr>
            </w:pPr>
            <w:r>
              <w:rPr>
                <w:rFonts w:ascii="Arial" w:cs="Arial" w:eastAsia="Arial" w:hAnsi="Arial"/>
                <w:sz w:val="14"/>
                <w:szCs w:val="14"/>
                <w:color w:val="auto"/>
                <w:w w:val="98"/>
              </w:rPr>
              <w:t>NR</w:t>
            </w:r>
          </w:p>
        </w:tc>
        <w:tc>
          <w:tcPr>
            <w:tcW w:w="1300" w:type="dxa"/>
            <w:vAlign w:val="bottom"/>
            <w:tcBorders>
              <w:bottom w:val="single" w:sz="8" w:color="1352DE"/>
            </w:tcBorders>
          </w:tcPr>
          <w:p>
            <w:pPr>
              <w:ind w:left="500"/>
              <w:spacing w:after="0"/>
              <w:rPr>
                <w:sz w:val="20"/>
                <w:szCs w:val="20"/>
                <w:color w:val="auto"/>
              </w:rPr>
            </w:pPr>
            <w:r>
              <w:rPr>
                <w:rFonts w:ascii="Arial" w:cs="Arial" w:eastAsia="Arial" w:hAnsi="Arial"/>
                <w:sz w:val="14"/>
                <w:szCs w:val="14"/>
                <w:color w:val="auto"/>
              </w:rPr>
              <w:t>AA-</w:t>
            </w:r>
          </w:p>
        </w:tc>
        <w:tc>
          <w:tcPr>
            <w:tcW w:w="13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w w:val="98"/>
              </w:rPr>
              <w:t>NR</w:t>
            </w:r>
          </w:p>
        </w:tc>
        <w:tc>
          <w:tcPr>
            <w:tcW w:w="144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auto"/>
              </w:rPr>
              <w:t>NR</w:t>
            </w:r>
          </w:p>
        </w:tc>
      </w:tr>
    </w:tbl>
    <w:p>
      <w:pPr>
        <w:spacing w:after="0" w:line="18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In July 2026, Fitch assigned a financial strength rating of AA- to AIG Europe S.A. and American International Group UK Limited, the outlook of the ratings assigned is Stable for both subsidiaries. Both entities were previously unrated by Fitch.</w:t>
      </w:r>
    </w:p>
    <w:p>
      <w:pPr>
        <w:spacing w:after="0" w:line="48"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These financial strength ratings are current opinions of the rating agencies. They may be changed, suspended or withdrawn at any time by the rating agencies as a result of changes in, or unavailability of, information or based on other circumstances.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CREDIT RATINGS</w:t>
      </w:r>
    </w:p>
    <w:p>
      <w:pPr>
        <w:spacing w:after="0" w:line="11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color w:val="1352DE"/>
        </w:rPr>
        <w:t xml:space="preserve">Credit ratings estimate a company’s ability to meet its obligations and may directly affect the cost and availability of financing to that company. </w:t>
      </w:r>
      <w:r>
        <w:rPr>
          <w:rFonts w:ascii="Arial" w:cs="Arial" w:eastAsia="Arial" w:hAnsi="Arial"/>
          <w:sz w:val="16"/>
          <w:szCs w:val="16"/>
          <w:color w:val="000000"/>
        </w:rPr>
        <w:t>The following table presents the credit ratings of AIG Parent as of the date of this filing. Figures in parentheses indicate the relative ranking of the ratings within the agency’s rating categories; that ranking refers only to the major rating category and not to the modifiers assigned by the rating agencies.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Borders>
              <w:top w:val="single" w:sz="8" w:color="1352DE"/>
            </w:tcBorders>
          </w:tcPr>
          <w:p>
            <w:pPr>
              <w:spacing w:after="0"/>
              <w:rPr>
                <w:sz w:val="18"/>
                <w:szCs w:val="18"/>
                <w:color w:val="auto"/>
              </w:rPr>
            </w:pPr>
          </w:p>
        </w:tc>
        <w:tc>
          <w:tcPr>
            <w:tcW w:w="3140" w:type="dxa"/>
            <w:vAlign w:val="bottom"/>
            <w:tcBorders>
              <w:top w:val="single" w:sz="8" w:color="1352DE"/>
              <w:bottom w:val="single" w:sz="8" w:color="1352DE"/>
            </w:tcBorders>
            <w:gridSpan w:val="2"/>
          </w:tcPr>
          <w:p>
            <w:pPr>
              <w:ind w:left="1040"/>
              <w:spacing w:after="0"/>
              <w:rPr>
                <w:sz w:val="20"/>
                <w:szCs w:val="20"/>
                <w:color w:val="auto"/>
              </w:rPr>
            </w:pPr>
            <w:r>
              <w:rPr>
                <w:rFonts w:ascii="Arial" w:cs="Arial" w:eastAsia="Arial" w:hAnsi="Arial"/>
                <w:sz w:val="14"/>
                <w:szCs w:val="14"/>
                <w:color w:val="1252DE"/>
              </w:rPr>
              <w:t>Short-Term Debt</w:t>
            </w:r>
          </w:p>
        </w:tc>
        <w:tc>
          <w:tcPr>
            <w:tcW w:w="140" w:type="dxa"/>
            <w:vAlign w:val="bottom"/>
            <w:tcBorders>
              <w:top w:val="single" w:sz="8" w:color="1352DE"/>
            </w:tcBorders>
          </w:tcPr>
          <w:p>
            <w:pPr>
              <w:spacing w:after="0"/>
              <w:rPr>
                <w:sz w:val="18"/>
                <w:szCs w:val="18"/>
                <w:color w:val="auto"/>
              </w:rPr>
            </w:pPr>
          </w:p>
        </w:tc>
        <w:tc>
          <w:tcPr>
            <w:tcW w:w="1740" w:type="dxa"/>
            <w:vAlign w:val="bottom"/>
            <w:tcBorders>
              <w:top w:val="single" w:sz="8" w:color="1352DE"/>
              <w:bottom w:val="single" w:sz="8" w:color="1352DE"/>
            </w:tcBorders>
          </w:tcPr>
          <w:p>
            <w:pPr>
              <w:spacing w:after="0"/>
              <w:rPr>
                <w:sz w:val="18"/>
                <w:szCs w:val="18"/>
                <w:color w:val="auto"/>
              </w:rPr>
            </w:pPr>
          </w:p>
        </w:tc>
        <w:tc>
          <w:tcPr>
            <w:tcW w:w="1620" w:type="dxa"/>
            <w:vAlign w:val="bottom"/>
            <w:tcBorders>
              <w:top w:val="single" w:sz="8" w:color="1352DE"/>
              <w:bottom w:val="single" w:sz="8" w:color="1352DE"/>
            </w:tcBorders>
          </w:tcPr>
          <w:p>
            <w:pPr>
              <w:ind w:left="100"/>
              <w:spacing w:after="0"/>
              <w:rPr>
                <w:sz w:val="20"/>
                <w:szCs w:val="20"/>
                <w:color w:val="auto"/>
              </w:rPr>
            </w:pPr>
            <w:r>
              <w:rPr>
                <w:rFonts w:ascii="Arial" w:cs="Arial" w:eastAsia="Arial" w:hAnsi="Arial"/>
                <w:sz w:val="14"/>
                <w:szCs w:val="14"/>
                <w:color w:val="1252DE"/>
              </w:rPr>
              <w:t>Senior Debt Rating</w:t>
            </w:r>
          </w:p>
        </w:tc>
        <w:tc>
          <w:tcPr>
            <w:tcW w:w="1520" w:type="dxa"/>
            <w:vAlign w:val="bottom"/>
            <w:tcBorders>
              <w:top w:val="single" w:sz="8" w:color="1352DE"/>
              <w:bottom w:val="single" w:sz="8" w:color="1352DE"/>
            </w:tcBorders>
          </w:tcPr>
          <w:p>
            <w:pPr>
              <w:spacing w:after="0"/>
              <w:rPr>
                <w:sz w:val="18"/>
                <w:szCs w:val="18"/>
                <w:color w:val="auto"/>
              </w:rPr>
            </w:pPr>
          </w:p>
        </w:tc>
      </w:tr>
      <w:tr>
        <w:trPr>
          <w:trHeight w:val="200"/>
        </w:trPr>
        <w:tc>
          <w:tcPr>
            <w:tcW w:w="2860" w:type="dxa"/>
            <w:vAlign w:val="bottom"/>
            <w:tcBorders>
              <w:bottom w:val="single" w:sz="8" w:color="1352DE"/>
            </w:tcBorders>
          </w:tcPr>
          <w:p>
            <w:pPr>
              <w:spacing w:after="0"/>
              <w:rPr>
                <w:sz w:val="17"/>
                <w:szCs w:val="17"/>
                <w:color w:val="auto"/>
              </w:rPr>
            </w:pPr>
          </w:p>
        </w:tc>
        <w:tc>
          <w:tcPr>
            <w:tcW w:w="1580" w:type="dxa"/>
            <w:vAlign w:val="bottom"/>
            <w:tcBorders>
              <w:bottom w:val="single" w:sz="8" w:color="1352DE"/>
            </w:tcBorders>
          </w:tcPr>
          <w:p>
            <w:pPr>
              <w:jc w:val="center"/>
              <w:spacing w:after="0"/>
              <w:rPr>
                <w:sz w:val="20"/>
                <w:szCs w:val="20"/>
                <w:color w:val="auto"/>
              </w:rPr>
            </w:pPr>
            <w:r>
              <w:rPr>
                <w:rFonts w:ascii="Arial" w:cs="Arial" w:eastAsia="Arial" w:hAnsi="Arial"/>
                <w:sz w:val="14"/>
                <w:szCs w:val="14"/>
                <w:color w:val="1252DE"/>
              </w:rPr>
              <w:t>Moody's</w:t>
            </w:r>
          </w:p>
        </w:tc>
        <w:tc>
          <w:tcPr>
            <w:tcW w:w="1700" w:type="dxa"/>
            <w:vAlign w:val="bottom"/>
            <w:tcBorders>
              <w:bottom w:val="single" w:sz="8" w:color="1352DE"/>
            </w:tcBorders>
            <w:gridSpan w:val="2"/>
          </w:tcPr>
          <w:p>
            <w:pPr>
              <w:jc w:val="center"/>
              <w:ind w:right="140"/>
              <w:spacing w:after="0"/>
              <w:rPr>
                <w:sz w:val="20"/>
                <w:szCs w:val="20"/>
                <w:color w:val="auto"/>
              </w:rPr>
            </w:pPr>
            <w:r>
              <w:rPr>
                <w:rFonts w:ascii="Arial" w:cs="Arial" w:eastAsia="Arial" w:hAnsi="Arial"/>
                <w:sz w:val="14"/>
                <w:szCs w:val="14"/>
                <w:color w:val="1252DE"/>
                <w:w w:val="99"/>
              </w:rPr>
              <w:t>S&amp;P</w:t>
            </w:r>
          </w:p>
        </w:tc>
        <w:tc>
          <w:tcPr>
            <w:tcW w:w="1740" w:type="dxa"/>
            <w:vAlign w:val="bottom"/>
            <w:tcBorders>
              <w:bottom w:val="single" w:sz="8" w:color="1352DE"/>
            </w:tcBorders>
          </w:tcPr>
          <w:p>
            <w:pPr>
              <w:jc w:val="center"/>
              <w:spacing w:after="0" w:line="200" w:lineRule="exact"/>
              <w:rPr>
                <w:sz w:val="20"/>
                <w:szCs w:val="20"/>
                <w:color w:val="auto"/>
              </w:rPr>
            </w:pPr>
            <w:r>
              <w:rPr>
                <w:rFonts w:ascii="Arial" w:cs="Arial" w:eastAsia="Arial" w:hAnsi="Arial"/>
                <w:sz w:val="14"/>
                <w:szCs w:val="14"/>
                <w:color w:val="1252DE"/>
                <w:w w:val="96"/>
              </w:rPr>
              <w:t>Moody's</w:t>
            </w:r>
            <w:r>
              <w:rPr>
                <w:rFonts w:ascii="Arial" w:cs="Arial" w:eastAsia="Arial" w:hAnsi="Arial"/>
                <w:sz w:val="18"/>
                <w:szCs w:val="18"/>
                <w:color w:val="1252DE"/>
                <w:w w:val="96"/>
                <w:vertAlign w:val="superscript"/>
              </w:rPr>
              <w:t>(a)</w:t>
            </w:r>
          </w:p>
        </w:tc>
        <w:tc>
          <w:tcPr>
            <w:tcW w:w="1620" w:type="dxa"/>
            <w:vAlign w:val="bottom"/>
            <w:tcBorders>
              <w:bottom w:val="single" w:sz="8" w:color="1352DE"/>
            </w:tcBorders>
          </w:tcPr>
          <w:p>
            <w:pPr>
              <w:jc w:val="center"/>
              <w:spacing w:after="0" w:line="200" w:lineRule="exact"/>
              <w:rPr>
                <w:sz w:val="20"/>
                <w:szCs w:val="20"/>
                <w:color w:val="auto"/>
              </w:rPr>
            </w:pPr>
            <w:r>
              <w:rPr>
                <w:rFonts w:ascii="Arial" w:cs="Arial" w:eastAsia="Arial" w:hAnsi="Arial"/>
                <w:sz w:val="14"/>
                <w:szCs w:val="14"/>
                <w:color w:val="1252DE"/>
                <w:w w:val="93"/>
              </w:rPr>
              <w:t>S&amp;P</w:t>
            </w:r>
            <w:r>
              <w:rPr>
                <w:rFonts w:ascii="Arial" w:cs="Arial" w:eastAsia="Arial" w:hAnsi="Arial"/>
                <w:sz w:val="18"/>
                <w:szCs w:val="18"/>
                <w:color w:val="1252DE"/>
                <w:w w:val="93"/>
                <w:vertAlign w:val="superscript"/>
              </w:rPr>
              <w:t>(b)</w:t>
            </w:r>
          </w:p>
        </w:tc>
        <w:tc>
          <w:tcPr>
            <w:tcW w:w="1520" w:type="dxa"/>
            <w:vAlign w:val="bottom"/>
            <w:tcBorders>
              <w:bottom w:val="single" w:sz="8" w:color="1352DE"/>
            </w:tcBorders>
          </w:tcPr>
          <w:p>
            <w:pPr>
              <w:jc w:val="center"/>
              <w:spacing w:after="0" w:line="200" w:lineRule="exact"/>
              <w:rPr>
                <w:sz w:val="20"/>
                <w:szCs w:val="20"/>
                <w:color w:val="auto"/>
              </w:rPr>
            </w:pPr>
            <w:r>
              <w:rPr>
                <w:rFonts w:ascii="Arial" w:cs="Arial" w:eastAsia="Arial" w:hAnsi="Arial"/>
                <w:sz w:val="14"/>
                <w:szCs w:val="14"/>
                <w:color w:val="1252DE"/>
                <w:w w:val="94"/>
              </w:rPr>
              <w:t>Fitch</w:t>
            </w:r>
            <w:r>
              <w:rPr>
                <w:rFonts w:ascii="Arial" w:cs="Arial" w:eastAsia="Arial" w:hAnsi="Arial"/>
                <w:sz w:val="18"/>
                <w:szCs w:val="18"/>
                <w:color w:val="1252DE"/>
                <w:w w:val="94"/>
                <w:vertAlign w:val="superscript"/>
              </w:rPr>
              <w:t>(c)</w:t>
            </w:r>
          </w:p>
        </w:tc>
      </w:tr>
      <w:tr>
        <w:trPr>
          <w:trHeight w:val="142"/>
        </w:trPr>
        <w:tc>
          <w:tcPr>
            <w:tcW w:w="2860" w:type="dxa"/>
            <w:vAlign w:val="bottom"/>
          </w:tcPr>
          <w:p>
            <w:pPr>
              <w:ind w:left="20"/>
              <w:spacing w:after="0" w:line="142" w:lineRule="exact"/>
              <w:rPr>
                <w:sz w:val="20"/>
                <w:szCs w:val="20"/>
                <w:color w:val="auto"/>
              </w:rPr>
            </w:pPr>
            <w:r>
              <w:rPr>
                <w:rFonts w:ascii="Arial" w:cs="Arial" w:eastAsia="Arial" w:hAnsi="Arial"/>
                <w:sz w:val="14"/>
                <w:szCs w:val="14"/>
                <w:b w:val="1"/>
                <w:bCs w:val="1"/>
                <w:color w:val="1252DE"/>
              </w:rPr>
              <w:t>American International Group, Inc.</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1252DE"/>
              </w:rPr>
              <w:t>P-2 (2nd of 4)</w:t>
            </w:r>
          </w:p>
        </w:tc>
        <w:tc>
          <w:tcPr>
            <w:tcW w:w="17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1252DE"/>
              </w:rPr>
              <w:t>A-2 (2nd of 5)</w:t>
            </w:r>
          </w:p>
        </w:tc>
        <w:tc>
          <w:tcPr>
            <w:tcW w:w="1740" w:type="dxa"/>
            <w:vAlign w:val="bottom"/>
          </w:tcPr>
          <w:p>
            <w:pPr>
              <w:jc w:val="center"/>
              <w:spacing w:after="0" w:line="142" w:lineRule="exact"/>
              <w:rPr>
                <w:sz w:val="20"/>
                <w:szCs w:val="20"/>
                <w:color w:val="auto"/>
              </w:rPr>
            </w:pPr>
            <w:r>
              <w:rPr>
                <w:rFonts w:ascii="Arial" w:cs="Arial" w:eastAsia="Arial" w:hAnsi="Arial"/>
                <w:sz w:val="14"/>
                <w:szCs w:val="14"/>
                <w:b w:val="1"/>
                <w:bCs w:val="1"/>
                <w:color w:val="1252DE"/>
              </w:rPr>
              <w:t xml:space="preserve">Baa1 (4th of 9) / </w:t>
            </w:r>
            <w:r>
              <w:rPr>
                <w:rFonts w:ascii="Arial" w:cs="Arial" w:eastAsia="Arial" w:hAnsi="Arial"/>
                <w:sz w:val="14"/>
                <w:szCs w:val="14"/>
                <w:b w:val="1"/>
                <w:bCs w:val="1"/>
                <w:i w:val="1"/>
                <w:iCs w:val="1"/>
                <w:color w:val="1252DE"/>
              </w:rPr>
              <w:t>Stable</w:t>
            </w:r>
          </w:p>
        </w:tc>
        <w:tc>
          <w:tcPr>
            <w:tcW w:w="1620" w:type="dxa"/>
            <w:vAlign w:val="bottom"/>
          </w:tcPr>
          <w:p>
            <w:pPr>
              <w:jc w:val="center"/>
              <w:spacing w:after="0" w:line="142" w:lineRule="exact"/>
              <w:rPr>
                <w:sz w:val="20"/>
                <w:szCs w:val="20"/>
                <w:color w:val="auto"/>
              </w:rPr>
            </w:pPr>
            <w:r>
              <w:rPr>
                <w:rFonts w:ascii="Arial" w:cs="Arial" w:eastAsia="Arial" w:hAnsi="Arial"/>
                <w:sz w:val="14"/>
                <w:szCs w:val="14"/>
                <w:b w:val="1"/>
                <w:bCs w:val="1"/>
                <w:color w:val="1252DE"/>
              </w:rPr>
              <w:t>A- (3rd of 9) /</w:t>
            </w: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1252DE"/>
              </w:rPr>
              <w:t>A- (3rd of 9) /</w:t>
            </w:r>
          </w:p>
        </w:tc>
      </w:tr>
      <w:tr>
        <w:trPr>
          <w:trHeight w:val="189"/>
        </w:trPr>
        <w:tc>
          <w:tcPr>
            <w:tcW w:w="2860" w:type="dxa"/>
            <w:vAlign w:val="bottom"/>
            <w:tcBorders>
              <w:bottom w:val="single" w:sz="8" w:color="1352DE"/>
            </w:tcBorders>
          </w:tcPr>
          <w:p>
            <w:pPr>
              <w:spacing w:after="0"/>
              <w:rPr>
                <w:sz w:val="16"/>
                <w:szCs w:val="16"/>
                <w:color w:val="auto"/>
              </w:rPr>
            </w:pPr>
          </w:p>
        </w:tc>
        <w:tc>
          <w:tcPr>
            <w:tcW w:w="1580" w:type="dxa"/>
            <w:vAlign w:val="bottom"/>
            <w:tcBorders>
              <w:bottom w:val="single" w:sz="8" w:color="1352DE"/>
            </w:tcBorders>
          </w:tcPr>
          <w:p>
            <w:pPr>
              <w:spacing w:after="0"/>
              <w:rPr>
                <w:sz w:val="16"/>
                <w:szCs w:val="16"/>
                <w:color w:val="auto"/>
              </w:rPr>
            </w:pPr>
          </w:p>
        </w:tc>
        <w:tc>
          <w:tcPr>
            <w:tcW w:w="1560" w:type="dxa"/>
            <w:vAlign w:val="bottom"/>
            <w:tcBorders>
              <w:bottom w:val="single" w:sz="8" w:color="1352DE"/>
            </w:tcBorders>
          </w:tcPr>
          <w:p>
            <w:pPr>
              <w:spacing w:after="0"/>
              <w:rPr>
                <w:sz w:val="16"/>
                <w:szCs w:val="16"/>
                <w:color w:val="auto"/>
              </w:rPr>
            </w:pPr>
          </w:p>
        </w:tc>
        <w:tc>
          <w:tcPr>
            <w:tcW w:w="140" w:type="dxa"/>
            <w:vAlign w:val="bottom"/>
            <w:tcBorders>
              <w:bottom w:val="single" w:sz="8" w:color="1352DE"/>
            </w:tcBorders>
          </w:tcPr>
          <w:p>
            <w:pPr>
              <w:spacing w:after="0"/>
              <w:rPr>
                <w:sz w:val="16"/>
                <w:szCs w:val="16"/>
                <w:color w:val="auto"/>
              </w:rPr>
            </w:pPr>
          </w:p>
        </w:tc>
        <w:tc>
          <w:tcPr>
            <w:tcW w:w="1740" w:type="dxa"/>
            <w:vAlign w:val="bottom"/>
            <w:tcBorders>
              <w:bottom w:val="single" w:sz="8" w:color="1352DE"/>
            </w:tcBorders>
          </w:tcPr>
          <w:p>
            <w:pPr>
              <w:spacing w:after="0"/>
              <w:rPr>
                <w:sz w:val="16"/>
                <w:szCs w:val="16"/>
                <w:color w:val="auto"/>
              </w:rPr>
            </w:pPr>
          </w:p>
        </w:tc>
        <w:tc>
          <w:tcPr>
            <w:tcW w:w="1620" w:type="dxa"/>
            <w:vAlign w:val="bottom"/>
            <w:tcBorders>
              <w:bottom w:val="single" w:sz="8" w:color="1352DE"/>
            </w:tcBorders>
          </w:tcPr>
          <w:p>
            <w:pPr>
              <w:jc w:val="center"/>
              <w:spacing w:after="0"/>
              <w:rPr>
                <w:sz w:val="20"/>
                <w:szCs w:val="20"/>
                <w:color w:val="auto"/>
              </w:rPr>
            </w:pPr>
            <w:r>
              <w:rPr>
                <w:rFonts w:ascii="Arial" w:cs="Arial" w:eastAsia="Arial" w:hAnsi="Arial"/>
                <w:sz w:val="14"/>
                <w:szCs w:val="14"/>
                <w:b w:val="1"/>
                <w:bCs w:val="1"/>
                <w:i w:val="1"/>
                <w:iCs w:val="1"/>
                <w:color w:val="1252DE"/>
              </w:rPr>
              <w:t>Stable</w:t>
            </w:r>
          </w:p>
        </w:tc>
        <w:tc>
          <w:tcPr>
            <w:tcW w:w="1520" w:type="dxa"/>
            <w:vAlign w:val="bottom"/>
            <w:tcBorders>
              <w:bottom w:val="single" w:sz="8" w:color="1352DE"/>
            </w:tcBorders>
          </w:tcPr>
          <w:p>
            <w:pPr>
              <w:jc w:val="center"/>
              <w:spacing w:after="0"/>
              <w:rPr>
                <w:sz w:val="20"/>
                <w:szCs w:val="20"/>
                <w:color w:val="auto"/>
              </w:rPr>
            </w:pPr>
            <w:r>
              <w:rPr>
                <w:rFonts w:ascii="Arial" w:cs="Arial" w:eastAsia="Arial" w:hAnsi="Arial"/>
                <w:sz w:val="14"/>
                <w:szCs w:val="14"/>
                <w:b w:val="1"/>
                <w:bCs w:val="1"/>
                <w:i w:val="1"/>
                <w:iCs w:val="1"/>
                <w:color w:val="1252DE"/>
              </w:rPr>
              <w:t>Stable</w:t>
            </w:r>
          </w:p>
        </w:tc>
      </w:tr>
    </w:tbl>
    <w:p>
      <w:pPr>
        <w:spacing w:after="0" w:line="131"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Moody’s appends numerical modifiers 1, 2 and 3 to the generic rating categories to show relative position within the rating categories.</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S&amp;P ratings may be modified by the addition of a plus or minus sign to show relative standing within the major rating categories.</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Fitch ratings may be modified by the addition of a plus or minus sign to show relative standing within the major rating categories.</w:t>
      </w:r>
    </w:p>
    <w:p>
      <w:pPr>
        <w:spacing w:after="0" w:line="111"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These credit ratings are current opinions of the rating agencies. They may be changed, suspended or withdrawn at any time by the rating agencies as a result of changes in, or unavailability of, information or based on other circumstances. Ratings may also be withdrawn at our request.</w:t>
      </w:r>
    </w:p>
    <w:p>
      <w:pPr>
        <w:spacing w:after="0" w:line="4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are party to some agreements that contain “ratings triggers.” Depending on the ratings maintained by one or more rating agencies, these triggers could result in (i) the termination or limitation of credit availability or a requirement for accelerated repayment, (ii) the termination of business contracts or (iii) a requirement to post collateral for the benefit of counterparties.</w:t>
      </w:r>
    </w:p>
    <w:p>
      <w:pPr>
        <w:spacing w:after="0" w:line="64"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In the event of a downgrade of our long-term senior debt ratings, certain AIG entities would be required to post additional collateral under some derivative and other transactions, or certain of the counterparties of such entities would be permitted to terminate such transactions early.</w:t>
      </w:r>
    </w:p>
    <w:p>
      <w:pPr>
        <w:spacing w:after="0" w:line="48"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actual amount of collateral that we would be required to post to counterparties in the event of such downgrades, or the aggregate amount of payments that we could be required to make, depends on market conditions, the fair value of outstanding affected transactions and other factors prevailing at the time of the downgrade.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366395</wp:posOffset>
            </wp:positionV>
            <wp:extent cx="23317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8640"/>
        <w:spacing w:after="0"/>
        <w:tabs>
          <w:tab w:leader="none" w:pos="11080" w:val="left"/>
        </w:tabs>
        <w:rPr>
          <w:sz w:val="20"/>
          <w:szCs w:val="20"/>
          <w:color w:val="auto"/>
        </w:rPr>
      </w:pPr>
      <w:r>
        <w:rPr>
          <w:rFonts w:ascii="Arial" w:cs="Arial" w:eastAsia="Arial" w:hAnsi="Arial"/>
          <w:sz w:val="12"/>
          <w:szCs w:val="12"/>
          <w:color w:val="auto"/>
        </w:rPr>
        <w:t>AIG | Third Quarter 2026 Form 10-Q</w:t>
      </w:r>
      <w:r>
        <w:rPr>
          <w:sz w:val="20"/>
          <w:szCs w:val="20"/>
          <w:color w:val="auto"/>
        </w:rPr>
        <w:tab/>
      </w:r>
      <w:r>
        <w:rPr>
          <w:rFonts w:ascii="Arial" w:cs="Arial" w:eastAsia="Arial" w:hAnsi="Arial"/>
          <w:sz w:val="9"/>
          <w:szCs w:val="9"/>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333740"/>
        </w:rPr>
        <w:t xml:space="preserve">ITEM 2 | </w:t>
      </w:r>
      <w:r>
        <w:rPr>
          <w:rFonts w:ascii="Arial" w:cs="Arial" w:eastAsia="Arial" w:hAnsi="Arial"/>
          <w:sz w:val="13"/>
          <w:szCs w:val="13"/>
          <w:b w:val="1"/>
          <w:bCs w:val="1"/>
          <w:color w:val="1252DE"/>
        </w:rPr>
        <w:t>Liquidity and Capital Resources</w:t>
      </w:r>
    </w:p>
    <w:p>
      <w:pPr>
        <w:spacing w:after="0" w:line="2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For information regarding the effects of downgrades in our credit ratings and financial strength ratings, see Part I, Item 1A. Risk Factors – Liquidity, Capital and Credit – “A downgrade by one or more of the rating agencies in the Insurer Financial Strength ratings of our insurance companies could limit their ability to write or prevent them from writing new business and impair their retention of customers and in-force business, and a downgrade in our credit ratings could adversely affect our business, results of operations, financial condition and liquidity” in the 2025 Annual Report and Note 10 to the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REGULATION AND SUPERVISION</w:t>
      </w:r>
    </w:p>
    <w:p>
      <w:pPr>
        <w:spacing w:after="0" w:line="119"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i w:val="1"/>
          <w:iCs w:val="1"/>
          <w:color w:val="auto"/>
        </w:rPr>
        <w:t>For a discussion of our regulation and supervision by different regulatory authorities in the United States and abroad, including with respect to our liquidity and capital resources, see Part I, Item 1. Business – Regulation and Part I, Item 1A. Risk Factors – Regulation in the 2025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DIVIDENDS</w:t>
      </w:r>
    </w:p>
    <w:p>
      <w:pPr>
        <w:spacing w:after="0" w:line="104"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On November 3, 2026, our Board of Directors (the Board) declared a cash dividend on AIG Common Stock of $0.50 per share, payable on December 30, 2026 to shareholders of record as of December 16, 2026.</w:t>
      </w:r>
    </w:p>
    <w:p>
      <w:pPr>
        <w:spacing w:after="0" w:line="102"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 xml:space="preserve">The payment of any future dividends will be at the discretion of the Board and will depend on various factors. </w:t>
      </w:r>
      <w:r>
        <w:rPr>
          <w:rFonts w:ascii="Arial" w:cs="Arial" w:eastAsia="Arial" w:hAnsi="Arial"/>
          <w:sz w:val="16"/>
          <w:szCs w:val="16"/>
          <w:i w:val="1"/>
          <w:iCs w:val="1"/>
          <w:color w:val="auto"/>
        </w:rPr>
        <w:t>For further detail on our dividends, see Note 13</w:t>
      </w:r>
      <w:r>
        <w:rPr>
          <w:rFonts w:ascii="Arial" w:cs="Arial" w:eastAsia="Arial" w:hAnsi="Arial"/>
          <w:sz w:val="16"/>
          <w:szCs w:val="16"/>
          <w:color w:val="auto"/>
        </w:rPr>
        <w:t xml:space="preserve"> </w:t>
      </w:r>
      <w:r>
        <w:rPr>
          <w:rFonts w:ascii="Arial" w:cs="Arial" w:eastAsia="Arial" w:hAnsi="Arial"/>
          <w:sz w:val="16"/>
          <w:szCs w:val="16"/>
          <w:i w:val="1"/>
          <w:iCs w:val="1"/>
          <w:color w:val="auto"/>
        </w:rPr>
        <w:t>to the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REPURCHASES OF AIG COMMON STOCK</w:t>
      </w:r>
    </w:p>
    <w:p>
      <w:pPr>
        <w:spacing w:after="0" w:line="11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Board has authorized the repurchase of shares of AIG Common Stock and as of October 29, 2026, $2.1 billion remained under the Board's authorization. During the nine months ended September 30, 2026, AIG Parent repurchased approximately 22 million shares of AIG Common Stock for an aggregate purchase price of $1.7 billion. Pursuant to a Rule 10b5-1 plan, from October 1, 2026 to October 29, 2026, AIG Parent repurchased approximately 1 million shares of AIG Common Stock for an aggregate purchase price of approximately $88 million.</w:t>
      </w:r>
    </w:p>
    <w:p>
      <w:pPr>
        <w:spacing w:after="0" w:line="67"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The timing of any future share repurchases will depend on market conditions, our business and strategic plans, financial condition, results of operations, liquidity and other factors, as discussed further in Note 13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234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7"/>
          <w:szCs w:val="27"/>
          <w:color w:val="001871"/>
        </w:rPr>
        <w:t>Enterprise Risk Management</w:t>
      </w:r>
    </w:p>
    <w:p>
      <w:pPr>
        <w:spacing w:after="0" w:line="229"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 xml:space="preserve">Risk management is an integral part of our business strategy and a key element of our approach to corporate governance. We have an integrated process for managing risks throughout our organization in accordance with our firm-wide risk appetite. Our Board of Directors has oversight responsibility for the management of risk. Our Enterprise Risk Management (ERM) Department oversees and integrates the risk management functions in our business and embeds risk management in our day-to-day business processes, providing senior management with a consolidated view of AIG’s major risk positions. Nevertheless, our risk management efforts may not always be successful and material adverse effects on our business, results of operations, cash flows, liquidity or financial condition may occur. </w:t>
      </w:r>
      <w:r>
        <w:rPr>
          <w:rFonts w:ascii="Arial" w:cs="Arial" w:eastAsia="Arial" w:hAnsi="Arial"/>
          <w:sz w:val="16"/>
          <w:szCs w:val="16"/>
          <w:i w:val="1"/>
          <w:iCs w:val="1"/>
          <w:color w:val="auto"/>
        </w:rPr>
        <w:t>For further information regarding the risks associated with our business and operations, see Part I, 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in the 2025 Annual Report.</w:t>
      </w:r>
    </w:p>
    <w:p>
      <w:pPr>
        <w:spacing w:after="0" w:line="7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AIG employs a Three Lines model. AIG’s business leaders assume full accountability for the risks and controls in their segments and functions, and ERM and other second line functions have review, challenge and oversight function. The third line consists of our Internal Audit Group that provides independent assurance to AIG’s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additional information on AIG’s risk management program, see Part II, Item 7. MD&amp;A ─ Enterprise Risk Management in the 2025 Annual Report.</w:t>
      </w:r>
    </w:p>
    <w:p>
      <w:pPr>
        <w:spacing w:after="0" w:line="1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The scope and magnitude of our market risk exposures is managed under a robust framework that contains defined risk limits and minimum standards for managing market risk in a manner consistent with our risk appetite statement. As of September 30, 2026, there have been no material changes in our market risk exposures, which may be found in </w:t>
      </w:r>
      <w:r>
        <w:rPr>
          <w:rFonts w:ascii="Arial" w:cs="Arial" w:eastAsia="Arial" w:hAnsi="Arial"/>
          <w:sz w:val="16"/>
          <w:szCs w:val="16"/>
          <w:i w:val="1"/>
          <w:iCs w:val="1"/>
          <w:color w:val="auto"/>
        </w:rPr>
        <w:t>Part II, Item 7. MD&amp;A ─ Enterprise Risk Management in the 2025 Annual Report. See Part I, 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in the 2025 Annual Report on how difficult conditions in the financial markets and the economy generally may materially adversely affect our business and results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24771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760" w:hanging="734"/>
        <w:spacing w:after="0"/>
        <w:tabs>
          <w:tab w:leader="none" w:pos="760" w:val="left"/>
        </w:tabs>
        <w:numPr>
          <w:ilvl w:val="0"/>
          <w:numId w:val="117"/>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1252DE"/>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234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Glossary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Accident year </w:t>
      </w:r>
      <w:r>
        <w:rPr>
          <w:rFonts w:ascii="Arial" w:cs="Arial" w:eastAsia="Arial" w:hAnsi="Arial"/>
          <w:sz w:val="16"/>
          <w:szCs w:val="16"/>
          <w:color w:val="000000"/>
        </w:rPr>
        <w:t>The annual calendar accounting period in which loss events occurred, regardless of when the losses are actually reported, booked or paid.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Accident year combined ratio, as adjusted (Accident year combined ratio, ex-CAT) </w:t>
      </w:r>
      <w:r>
        <w:rPr>
          <w:rFonts w:ascii="Arial" w:cs="Arial" w:eastAsia="Arial" w:hAnsi="Arial"/>
          <w:sz w:val="16"/>
          <w:szCs w:val="16"/>
          <w:color w:val="000000"/>
        </w:rPr>
        <w:t>The combined ratio excluding catastrophe losses and related</w:t>
      </w:r>
    </w:p>
    <w:p>
      <w:pPr>
        <w:spacing w:after="0" w:line="35" w:lineRule="exact"/>
        <w:rPr>
          <w:sz w:val="20"/>
          <w:szCs w:val="20"/>
          <w:color w:val="auto"/>
        </w:rPr>
      </w:pPr>
    </w:p>
    <w:p>
      <w:pPr>
        <w:ind w:right="760"/>
        <w:spacing w:after="0" w:line="265" w:lineRule="auto"/>
        <w:rPr>
          <w:sz w:val="20"/>
          <w:szCs w:val="20"/>
          <w:color w:val="auto"/>
        </w:rPr>
      </w:pPr>
      <w:r>
        <w:rPr>
          <w:rFonts w:ascii="Arial" w:cs="Arial" w:eastAsia="Arial" w:hAnsi="Arial"/>
          <w:sz w:val="16"/>
          <w:szCs w:val="16"/>
          <w:color w:val="auto"/>
        </w:rPr>
        <w:t>reinstatement premiums, net of reinsurance, and prior year development, net of prior year premiums, net of reinsurance, and the impact of reserve discounting.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Accident year loss ratio, as adjusted (Accident year loss ratio, ex-CAT) </w:t>
      </w:r>
      <w:r>
        <w:rPr>
          <w:rFonts w:ascii="Arial" w:cs="Arial" w:eastAsia="Arial" w:hAnsi="Arial"/>
          <w:sz w:val="16"/>
          <w:szCs w:val="16"/>
          <w:color w:val="000000"/>
        </w:rPr>
        <w:t>The loss ratio excluding catastrophe losses and related reinstatement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premiums, net of reinsurance, and prior year development, net of prior year premiums, net of reinsurance, and the impact of reserve discounting.</w:t>
      </w:r>
    </w:p>
    <w:p>
      <w:pPr>
        <w:spacing w:after="0" w:line="9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color w:val="001770"/>
        </w:rPr>
        <w:t xml:space="preserve">Acquisition ratio </w:t>
      </w:r>
      <w:r>
        <w:rPr>
          <w:rFonts w:ascii="Arial" w:cs="Arial" w:eastAsia="Arial" w:hAnsi="Arial"/>
          <w:sz w:val="16"/>
          <w:szCs w:val="16"/>
          <w:color w:val="000000"/>
        </w:rPr>
        <w:t>Acquisition costs divided by net premiums earned. Acquisition costs are those costs incurred to acquire new and renewal insurance</w:t>
      </w:r>
      <w:r>
        <w:rPr>
          <w:rFonts w:ascii="Arial" w:cs="Arial" w:eastAsia="Arial" w:hAnsi="Arial"/>
          <w:sz w:val="16"/>
          <w:szCs w:val="16"/>
          <w:b w:val="1"/>
          <w:bCs w:val="1"/>
          <w:color w:val="001770"/>
        </w:rPr>
        <w:t xml:space="preserve"> </w:t>
      </w:r>
      <w:r>
        <w:rPr>
          <w:rFonts w:ascii="Arial" w:cs="Arial" w:eastAsia="Arial" w:hAnsi="Arial"/>
          <w:sz w:val="16"/>
          <w:szCs w:val="16"/>
          <w:color w:val="000000"/>
        </w:rPr>
        <w:t>contracts and also include the amortization of VOBA and DAC. Acquisition costs vary with sales and include, but are not limited to, commissions, premium taxes, direct marketing costs and certain costs of personnel engaged in sales support activities such as underwriting.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Attritional losses </w:t>
      </w:r>
      <w:r>
        <w:rPr>
          <w:rFonts w:ascii="Arial" w:cs="Arial" w:eastAsia="Arial" w:hAnsi="Arial"/>
          <w:sz w:val="16"/>
          <w:szCs w:val="16"/>
          <w:color w:val="000000"/>
        </w:rPr>
        <w:t>are losses recorded in the current accident year, which are not catastrophe losses.</w:t>
      </w:r>
    </w:p>
    <w:p>
      <w:pPr>
        <w:spacing w:after="0" w:line="12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color w:val="001871"/>
        </w:rPr>
        <w:t xml:space="preserve">Book value per share, excluding Investments AOCI, deferred tax assets (DTA) and AIG’s ownership interest in Corebridge (Core operating book value per share) </w:t>
      </w:r>
      <w:r>
        <w:rPr>
          <w:rFonts w:ascii="Arial" w:cs="Arial" w:eastAsia="Arial" w:hAnsi="Arial"/>
          <w:sz w:val="16"/>
          <w:szCs w:val="16"/>
          <w:color w:val="000000"/>
        </w:rPr>
        <w:t>is used to show the amount of our net worth on a per share basis after eliminating Investments AOCI, DTA and AIG’s ownership interest in</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Corebridge. We believe this measure is useful to investors because it eliminates the fair value of investments that can fluctuate significantly from period to period due to changes in market conditions. We also exclude the portion of DTA representing U.S. tax attributes related to net operating loss carryforwards (NOLs), corporate alternative minimum tax credits (CAMTCs) and foreign tax credits (FTCs) that have not yet been utilized. Amounts for interim periods are estimates based on projections of full-year attribute utilization. As NOLs, CAMTCs and FTCs are utilized, the corresponding portion of the DTA utilized is included. We exclude AIG’s ownership interest in Corebridge since it is not a core long-term investment for AIG. Core operating book value per share is derived by dividing total AIG common shareholders’ equity, excluding Investments AOCI, DTA and AIG’s ownership interest in Corebridge (AIG core operating shareholders’ equity) by total common shares outstanding.</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1871"/>
        </w:rPr>
        <w:t>Book value per share, excluding investments related cumulative unrealized gains and losses recorded in Accumulated other comprehensive</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001871"/>
        </w:rPr>
        <w:t xml:space="preserve">income (loss) (AOCI) adjusted for the cumulative unrealized gains and losses related to Fortitude Re funds withheld assets (collectively, Investments AOCI) (Adjusted book value per share) </w:t>
      </w:r>
      <w:r>
        <w:rPr>
          <w:rFonts w:ascii="Arial" w:cs="Arial" w:eastAsia="Arial" w:hAnsi="Arial"/>
          <w:sz w:val="16"/>
          <w:szCs w:val="16"/>
          <w:color w:val="000000"/>
        </w:rPr>
        <w:t>is used to show the amount of our net worth on a per share basis after eliminating the fair value of</w:t>
      </w:r>
      <w:r>
        <w:rPr>
          <w:rFonts w:ascii="Arial" w:cs="Arial" w:eastAsia="Arial" w:hAnsi="Arial"/>
          <w:sz w:val="16"/>
          <w:szCs w:val="16"/>
          <w:b w:val="1"/>
          <w:bCs w:val="1"/>
          <w:color w:val="001871"/>
        </w:rPr>
        <w:t xml:space="preserve"> </w:t>
      </w:r>
      <w:r>
        <w:rPr>
          <w:rFonts w:ascii="Arial" w:cs="Arial" w:eastAsia="Arial" w:hAnsi="Arial"/>
          <w:sz w:val="16"/>
          <w:szCs w:val="16"/>
          <w:color w:val="000000"/>
        </w:rPr>
        <w:t>investments that can fluctuate significantly from period to period due to changes in market conditions. In addition, we adjust for the cumulative unrealized gains and losses related to Fortitude Re funds withheld assets since these fair value movements are economically transferred to Fortitude Re. Adjusted book value per share is derived by dividing total AIG common shareholders’ equity, excluding Investments AOCI (AIG adjusted common shareholders' equity) by total common shares outstanding.</w:t>
      </w:r>
    </w:p>
    <w:p>
      <w:pPr>
        <w:spacing w:after="0" w:line="7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001770"/>
        </w:rPr>
        <w:t xml:space="preserve">Casualty insurance </w:t>
      </w:r>
      <w:r>
        <w:rPr>
          <w:rFonts w:ascii="Arial" w:cs="Arial" w:eastAsia="Arial" w:hAnsi="Arial"/>
          <w:sz w:val="16"/>
          <w:szCs w:val="16"/>
          <w:color w:val="000000"/>
        </w:rPr>
        <w:t>Insurance that is primarily associated with the losses caused by injuries to third persons, i.e., not the insured, and the legal liability</w:t>
      </w:r>
      <w:r>
        <w:rPr>
          <w:rFonts w:ascii="Arial" w:cs="Arial" w:eastAsia="Arial" w:hAnsi="Arial"/>
          <w:sz w:val="16"/>
          <w:szCs w:val="16"/>
          <w:b w:val="1"/>
          <w:bCs w:val="1"/>
          <w:color w:val="001770"/>
        </w:rPr>
        <w:t xml:space="preserve"> </w:t>
      </w:r>
      <w:r>
        <w:rPr>
          <w:rFonts w:ascii="Arial" w:cs="Arial" w:eastAsia="Arial" w:hAnsi="Arial"/>
          <w:sz w:val="16"/>
          <w:szCs w:val="16"/>
          <w:color w:val="000000"/>
        </w:rPr>
        <w:t>imposed on the insured as a result.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Combined ratio </w:t>
      </w:r>
      <w:r>
        <w:rPr>
          <w:rFonts w:ascii="Arial" w:cs="Arial" w:eastAsia="Arial" w:hAnsi="Arial"/>
          <w:sz w:val="16"/>
          <w:szCs w:val="16"/>
          <w:color w:val="000000"/>
        </w:rPr>
        <w:t>Sum of the loss ratio and the acquisition and general operating expense ratios.</w:t>
      </w:r>
    </w:p>
    <w:p>
      <w:pPr>
        <w:spacing w:after="0" w:line="113"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b w:val="1"/>
          <w:bCs w:val="1"/>
          <w:color w:val="001770"/>
        </w:rPr>
        <w:t xml:space="preserve">Credit Support Annex </w:t>
      </w:r>
      <w:r>
        <w:rPr>
          <w:rFonts w:ascii="Arial" w:cs="Arial" w:eastAsia="Arial" w:hAnsi="Arial"/>
          <w:sz w:val="16"/>
          <w:szCs w:val="16"/>
          <w:color w:val="000000"/>
        </w:rPr>
        <w:t>A legal document generally associated with an ISDA Master Agreement that provides for collateral postings which could vary</w:t>
      </w:r>
      <w:r>
        <w:rPr>
          <w:rFonts w:ascii="Arial" w:cs="Arial" w:eastAsia="Arial" w:hAnsi="Arial"/>
          <w:sz w:val="16"/>
          <w:szCs w:val="16"/>
          <w:b w:val="1"/>
          <w:bCs w:val="1"/>
          <w:color w:val="001770"/>
        </w:rPr>
        <w:t xml:space="preserve"> </w:t>
      </w:r>
      <w:r>
        <w:rPr>
          <w:rFonts w:ascii="Arial" w:cs="Arial" w:eastAsia="Arial" w:hAnsi="Arial"/>
          <w:sz w:val="16"/>
          <w:szCs w:val="16"/>
          <w:color w:val="000000"/>
        </w:rPr>
        <w:t>depending on ratings and threshold levels.</w:t>
      </w:r>
    </w:p>
    <w:p>
      <w:pPr>
        <w:spacing w:after="0" w:line="3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001770"/>
        </w:rPr>
        <w:t xml:space="preserve">DAC </w:t>
      </w:r>
      <w:r>
        <w:rPr>
          <w:rFonts w:ascii="Arial" w:cs="Arial" w:eastAsia="Arial" w:hAnsi="Arial"/>
          <w:sz w:val="16"/>
          <w:szCs w:val="16"/>
          <w:i w:val="1"/>
          <w:iCs w:val="1"/>
          <w:color w:val="000000"/>
        </w:rPr>
        <w:t>Deferred Policy Acquisition Costs</w:t>
      </w:r>
      <w:r>
        <w:rPr>
          <w:rFonts w:ascii="Arial" w:cs="Arial" w:eastAsia="Arial" w:hAnsi="Arial"/>
          <w:sz w:val="16"/>
          <w:szCs w:val="16"/>
          <w:b w:val="1"/>
          <w:bCs w:val="1"/>
          <w:color w:val="001770"/>
        </w:rPr>
        <w:t xml:space="preserve"> </w:t>
      </w:r>
      <w:r>
        <w:rPr>
          <w:rFonts w:ascii="Arial" w:cs="Arial" w:eastAsia="Arial" w:hAnsi="Arial"/>
          <w:sz w:val="16"/>
          <w:szCs w:val="16"/>
          <w:color w:val="000000"/>
        </w:rPr>
        <w:t>Deferred costs that are incremental and directly related to the successful acquisition of new business or renewal of</w:t>
      </w:r>
      <w:r>
        <w:rPr>
          <w:rFonts w:ascii="Arial" w:cs="Arial" w:eastAsia="Arial" w:hAnsi="Arial"/>
          <w:sz w:val="16"/>
          <w:szCs w:val="16"/>
          <w:b w:val="1"/>
          <w:bCs w:val="1"/>
          <w:color w:val="001770"/>
        </w:rPr>
        <w:t xml:space="preserve"> </w:t>
      </w:r>
      <w:r>
        <w:rPr>
          <w:rFonts w:ascii="Arial" w:cs="Arial" w:eastAsia="Arial" w:hAnsi="Arial"/>
          <w:sz w:val="16"/>
          <w:szCs w:val="16"/>
          <w:color w:val="000000"/>
        </w:rPr>
        <w:t>existing business.</w:t>
      </w:r>
    </w:p>
    <w:p>
      <w:pPr>
        <w:spacing w:after="0" w:line="61"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b w:val="1"/>
          <w:bCs w:val="1"/>
          <w:color w:val="001770"/>
        </w:rPr>
        <w:t xml:space="preserve">Deferred gain on retroactive reinsurance </w:t>
      </w:r>
      <w:r>
        <w:rPr>
          <w:rFonts w:ascii="Arial" w:cs="Arial" w:eastAsia="Arial" w:hAnsi="Arial"/>
          <w:sz w:val="16"/>
          <w:szCs w:val="16"/>
          <w:color w:val="000000"/>
        </w:rPr>
        <w:t>Retroactive reinsurance is a reinsurance contract in which an assuming entity agrees to reimburse a ceding</w:t>
      </w:r>
      <w:r>
        <w:rPr>
          <w:rFonts w:ascii="Arial" w:cs="Arial" w:eastAsia="Arial" w:hAnsi="Arial"/>
          <w:sz w:val="16"/>
          <w:szCs w:val="16"/>
          <w:b w:val="1"/>
          <w:bCs w:val="1"/>
          <w:color w:val="001770"/>
        </w:rPr>
        <w:t xml:space="preserve"> </w:t>
      </w:r>
      <w:r>
        <w:rPr>
          <w:rFonts w:ascii="Arial" w:cs="Arial" w:eastAsia="Arial" w:hAnsi="Arial"/>
          <w:sz w:val="16"/>
          <w:szCs w:val="16"/>
          <w:color w:val="000000"/>
        </w:rPr>
        <w:t>entity for liabilities incurred as a result of past insurable events. If the amount of premium paid by the ceding reinsurer is less than the related ceded loss reserves, the resulting gain is deferred and amortized over the settlement period of the reserves. Any related development on the ceded loss reserves recoverable under the contract would increase the deferred gain if unfavorable, or decrease the deferred gain if favorable.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Expense ratio </w:t>
      </w:r>
      <w:r>
        <w:rPr>
          <w:rFonts w:ascii="Arial" w:cs="Arial" w:eastAsia="Arial" w:hAnsi="Arial"/>
          <w:sz w:val="16"/>
          <w:szCs w:val="16"/>
          <w:color w:val="000000"/>
        </w:rPr>
        <w:t>Sum of acquisition expenses and general operating expenses, divided by net premiums earned.</w:t>
      </w:r>
    </w:p>
    <w:p>
      <w:pPr>
        <w:spacing w:after="0" w:line="127"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b w:val="1"/>
          <w:bCs w:val="1"/>
          <w:color w:val="001770"/>
        </w:rPr>
        <w:t xml:space="preserve">General operating expense ratio </w:t>
      </w:r>
      <w:r>
        <w:rPr>
          <w:rFonts w:ascii="Arial" w:cs="Arial" w:eastAsia="Arial" w:hAnsi="Arial"/>
          <w:sz w:val="16"/>
          <w:szCs w:val="16"/>
          <w:color w:val="000000"/>
        </w:rPr>
        <w:t>General operating expenses divided by net premiums earned. General operating expenses are those costs that are</w:t>
      </w:r>
      <w:r>
        <w:rPr>
          <w:rFonts w:ascii="Arial" w:cs="Arial" w:eastAsia="Arial" w:hAnsi="Arial"/>
          <w:sz w:val="16"/>
          <w:szCs w:val="16"/>
          <w:b w:val="1"/>
          <w:bCs w:val="1"/>
          <w:color w:val="001770"/>
        </w:rPr>
        <w:t xml:space="preserve"> </w:t>
      </w:r>
      <w:r>
        <w:rPr>
          <w:rFonts w:ascii="Arial" w:cs="Arial" w:eastAsia="Arial" w:hAnsi="Arial"/>
          <w:sz w:val="16"/>
          <w:szCs w:val="16"/>
          <w:color w:val="000000"/>
        </w:rPr>
        <w:t>generally attributed to the support infrastructure of the organization and include but are not limited to personnel costs, projects and bad debt expenses. General operating expenses exclude losses and loss adjustment expenses incurred, acquisition expenses, and investment expenses.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IBNR </w:t>
      </w:r>
      <w:r>
        <w:rPr>
          <w:rFonts w:ascii="Arial" w:cs="Arial" w:eastAsia="Arial" w:hAnsi="Arial"/>
          <w:sz w:val="16"/>
          <w:szCs w:val="16"/>
          <w:i w:val="1"/>
          <w:iCs w:val="1"/>
          <w:color w:val="000000"/>
        </w:rPr>
        <w:t>Incurred But Not Reported</w:t>
      </w:r>
      <w:r>
        <w:rPr>
          <w:rFonts w:ascii="Arial" w:cs="Arial" w:eastAsia="Arial" w:hAnsi="Arial"/>
          <w:sz w:val="16"/>
          <w:szCs w:val="16"/>
          <w:b w:val="1"/>
          <w:bCs w:val="1"/>
          <w:color w:val="001770"/>
        </w:rPr>
        <w:t xml:space="preserve"> </w:t>
      </w:r>
      <w:r>
        <w:rPr>
          <w:rFonts w:ascii="Arial" w:cs="Arial" w:eastAsia="Arial" w:hAnsi="Arial"/>
          <w:sz w:val="16"/>
          <w:szCs w:val="16"/>
          <w:color w:val="000000"/>
        </w:rPr>
        <w:t>Estimates of claims that have been incurred but not reported to 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73</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1252DE"/>
        </w:rPr>
        <w:t>Glossary</w:t>
      </w:r>
    </w:p>
    <w:p>
      <w:pPr>
        <w:spacing w:after="0" w:line="27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color w:val="001770"/>
        </w:rPr>
        <w:t xml:space="preserve">ISDA Master Agreement </w:t>
      </w:r>
      <w:r>
        <w:rPr>
          <w:rFonts w:ascii="Arial" w:cs="Arial" w:eastAsia="Arial" w:hAnsi="Arial"/>
          <w:sz w:val="16"/>
          <w:szCs w:val="16"/>
          <w:color w:val="000000"/>
        </w:rPr>
        <w:t>An agreement between two counterparties, which may have multiple derivative transactions with each other governed by such</w:t>
      </w:r>
      <w:r>
        <w:rPr>
          <w:rFonts w:ascii="Arial" w:cs="Arial" w:eastAsia="Arial" w:hAnsi="Arial"/>
          <w:sz w:val="16"/>
          <w:szCs w:val="16"/>
          <w:b w:val="1"/>
          <w:bCs w:val="1"/>
          <w:color w:val="001770"/>
        </w:rPr>
        <w:t xml:space="preserve"> </w:t>
      </w:r>
      <w:r>
        <w:rPr>
          <w:rFonts w:ascii="Arial" w:cs="Arial" w:eastAsia="Arial" w:hAnsi="Arial"/>
          <w:sz w:val="16"/>
          <w:szCs w:val="16"/>
          <w:color w:val="000000"/>
        </w:rPr>
        <w:t>agreement, that generally provides for the net settlement of all or a specified group of these derivative transactions, as well as pledged collateral, through a single payment, in a single currency, in the event of a default on, or affecting any, one derivative transaction or a termination event affecting all, or a specified group of, derivative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Loan-to-value ratio </w:t>
      </w:r>
      <w:r>
        <w:rPr>
          <w:rFonts w:ascii="Arial" w:cs="Arial" w:eastAsia="Arial" w:hAnsi="Arial"/>
          <w:sz w:val="16"/>
          <w:szCs w:val="16"/>
          <w:color w:val="000000"/>
        </w:rPr>
        <w:t>Principal amount of loan amount divided by appraised value of collateral securing the loan.</w:t>
      </w:r>
    </w:p>
    <w:p>
      <w:pPr>
        <w:spacing w:after="0" w:line="12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001871"/>
        </w:rPr>
        <w:t xml:space="preserve">Loss adjustment expenses </w:t>
      </w:r>
      <w:r>
        <w:rPr>
          <w:rFonts w:ascii="Arial" w:cs="Arial" w:eastAsia="Arial" w:hAnsi="Arial"/>
          <w:sz w:val="16"/>
          <w:szCs w:val="16"/>
          <w:color w:val="000000"/>
        </w:rPr>
        <w:t>The expenses directly attributed to settling and paying claims of insureds and include, but are not limited to, legal fees,</w:t>
      </w:r>
      <w:r>
        <w:rPr>
          <w:rFonts w:ascii="Arial" w:cs="Arial" w:eastAsia="Arial" w:hAnsi="Arial"/>
          <w:sz w:val="16"/>
          <w:szCs w:val="16"/>
          <w:b w:val="1"/>
          <w:bCs w:val="1"/>
          <w:color w:val="001871"/>
        </w:rPr>
        <w:t xml:space="preserve"> </w:t>
      </w:r>
      <w:r>
        <w:rPr>
          <w:rFonts w:ascii="Arial" w:cs="Arial" w:eastAsia="Arial" w:hAnsi="Arial"/>
          <w:sz w:val="16"/>
          <w:szCs w:val="16"/>
          <w:color w:val="000000"/>
        </w:rPr>
        <w:t>adjuster’s fees and the portion of general expenses allocated to claim settlement costs.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Loss ratio </w:t>
      </w:r>
      <w:r>
        <w:rPr>
          <w:rFonts w:ascii="Arial" w:cs="Arial" w:eastAsia="Arial" w:hAnsi="Arial"/>
          <w:sz w:val="16"/>
          <w:szCs w:val="16"/>
          <w:color w:val="000000"/>
        </w:rPr>
        <w:t>Losses and loss adjustment expenses incurred divided by net premiums earned.</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001770"/>
        </w:rPr>
        <w:t xml:space="preserve">Loss reserve development </w:t>
      </w:r>
      <w:r>
        <w:rPr>
          <w:rFonts w:ascii="Arial" w:cs="Arial" w:eastAsia="Arial" w:hAnsi="Arial"/>
          <w:sz w:val="16"/>
          <w:szCs w:val="16"/>
          <w:color w:val="000000"/>
        </w:rPr>
        <w:t>The increase or decrease in incurred losses and loss adjustment expenses related to prior years as a result of the re-estimation</w:t>
      </w:r>
      <w:r>
        <w:rPr>
          <w:rFonts w:ascii="Arial" w:cs="Arial" w:eastAsia="Arial" w:hAnsi="Arial"/>
          <w:sz w:val="16"/>
          <w:szCs w:val="16"/>
          <w:b w:val="1"/>
          <w:bCs w:val="1"/>
          <w:color w:val="001770"/>
        </w:rPr>
        <w:t xml:space="preserve"> </w:t>
      </w:r>
      <w:r>
        <w:rPr>
          <w:rFonts w:ascii="Arial" w:cs="Arial" w:eastAsia="Arial" w:hAnsi="Arial"/>
          <w:sz w:val="16"/>
          <w:szCs w:val="16"/>
          <w:color w:val="000000"/>
        </w:rPr>
        <w:t>of loss reserves at successive valuation dates for a given group of claims.</w:t>
      </w:r>
    </w:p>
    <w:p>
      <w:pPr>
        <w:spacing w:after="0" w:line="6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001770"/>
        </w:rPr>
        <w:t xml:space="preserve">Loss reserves </w:t>
      </w:r>
      <w:r>
        <w:rPr>
          <w:rFonts w:ascii="Arial" w:cs="Arial" w:eastAsia="Arial" w:hAnsi="Arial"/>
          <w:sz w:val="16"/>
          <w:szCs w:val="16"/>
          <w:color w:val="000000"/>
        </w:rPr>
        <w:t>Liability for unpaid losses and loss adjustment expenses. The estimated ultimate cost of settling claims relating to insured events that have</w:t>
      </w:r>
      <w:r>
        <w:rPr>
          <w:rFonts w:ascii="Arial" w:cs="Arial" w:eastAsia="Arial" w:hAnsi="Arial"/>
          <w:sz w:val="16"/>
          <w:szCs w:val="16"/>
          <w:b w:val="1"/>
          <w:bCs w:val="1"/>
          <w:color w:val="001770"/>
        </w:rPr>
        <w:t xml:space="preserve"> </w:t>
      </w:r>
      <w:r>
        <w:rPr>
          <w:rFonts w:ascii="Arial" w:cs="Arial" w:eastAsia="Arial" w:hAnsi="Arial"/>
          <w:sz w:val="16"/>
          <w:szCs w:val="16"/>
          <w:color w:val="000000"/>
        </w:rPr>
        <w:t>occurred on or before the balance sheet date, whether or not reported to the insurer at that date.</w:t>
      </w:r>
    </w:p>
    <w:p>
      <w:pPr>
        <w:spacing w:after="0" w:line="4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color w:val="001770"/>
        </w:rPr>
        <w:t xml:space="preserve">Master netting agreement </w:t>
      </w:r>
      <w:r>
        <w:rPr>
          <w:rFonts w:ascii="Arial" w:cs="Arial" w:eastAsia="Arial" w:hAnsi="Arial"/>
          <w:sz w:val="16"/>
          <w:szCs w:val="16"/>
          <w:color w:val="000000"/>
        </w:rPr>
        <w:t>An agreement between two counterparties who have multiple derivative contracts with each other that provides for the net</w:t>
      </w:r>
      <w:r>
        <w:rPr>
          <w:rFonts w:ascii="Arial" w:cs="Arial" w:eastAsia="Arial" w:hAnsi="Arial"/>
          <w:sz w:val="16"/>
          <w:szCs w:val="16"/>
          <w:b w:val="1"/>
          <w:bCs w:val="1"/>
          <w:color w:val="001770"/>
        </w:rPr>
        <w:t xml:space="preserve"> </w:t>
      </w:r>
      <w:r>
        <w:rPr>
          <w:rFonts w:ascii="Arial" w:cs="Arial" w:eastAsia="Arial" w:hAnsi="Arial"/>
          <w:sz w:val="16"/>
          <w:szCs w:val="16"/>
          <w:color w:val="000000"/>
        </w:rPr>
        <w:t>settlement of all contracts covered by such agreement, as well as pledged collateral, through a single payment, in a single currency, in the event of default on or upon termination of any one such contract.</w:t>
      </w:r>
    </w:p>
    <w:p>
      <w:pPr>
        <w:spacing w:after="0" w:line="5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b w:val="1"/>
          <w:bCs w:val="1"/>
          <w:color w:val="001770"/>
        </w:rPr>
        <w:t xml:space="preserve">Natural catastrophe losses </w:t>
      </w:r>
      <w:r>
        <w:rPr>
          <w:rFonts w:ascii="Arial" w:cs="Arial" w:eastAsia="Arial" w:hAnsi="Arial"/>
          <w:sz w:val="16"/>
          <w:szCs w:val="16"/>
          <w:color w:val="000000"/>
        </w:rPr>
        <w:t>are generally weather or seismic events having a net impact on AIG in excess of $10 million each and man-made catastrophe</w:t>
      </w:r>
      <w:r>
        <w:rPr>
          <w:rFonts w:ascii="Arial" w:cs="Arial" w:eastAsia="Arial" w:hAnsi="Arial"/>
          <w:sz w:val="16"/>
          <w:szCs w:val="16"/>
          <w:b w:val="1"/>
          <w:bCs w:val="1"/>
          <w:color w:val="001770"/>
        </w:rPr>
        <w:t xml:space="preserve"> </w:t>
      </w:r>
      <w:r>
        <w:rPr>
          <w:rFonts w:ascii="Arial" w:cs="Arial" w:eastAsia="Arial" w:hAnsi="Arial"/>
          <w:sz w:val="16"/>
          <w:szCs w:val="16"/>
          <w:color w:val="000000"/>
        </w:rPr>
        <w:t>losses, such as terrorism and civil unrest that exceed the $10 million threshold.</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001770"/>
        </w:rPr>
        <w:t xml:space="preserve">Net premiums written </w:t>
      </w:r>
      <w:r>
        <w:rPr>
          <w:rFonts w:ascii="Arial" w:cs="Arial" w:eastAsia="Arial" w:hAnsi="Arial"/>
          <w:sz w:val="16"/>
          <w:szCs w:val="16"/>
          <w:color w:val="000000"/>
        </w:rPr>
        <w:t>represent the sales of an insurer, adjusted for reinsurance premiums assumed and ceded, during a given period. Net premiums</w:t>
      </w:r>
      <w:r>
        <w:rPr>
          <w:rFonts w:ascii="Arial" w:cs="Arial" w:eastAsia="Arial" w:hAnsi="Arial"/>
          <w:sz w:val="16"/>
          <w:szCs w:val="16"/>
          <w:b w:val="1"/>
          <w:bCs w:val="1"/>
          <w:color w:val="001770"/>
        </w:rPr>
        <w:t xml:space="preserve"> </w:t>
      </w:r>
      <w:r>
        <w:rPr>
          <w:rFonts w:ascii="Arial" w:cs="Arial" w:eastAsia="Arial" w:hAnsi="Arial"/>
          <w:sz w:val="16"/>
          <w:szCs w:val="16"/>
          <w:color w:val="000000"/>
        </w:rPr>
        <w:t>earned are the revenue of an insurer for covering risk during a given period. Net premiums written are a measure of performance for a sales period, while net premiums earned are a measure of performance for a coverage period.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Noncontrolling interests </w:t>
      </w:r>
      <w:r>
        <w:rPr>
          <w:rFonts w:ascii="Arial" w:cs="Arial" w:eastAsia="Arial" w:hAnsi="Arial"/>
          <w:sz w:val="16"/>
          <w:szCs w:val="16"/>
          <w:color w:val="000000"/>
        </w:rPr>
        <w:t>The portion of equity ownership in a consolidated subsidiary not attributable to the controlling parent company.</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001770"/>
        </w:rPr>
        <w:t xml:space="preserve">Pool </w:t>
      </w:r>
      <w:r>
        <w:rPr>
          <w:rFonts w:ascii="Arial" w:cs="Arial" w:eastAsia="Arial" w:hAnsi="Arial"/>
          <w:sz w:val="16"/>
          <w:szCs w:val="16"/>
          <w:color w:val="000000"/>
        </w:rPr>
        <w:t>A reinsurance arrangement whereby all of the underwriting results of the pool members are combined and then shared by each member in accordance</w:t>
      </w:r>
      <w:r>
        <w:rPr>
          <w:rFonts w:ascii="Arial" w:cs="Arial" w:eastAsia="Arial" w:hAnsi="Arial"/>
          <w:sz w:val="16"/>
          <w:szCs w:val="16"/>
          <w:b w:val="1"/>
          <w:bCs w:val="1"/>
          <w:color w:val="001770"/>
        </w:rPr>
        <w:t xml:space="preserve"> </w:t>
      </w:r>
      <w:r>
        <w:rPr>
          <w:rFonts w:ascii="Arial" w:cs="Arial" w:eastAsia="Arial" w:hAnsi="Arial"/>
          <w:sz w:val="16"/>
          <w:szCs w:val="16"/>
          <w:color w:val="000000"/>
        </w:rPr>
        <w:t>with its pool participation percentage.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Prior year development </w:t>
      </w:r>
      <w:r>
        <w:rPr>
          <w:rFonts w:ascii="Arial" w:cs="Arial" w:eastAsia="Arial" w:hAnsi="Arial"/>
          <w:sz w:val="16"/>
          <w:szCs w:val="16"/>
          <w:i w:val="1"/>
          <w:iCs w:val="1"/>
          <w:color w:val="000000"/>
        </w:rPr>
        <w:t>See Loss reserve development</w:t>
      </w:r>
      <w:r>
        <w:rPr>
          <w:rFonts w:ascii="Arial" w:cs="Arial" w:eastAsia="Arial" w:hAnsi="Arial"/>
          <w:sz w:val="16"/>
          <w:szCs w:val="16"/>
          <w:color w:val="000000"/>
        </w:rPr>
        <w:t>.</w:t>
      </w:r>
    </w:p>
    <w:p>
      <w:pPr>
        <w:spacing w:after="0" w:line="11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001770"/>
        </w:rPr>
        <w:t xml:space="preserve">Reinstatement premiums </w:t>
      </w:r>
      <w:r>
        <w:rPr>
          <w:rFonts w:ascii="Arial" w:cs="Arial" w:eastAsia="Arial" w:hAnsi="Arial"/>
          <w:sz w:val="16"/>
          <w:szCs w:val="16"/>
          <w:color w:val="000000"/>
        </w:rPr>
        <w:t>Premiums on an insurance policy over and above the initial premium imposed at the beginning of the policy payable to reinsurers</w:t>
      </w:r>
      <w:r>
        <w:rPr>
          <w:rFonts w:ascii="Arial" w:cs="Arial" w:eastAsia="Arial" w:hAnsi="Arial"/>
          <w:sz w:val="16"/>
          <w:szCs w:val="16"/>
          <w:b w:val="1"/>
          <w:bCs w:val="1"/>
          <w:color w:val="001770"/>
        </w:rPr>
        <w:t xml:space="preserve"> </w:t>
      </w:r>
      <w:r>
        <w:rPr>
          <w:rFonts w:ascii="Arial" w:cs="Arial" w:eastAsia="Arial" w:hAnsi="Arial"/>
          <w:sz w:val="16"/>
          <w:szCs w:val="16"/>
          <w:color w:val="000000"/>
        </w:rPr>
        <w:t>or receivable from insurers to restore coverage limits that have been reduced or exhausted as a result of reinsured losses under certain excess of loss reinsurance contracts.</w:t>
      </w:r>
    </w:p>
    <w:p>
      <w:pPr>
        <w:spacing w:after="0" w:line="56"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b w:val="1"/>
          <w:bCs w:val="1"/>
          <w:color w:val="001770"/>
        </w:rPr>
        <w:t xml:space="preserve">Reinsurance </w:t>
      </w:r>
      <w:r>
        <w:rPr>
          <w:rFonts w:ascii="Arial" w:cs="Arial" w:eastAsia="Arial" w:hAnsi="Arial"/>
          <w:sz w:val="16"/>
          <w:szCs w:val="16"/>
          <w:color w:val="000000"/>
        </w:rPr>
        <w:t>The practice whereby one insurer, the reinsurer, in consideration of a premium paid to that insurer, agrees to indemnify another insurer, the</w:t>
      </w:r>
      <w:r>
        <w:rPr>
          <w:rFonts w:ascii="Arial" w:cs="Arial" w:eastAsia="Arial" w:hAnsi="Arial"/>
          <w:sz w:val="16"/>
          <w:szCs w:val="16"/>
          <w:b w:val="1"/>
          <w:bCs w:val="1"/>
          <w:color w:val="001770"/>
        </w:rPr>
        <w:t xml:space="preserve"> </w:t>
      </w:r>
      <w:r>
        <w:rPr>
          <w:rFonts w:ascii="Arial" w:cs="Arial" w:eastAsia="Arial" w:hAnsi="Arial"/>
          <w:sz w:val="16"/>
          <w:szCs w:val="16"/>
          <w:color w:val="000000"/>
        </w:rPr>
        <w:t>ceding company, for part or all of the liability of the ceding company under one or more policies or contracts of insurance which it has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1871"/>
        </w:rPr>
        <w:t xml:space="preserve">Reinsurance recoverables </w:t>
      </w:r>
      <w:r>
        <w:rPr>
          <w:rFonts w:ascii="Arial" w:cs="Arial" w:eastAsia="Arial" w:hAnsi="Arial"/>
          <w:sz w:val="16"/>
          <w:szCs w:val="16"/>
          <w:color w:val="000000"/>
        </w:rPr>
        <w:t>are comprised of paid losses recoverable, ceded loss reserves, ceded reserves for unearned premiums.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Retroactive reinsurance </w:t>
      </w:r>
      <w:r>
        <w:rPr>
          <w:rFonts w:ascii="Arial" w:cs="Arial" w:eastAsia="Arial" w:hAnsi="Arial"/>
          <w:sz w:val="16"/>
          <w:szCs w:val="16"/>
          <w:i w:val="1"/>
          <w:iCs w:val="1"/>
          <w:color w:val="000000"/>
        </w:rPr>
        <w:t>See Deferred gain on retroactive reinsurance</w:t>
      </w:r>
      <w:r>
        <w:rPr>
          <w:rFonts w:ascii="Arial" w:cs="Arial" w:eastAsia="Arial" w:hAnsi="Arial"/>
          <w:sz w:val="16"/>
          <w:szCs w:val="16"/>
          <w:color w:val="000000"/>
        </w:rPr>
        <w:t>.</w:t>
      </w:r>
    </w:p>
    <w:p>
      <w:pPr>
        <w:spacing w:after="0" w:line="12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001871"/>
        </w:rPr>
        <w:t xml:space="preserve">Return on equity – Adjusted after-tax income excluding Investments AOCI (Adjusted return on equity) </w:t>
      </w:r>
      <w:r>
        <w:rPr>
          <w:rFonts w:ascii="Arial" w:cs="Arial" w:eastAsia="Arial" w:hAnsi="Arial"/>
          <w:sz w:val="16"/>
          <w:szCs w:val="16"/>
          <w:color w:val="000000"/>
        </w:rPr>
        <w:t>is used to show the rate of return on common</w:t>
      </w:r>
      <w:r>
        <w:rPr>
          <w:rFonts w:ascii="Arial" w:cs="Arial" w:eastAsia="Arial" w:hAnsi="Arial"/>
          <w:sz w:val="16"/>
          <w:szCs w:val="16"/>
          <w:b w:val="1"/>
          <w:bCs w:val="1"/>
          <w:color w:val="001871"/>
        </w:rPr>
        <w:t xml:space="preserve"> </w:t>
      </w:r>
      <w:r>
        <w:rPr>
          <w:rFonts w:ascii="Arial" w:cs="Arial" w:eastAsia="Arial" w:hAnsi="Arial"/>
          <w:sz w:val="16"/>
          <w:szCs w:val="16"/>
          <w:color w:val="000000"/>
        </w:rPr>
        <w:t>shareholders’ equity excluding Investments AOCI. We believe this measure is useful to investors because it eliminates the fair value of investments which can fluctuate significantly from period to period due to changes in market conditions. Adjusted return on equity is derived by dividing actual or, for interim periods, annualized adjusted after-tax income attributable to AIG common shareholders by average AIG adjusted common shareholders’ equity.</w:t>
      </w:r>
    </w:p>
    <w:p>
      <w:pPr>
        <w:spacing w:after="0" w:line="65"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color w:val="001871"/>
        </w:rPr>
        <w:t xml:space="preserve">Return on equity – Adjusted after-tax income excluding Investments AOCI, DTA and AIG’s ownership interest in Corebridge (Core operating return on equity) </w:t>
      </w:r>
      <w:r>
        <w:rPr>
          <w:rFonts w:ascii="Arial" w:cs="Arial" w:eastAsia="Arial" w:hAnsi="Arial"/>
          <w:sz w:val="16"/>
          <w:szCs w:val="16"/>
          <w:color w:val="000000"/>
        </w:rPr>
        <w:t>is used to show the rate of return on common shareholders’ equity excluding Investments AOCI, DTA and AIG’s ownership interest in</w:t>
      </w:r>
      <w:r>
        <w:rPr>
          <w:rFonts w:ascii="Arial" w:cs="Arial" w:eastAsia="Arial" w:hAnsi="Arial"/>
          <w:sz w:val="16"/>
          <w:szCs w:val="16"/>
          <w:b w:val="1"/>
          <w:bCs w:val="1"/>
          <w:color w:val="001871"/>
        </w:rPr>
        <w:t xml:space="preserve"> </w:t>
      </w:r>
      <w:r>
        <w:rPr>
          <w:rFonts w:ascii="Arial" w:cs="Arial" w:eastAsia="Arial" w:hAnsi="Arial"/>
          <w:sz w:val="16"/>
          <w:szCs w:val="16"/>
          <w:color w:val="000000"/>
        </w:rPr>
        <w:t>Corebridge. We believe this measure is useful to investors because it eliminates the fair value of investments that can fluctuate significantly from period to period due to changes in market conditions. We also exclude the portion of DTA representing U.S. tax attributes related to NOLs, CAMTCs and FTCs that have not yet been utilized. Amounts for interim periods are estimates based on projections of full-year attribute utilization. As NOLs, CAMTCs and FTCs are utilized, the corresponding portion of the DTA utilized is included. We exclude AIG’s ownership interest in Corebridge since it is not a core long-term investment for AIG. We believe this metric provides investors with greater insight as to the underlying profitability of our property and casualty business. Core operating return on equity is derived by dividing actual or, for interim periods, annualized adjusted after-tax income attributable to AIG common shareholders by average AIG core operating shareholders’ equity.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1770"/>
        </w:rPr>
        <w:t xml:space="preserve">Subrogation </w:t>
      </w:r>
      <w:r>
        <w:rPr>
          <w:rFonts w:ascii="Arial" w:cs="Arial" w:eastAsia="Arial" w:hAnsi="Arial"/>
          <w:sz w:val="16"/>
          <w:szCs w:val="16"/>
          <w:color w:val="000000"/>
        </w:rPr>
        <w:t>The amount of recovery for claims we have paid our policyholders, generally from a negligent third party or such party’s insurer.</w:t>
      </w:r>
    </w:p>
    <w:p>
      <w:pPr>
        <w:spacing w:after="0" w:line="14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001770"/>
        </w:rPr>
        <w:t xml:space="preserve">Unearned premium reserve </w:t>
      </w:r>
      <w:r>
        <w:rPr>
          <w:rFonts w:ascii="Arial" w:cs="Arial" w:eastAsia="Arial" w:hAnsi="Arial"/>
          <w:sz w:val="16"/>
          <w:szCs w:val="16"/>
          <w:color w:val="000000"/>
        </w:rPr>
        <w:t>Liabilities established by insurers and reinsurers to reflect unearned premiums, which are usually refundable to policyholders if</w:t>
      </w:r>
      <w:r>
        <w:rPr>
          <w:rFonts w:ascii="Arial" w:cs="Arial" w:eastAsia="Arial" w:hAnsi="Arial"/>
          <w:sz w:val="16"/>
          <w:szCs w:val="16"/>
          <w:b w:val="1"/>
          <w:bCs w:val="1"/>
          <w:color w:val="001770"/>
        </w:rPr>
        <w:t xml:space="preserve"> </w:t>
      </w:r>
      <w:r>
        <w:rPr>
          <w:rFonts w:ascii="Arial" w:cs="Arial" w:eastAsia="Arial" w:hAnsi="Arial"/>
          <w:sz w:val="16"/>
          <w:szCs w:val="16"/>
          <w:color w:val="000000"/>
        </w:rPr>
        <w:t>an insurance or reinsurance contract is canceled prior to expiration of the contract term.</w:t>
      </w:r>
    </w:p>
    <w:p>
      <w:pPr>
        <w:spacing w:after="0" w:line="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001770"/>
        </w:rPr>
        <w:t xml:space="preserve">VOBA </w:t>
      </w:r>
      <w:r>
        <w:rPr>
          <w:rFonts w:ascii="Arial" w:cs="Arial" w:eastAsia="Arial" w:hAnsi="Arial"/>
          <w:sz w:val="16"/>
          <w:szCs w:val="16"/>
          <w:i w:val="1"/>
          <w:iCs w:val="1"/>
          <w:color w:val="000000"/>
        </w:rPr>
        <w:t>Value of Business Acquired</w:t>
      </w:r>
      <w:r>
        <w:rPr>
          <w:rFonts w:ascii="Arial" w:cs="Arial" w:eastAsia="Arial" w:hAnsi="Arial"/>
          <w:sz w:val="16"/>
          <w:szCs w:val="16"/>
          <w:b w:val="1"/>
          <w:bCs w:val="1"/>
          <w:color w:val="001770"/>
        </w:rPr>
        <w:t xml:space="preserve"> </w:t>
      </w:r>
      <w:r>
        <w:rPr>
          <w:rFonts w:ascii="Arial" w:cs="Arial" w:eastAsia="Arial" w:hAnsi="Arial"/>
          <w:sz w:val="16"/>
          <w:szCs w:val="16"/>
          <w:color w:val="000000"/>
        </w:rPr>
        <w:t>Present value of future pre-tax profits from in-force policies of acquired businesses discounted at yields applicable at the</w:t>
      </w:r>
      <w:r>
        <w:rPr>
          <w:rFonts w:ascii="Arial" w:cs="Arial" w:eastAsia="Arial" w:hAnsi="Arial"/>
          <w:sz w:val="16"/>
          <w:szCs w:val="16"/>
          <w:b w:val="1"/>
          <w:bCs w:val="1"/>
          <w:color w:val="001770"/>
        </w:rPr>
        <w:t xml:space="preserve"> </w:t>
      </w:r>
      <w:r>
        <w:rPr>
          <w:rFonts w:ascii="Arial" w:cs="Arial" w:eastAsia="Arial" w:hAnsi="Arial"/>
          <w:sz w:val="16"/>
          <w:szCs w:val="16"/>
          <w:color w:val="000000"/>
        </w:rPr>
        <w:t>time of purchase. VOBA is reported in DAC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24771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760" w:hanging="734"/>
        <w:spacing w:after="0"/>
        <w:tabs>
          <w:tab w:leader="none" w:pos="760" w:val="left"/>
        </w:tabs>
        <w:numPr>
          <w:ilvl w:val="0"/>
          <w:numId w:val="118"/>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1252DE"/>
        </w:rPr>
        <w:t>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506095</wp:posOffset>
            </wp:positionV>
            <wp:extent cx="712343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color w:val="001871"/>
        </w:rPr>
        <w:t>Acronyms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6"/>
                <w:szCs w:val="16"/>
                <w:b w:val="1"/>
                <w:bCs w:val="1"/>
                <w:color w:val="0A2299"/>
              </w:rPr>
              <w:t>A&amp;H</w:t>
            </w:r>
          </w:p>
        </w:tc>
        <w:tc>
          <w:tcPr>
            <w:tcW w:w="4360" w:type="dxa"/>
            <w:vAlign w:val="bottom"/>
          </w:tcPr>
          <w:p>
            <w:pPr>
              <w:ind w:left="220"/>
              <w:spacing w:after="0"/>
              <w:rPr>
                <w:sz w:val="20"/>
                <w:szCs w:val="20"/>
                <w:color w:val="auto"/>
              </w:rPr>
            </w:pPr>
            <w:r>
              <w:rPr>
                <w:rFonts w:ascii="Arial" w:cs="Arial" w:eastAsia="Arial" w:hAnsi="Arial"/>
                <w:sz w:val="16"/>
                <w:szCs w:val="16"/>
                <w:color w:val="auto"/>
              </w:rPr>
              <w:t>Accident and Health Insurance</w:t>
            </w:r>
          </w:p>
        </w:tc>
        <w:tc>
          <w:tcPr>
            <w:tcW w:w="1000" w:type="dxa"/>
            <w:vAlign w:val="bottom"/>
          </w:tcPr>
          <w:p>
            <w:pPr>
              <w:ind w:left="180"/>
              <w:spacing w:after="0"/>
              <w:rPr>
                <w:sz w:val="20"/>
                <w:szCs w:val="20"/>
                <w:color w:val="auto"/>
              </w:rPr>
            </w:pPr>
            <w:r>
              <w:rPr>
                <w:rFonts w:ascii="Arial" w:cs="Arial" w:eastAsia="Arial" w:hAnsi="Arial"/>
                <w:sz w:val="16"/>
                <w:szCs w:val="16"/>
                <w:b w:val="1"/>
                <w:bCs w:val="1"/>
                <w:color w:val="0A2299"/>
              </w:rPr>
              <w:t>ISDA</w:t>
            </w:r>
          </w:p>
        </w:tc>
        <w:tc>
          <w:tcPr>
            <w:tcW w:w="3980" w:type="dxa"/>
            <w:vAlign w:val="bottom"/>
          </w:tcPr>
          <w:p>
            <w:pPr>
              <w:ind w:left="160"/>
              <w:spacing w:after="0"/>
              <w:rPr>
                <w:sz w:val="20"/>
                <w:szCs w:val="20"/>
                <w:color w:val="auto"/>
              </w:rPr>
            </w:pPr>
            <w:r>
              <w:rPr>
                <w:rFonts w:ascii="Arial" w:cs="Arial" w:eastAsia="Arial" w:hAnsi="Arial"/>
                <w:sz w:val="16"/>
                <w:szCs w:val="16"/>
                <w:color w:val="auto"/>
              </w:rPr>
              <w:t>International Swaps and Derivatives Association, Inc.</w:t>
            </w:r>
          </w:p>
        </w:tc>
      </w:tr>
      <w:tr>
        <w:trPr>
          <w:trHeight w:val="216"/>
        </w:trPr>
        <w:tc>
          <w:tcPr>
            <w:tcW w:w="700" w:type="dxa"/>
            <w:vAlign w:val="bottom"/>
          </w:tcPr>
          <w:p>
            <w:pPr>
              <w:spacing w:after="0"/>
              <w:rPr>
                <w:sz w:val="20"/>
                <w:szCs w:val="20"/>
                <w:color w:val="auto"/>
              </w:rPr>
            </w:pPr>
            <w:r>
              <w:rPr>
                <w:rFonts w:ascii="Arial" w:cs="Arial" w:eastAsia="Arial" w:hAnsi="Arial"/>
                <w:sz w:val="16"/>
                <w:szCs w:val="16"/>
                <w:b w:val="1"/>
                <w:bCs w:val="1"/>
                <w:color w:val="0A2299"/>
              </w:rPr>
              <w:t>ABS</w:t>
            </w:r>
          </w:p>
        </w:tc>
        <w:tc>
          <w:tcPr>
            <w:tcW w:w="4360" w:type="dxa"/>
            <w:vAlign w:val="bottom"/>
          </w:tcPr>
          <w:p>
            <w:pPr>
              <w:ind w:left="220"/>
              <w:spacing w:after="0"/>
              <w:rPr>
                <w:sz w:val="20"/>
                <w:szCs w:val="20"/>
                <w:color w:val="auto"/>
              </w:rPr>
            </w:pPr>
            <w:r>
              <w:rPr>
                <w:rFonts w:ascii="Arial" w:cs="Arial" w:eastAsia="Arial" w:hAnsi="Arial"/>
                <w:sz w:val="16"/>
                <w:szCs w:val="16"/>
                <w:color w:val="auto"/>
              </w:rPr>
              <w:t>Asset-Backed Securities</w:t>
            </w:r>
          </w:p>
        </w:tc>
        <w:tc>
          <w:tcPr>
            <w:tcW w:w="1000" w:type="dxa"/>
            <w:vAlign w:val="bottom"/>
          </w:tcPr>
          <w:p>
            <w:pPr>
              <w:ind w:left="180"/>
              <w:spacing w:after="0"/>
              <w:rPr>
                <w:sz w:val="20"/>
                <w:szCs w:val="20"/>
                <w:color w:val="auto"/>
              </w:rPr>
            </w:pPr>
            <w:r>
              <w:rPr>
                <w:rFonts w:ascii="Arial" w:cs="Arial" w:eastAsia="Arial" w:hAnsi="Arial"/>
                <w:sz w:val="16"/>
                <w:szCs w:val="16"/>
                <w:b w:val="1"/>
                <w:bCs w:val="1"/>
                <w:color w:val="0A2299"/>
              </w:rPr>
              <w:t>Moody's</w:t>
            </w:r>
          </w:p>
        </w:tc>
        <w:tc>
          <w:tcPr>
            <w:tcW w:w="3980" w:type="dxa"/>
            <w:vAlign w:val="bottom"/>
          </w:tcPr>
          <w:p>
            <w:pPr>
              <w:ind w:left="160"/>
              <w:spacing w:after="0"/>
              <w:rPr>
                <w:sz w:val="20"/>
                <w:szCs w:val="20"/>
                <w:color w:val="auto"/>
              </w:rPr>
            </w:pPr>
            <w:r>
              <w:rPr>
                <w:rFonts w:ascii="Arial" w:cs="Arial" w:eastAsia="Arial" w:hAnsi="Arial"/>
                <w:sz w:val="16"/>
                <w:szCs w:val="16"/>
                <w:color w:val="auto"/>
              </w:rPr>
              <w:t>Moody's Investors Service, Inc.</w:t>
            </w:r>
          </w:p>
        </w:tc>
      </w:tr>
      <w:tr>
        <w:trPr>
          <w:trHeight w:val="216"/>
        </w:trPr>
        <w:tc>
          <w:tcPr>
            <w:tcW w:w="700" w:type="dxa"/>
            <w:vAlign w:val="bottom"/>
          </w:tcPr>
          <w:p>
            <w:pPr>
              <w:spacing w:after="0"/>
              <w:rPr>
                <w:sz w:val="20"/>
                <w:szCs w:val="20"/>
                <w:color w:val="auto"/>
              </w:rPr>
            </w:pPr>
            <w:r>
              <w:rPr>
                <w:rFonts w:ascii="Arial" w:cs="Arial" w:eastAsia="Arial" w:hAnsi="Arial"/>
                <w:sz w:val="16"/>
                <w:szCs w:val="16"/>
                <w:b w:val="1"/>
                <w:bCs w:val="1"/>
                <w:color w:val="0A2299"/>
              </w:rPr>
              <w:t>APTI</w:t>
            </w:r>
          </w:p>
        </w:tc>
        <w:tc>
          <w:tcPr>
            <w:tcW w:w="4360" w:type="dxa"/>
            <w:vAlign w:val="bottom"/>
          </w:tcPr>
          <w:p>
            <w:pPr>
              <w:ind w:left="220"/>
              <w:spacing w:after="0"/>
              <w:rPr>
                <w:sz w:val="20"/>
                <w:szCs w:val="20"/>
                <w:color w:val="auto"/>
              </w:rPr>
            </w:pPr>
            <w:r>
              <w:rPr>
                <w:rFonts w:ascii="Arial" w:cs="Arial" w:eastAsia="Arial" w:hAnsi="Arial"/>
                <w:sz w:val="16"/>
                <w:szCs w:val="16"/>
                <w:color w:val="auto"/>
              </w:rPr>
              <w:t>Adjusted pre-tax income</w:t>
            </w:r>
          </w:p>
        </w:tc>
        <w:tc>
          <w:tcPr>
            <w:tcW w:w="1000" w:type="dxa"/>
            <w:vAlign w:val="bottom"/>
          </w:tcPr>
          <w:p>
            <w:pPr>
              <w:ind w:left="180"/>
              <w:spacing w:after="0"/>
              <w:rPr>
                <w:sz w:val="20"/>
                <w:szCs w:val="20"/>
                <w:color w:val="auto"/>
              </w:rPr>
            </w:pPr>
            <w:r>
              <w:rPr>
                <w:rFonts w:ascii="Arial" w:cs="Arial" w:eastAsia="Arial" w:hAnsi="Arial"/>
                <w:sz w:val="16"/>
                <w:szCs w:val="16"/>
                <w:b w:val="1"/>
                <w:bCs w:val="1"/>
                <w:color w:val="0A2299"/>
              </w:rPr>
              <w:t>NAIC</w:t>
            </w:r>
          </w:p>
        </w:tc>
        <w:tc>
          <w:tcPr>
            <w:tcW w:w="3980" w:type="dxa"/>
            <w:vAlign w:val="bottom"/>
          </w:tcPr>
          <w:p>
            <w:pPr>
              <w:ind w:left="160"/>
              <w:spacing w:after="0"/>
              <w:rPr>
                <w:sz w:val="20"/>
                <w:szCs w:val="20"/>
                <w:color w:val="auto"/>
              </w:rPr>
            </w:pPr>
            <w:r>
              <w:rPr>
                <w:rFonts w:ascii="Arial" w:cs="Arial" w:eastAsia="Arial" w:hAnsi="Arial"/>
                <w:sz w:val="16"/>
                <w:szCs w:val="16"/>
                <w:color w:val="auto"/>
              </w:rPr>
              <w:t>National Association of Insurance Commissioners</w:t>
            </w:r>
          </w:p>
        </w:tc>
      </w:tr>
      <w:tr>
        <w:trPr>
          <w:trHeight w:val="216"/>
        </w:trPr>
        <w:tc>
          <w:tcPr>
            <w:tcW w:w="700" w:type="dxa"/>
            <w:vAlign w:val="bottom"/>
          </w:tcPr>
          <w:p>
            <w:pPr>
              <w:spacing w:after="0"/>
              <w:rPr>
                <w:sz w:val="20"/>
                <w:szCs w:val="20"/>
                <w:color w:val="auto"/>
              </w:rPr>
            </w:pPr>
            <w:r>
              <w:rPr>
                <w:rFonts w:ascii="Arial" w:cs="Arial" w:eastAsia="Arial" w:hAnsi="Arial"/>
                <w:sz w:val="16"/>
                <w:szCs w:val="16"/>
                <w:b w:val="1"/>
                <w:bCs w:val="1"/>
                <w:color w:val="0A2299"/>
              </w:rPr>
              <w:t>CDS</w:t>
            </w:r>
          </w:p>
        </w:tc>
        <w:tc>
          <w:tcPr>
            <w:tcW w:w="4360" w:type="dxa"/>
            <w:vAlign w:val="bottom"/>
          </w:tcPr>
          <w:p>
            <w:pPr>
              <w:ind w:left="220"/>
              <w:spacing w:after="0"/>
              <w:rPr>
                <w:sz w:val="20"/>
                <w:szCs w:val="20"/>
                <w:color w:val="auto"/>
              </w:rPr>
            </w:pPr>
            <w:r>
              <w:rPr>
                <w:rFonts w:ascii="Arial" w:cs="Arial" w:eastAsia="Arial" w:hAnsi="Arial"/>
                <w:sz w:val="16"/>
                <w:szCs w:val="16"/>
                <w:color w:val="auto"/>
              </w:rPr>
              <w:t>Credit Default Swap</w:t>
            </w:r>
          </w:p>
        </w:tc>
        <w:tc>
          <w:tcPr>
            <w:tcW w:w="1000" w:type="dxa"/>
            <w:vAlign w:val="bottom"/>
          </w:tcPr>
          <w:p>
            <w:pPr>
              <w:ind w:left="180"/>
              <w:spacing w:after="0"/>
              <w:rPr>
                <w:sz w:val="20"/>
                <w:szCs w:val="20"/>
                <w:color w:val="auto"/>
              </w:rPr>
            </w:pPr>
            <w:r>
              <w:rPr>
                <w:rFonts w:ascii="Arial" w:cs="Arial" w:eastAsia="Arial" w:hAnsi="Arial"/>
                <w:sz w:val="16"/>
                <w:szCs w:val="16"/>
                <w:b w:val="1"/>
                <w:bCs w:val="1"/>
                <w:color w:val="0A2299"/>
              </w:rPr>
              <w:t>NM</w:t>
            </w:r>
          </w:p>
        </w:tc>
        <w:tc>
          <w:tcPr>
            <w:tcW w:w="3980" w:type="dxa"/>
            <w:vAlign w:val="bottom"/>
          </w:tcPr>
          <w:p>
            <w:pPr>
              <w:ind w:left="160"/>
              <w:spacing w:after="0"/>
              <w:rPr>
                <w:sz w:val="20"/>
                <w:szCs w:val="20"/>
                <w:color w:val="auto"/>
              </w:rPr>
            </w:pPr>
            <w:r>
              <w:rPr>
                <w:rFonts w:ascii="Arial" w:cs="Arial" w:eastAsia="Arial" w:hAnsi="Arial"/>
                <w:sz w:val="16"/>
                <w:szCs w:val="16"/>
                <w:color w:val="auto"/>
              </w:rPr>
              <w:t>Not Meaningful</w:t>
            </w:r>
          </w:p>
        </w:tc>
      </w:tr>
      <w:tr>
        <w:trPr>
          <w:trHeight w:val="216"/>
        </w:trPr>
        <w:tc>
          <w:tcPr>
            <w:tcW w:w="700" w:type="dxa"/>
            <w:vAlign w:val="bottom"/>
          </w:tcPr>
          <w:p>
            <w:pPr>
              <w:spacing w:after="0"/>
              <w:rPr>
                <w:sz w:val="20"/>
                <w:szCs w:val="20"/>
                <w:color w:val="auto"/>
              </w:rPr>
            </w:pPr>
            <w:r>
              <w:rPr>
                <w:rFonts w:ascii="Arial" w:cs="Arial" w:eastAsia="Arial" w:hAnsi="Arial"/>
                <w:sz w:val="16"/>
                <w:szCs w:val="16"/>
                <w:b w:val="1"/>
                <w:bCs w:val="1"/>
                <w:color w:val="0A2299"/>
              </w:rPr>
              <w:t>CLO</w:t>
            </w:r>
          </w:p>
        </w:tc>
        <w:tc>
          <w:tcPr>
            <w:tcW w:w="4360" w:type="dxa"/>
            <w:vAlign w:val="bottom"/>
          </w:tcPr>
          <w:p>
            <w:pPr>
              <w:ind w:left="220"/>
              <w:spacing w:after="0"/>
              <w:rPr>
                <w:sz w:val="20"/>
                <w:szCs w:val="20"/>
                <w:color w:val="auto"/>
              </w:rPr>
            </w:pPr>
            <w:r>
              <w:rPr>
                <w:rFonts w:ascii="Arial" w:cs="Arial" w:eastAsia="Arial" w:hAnsi="Arial"/>
                <w:sz w:val="16"/>
                <w:szCs w:val="16"/>
                <w:color w:val="auto"/>
              </w:rPr>
              <w:t>Collateralized Loan Obligations</w:t>
            </w:r>
          </w:p>
        </w:tc>
        <w:tc>
          <w:tcPr>
            <w:tcW w:w="1000" w:type="dxa"/>
            <w:vAlign w:val="bottom"/>
          </w:tcPr>
          <w:p>
            <w:pPr>
              <w:ind w:left="180"/>
              <w:spacing w:after="0"/>
              <w:rPr>
                <w:sz w:val="20"/>
                <w:szCs w:val="20"/>
                <w:color w:val="auto"/>
              </w:rPr>
            </w:pPr>
            <w:r>
              <w:rPr>
                <w:rFonts w:ascii="Arial" w:cs="Arial" w:eastAsia="Arial" w:hAnsi="Arial"/>
                <w:sz w:val="16"/>
                <w:szCs w:val="16"/>
                <w:b w:val="1"/>
                <w:bCs w:val="1"/>
                <w:color w:val="0A2299"/>
              </w:rPr>
              <w:t>ORR</w:t>
            </w:r>
          </w:p>
        </w:tc>
        <w:tc>
          <w:tcPr>
            <w:tcW w:w="3980" w:type="dxa"/>
            <w:vAlign w:val="bottom"/>
          </w:tcPr>
          <w:p>
            <w:pPr>
              <w:ind w:left="160"/>
              <w:spacing w:after="0"/>
              <w:rPr>
                <w:sz w:val="20"/>
                <w:szCs w:val="20"/>
                <w:color w:val="auto"/>
              </w:rPr>
            </w:pPr>
            <w:r>
              <w:rPr>
                <w:rFonts w:ascii="Arial" w:cs="Arial" w:eastAsia="Arial" w:hAnsi="Arial"/>
                <w:sz w:val="16"/>
                <w:szCs w:val="16"/>
                <w:color w:val="auto"/>
              </w:rPr>
              <w:t>Obligor Risk Ratings</w:t>
            </w:r>
          </w:p>
        </w:tc>
      </w:tr>
      <w:tr>
        <w:trPr>
          <w:trHeight w:val="216"/>
        </w:trPr>
        <w:tc>
          <w:tcPr>
            <w:tcW w:w="700" w:type="dxa"/>
            <w:vAlign w:val="bottom"/>
          </w:tcPr>
          <w:p>
            <w:pPr>
              <w:spacing w:after="0"/>
              <w:rPr>
                <w:sz w:val="20"/>
                <w:szCs w:val="20"/>
                <w:color w:val="auto"/>
              </w:rPr>
            </w:pPr>
            <w:r>
              <w:rPr>
                <w:rFonts w:ascii="Arial" w:cs="Arial" w:eastAsia="Arial" w:hAnsi="Arial"/>
                <w:sz w:val="16"/>
                <w:szCs w:val="16"/>
                <w:b w:val="1"/>
                <w:bCs w:val="1"/>
                <w:color w:val="0A2299"/>
              </w:rPr>
              <w:t>CMBS</w:t>
            </w:r>
          </w:p>
        </w:tc>
        <w:tc>
          <w:tcPr>
            <w:tcW w:w="4360" w:type="dxa"/>
            <w:vAlign w:val="bottom"/>
          </w:tcPr>
          <w:p>
            <w:pPr>
              <w:ind w:left="220"/>
              <w:spacing w:after="0"/>
              <w:rPr>
                <w:sz w:val="20"/>
                <w:szCs w:val="20"/>
                <w:color w:val="auto"/>
              </w:rPr>
            </w:pPr>
            <w:r>
              <w:rPr>
                <w:rFonts w:ascii="Arial" w:cs="Arial" w:eastAsia="Arial" w:hAnsi="Arial"/>
                <w:sz w:val="16"/>
                <w:szCs w:val="16"/>
                <w:color w:val="auto"/>
              </w:rPr>
              <w:t>Commercial Mortgage-Backed Securities</w:t>
            </w:r>
          </w:p>
        </w:tc>
        <w:tc>
          <w:tcPr>
            <w:tcW w:w="1000" w:type="dxa"/>
            <w:vAlign w:val="bottom"/>
          </w:tcPr>
          <w:p>
            <w:pPr>
              <w:ind w:left="180"/>
              <w:spacing w:after="0"/>
              <w:rPr>
                <w:sz w:val="20"/>
                <w:szCs w:val="20"/>
                <w:color w:val="auto"/>
              </w:rPr>
            </w:pPr>
            <w:r>
              <w:rPr>
                <w:rFonts w:ascii="Arial" w:cs="Arial" w:eastAsia="Arial" w:hAnsi="Arial"/>
                <w:sz w:val="16"/>
                <w:szCs w:val="16"/>
                <w:b w:val="1"/>
                <w:bCs w:val="1"/>
                <w:color w:val="0A2299"/>
              </w:rPr>
              <w:t>RMBS</w:t>
            </w:r>
          </w:p>
        </w:tc>
        <w:tc>
          <w:tcPr>
            <w:tcW w:w="3980" w:type="dxa"/>
            <w:vAlign w:val="bottom"/>
          </w:tcPr>
          <w:p>
            <w:pPr>
              <w:ind w:left="160"/>
              <w:spacing w:after="0"/>
              <w:rPr>
                <w:sz w:val="20"/>
                <w:szCs w:val="20"/>
                <w:color w:val="auto"/>
              </w:rPr>
            </w:pPr>
            <w:r>
              <w:rPr>
                <w:rFonts w:ascii="Arial" w:cs="Arial" w:eastAsia="Arial" w:hAnsi="Arial"/>
                <w:sz w:val="16"/>
                <w:szCs w:val="16"/>
                <w:color w:val="auto"/>
              </w:rPr>
              <w:t>Residential Mortgage-Backed Securities</w:t>
            </w:r>
          </w:p>
        </w:tc>
      </w:tr>
      <w:tr>
        <w:trPr>
          <w:trHeight w:val="216"/>
        </w:trPr>
        <w:tc>
          <w:tcPr>
            <w:tcW w:w="700" w:type="dxa"/>
            <w:vAlign w:val="bottom"/>
          </w:tcPr>
          <w:p>
            <w:pPr>
              <w:spacing w:after="0"/>
              <w:rPr>
                <w:sz w:val="20"/>
                <w:szCs w:val="20"/>
                <w:color w:val="auto"/>
              </w:rPr>
            </w:pPr>
            <w:r>
              <w:rPr>
                <w:rFonts w:ascii="Arial" w:cs="Arial" w:eastAsia="Arial" w:hAnsi="Arial"/>
                <w:sz w:val="16"/>
                <w:szCs w:val="16"/>
                <w:b w:val="1"/>
                <w:bCs w:val="1"/>
                <w:color w:val="0A2299"/>
              </w:rPr>
              <w:t>ERM</w:t>
            </w:r>
          </w:p>
        </w:tc>
        <w:tc>
          <w:tcPr>
            <w:tcW w:w="4360" w:type="dxa"/>
            <w:vAlign w:val="bottom"/>
          </w:tcPr>
          <w:p>
            <w:pPr>
              <w:ind w:left="220"/>
              <w:spacing w:after="0"/>
              <w:rPr>
                <w:sz w:val="20"/>
                <w:szCs w:val="20"/>
                <w:color w:val="auto"/>
              </w:rPr>
            </w:pPr>
            <w:r>
              <w:rPr>
                <w:rFonts w:ascii="Arial" w:cs="Arial" w:eastAsia="Arial" w:hAnsi="Arial"/>
                <w:sz w:val="16"/>
                <w:szCs w:val="16"/>
                <w:color w:val="auto"/>
              </w:rPr>
              <w:t>Enterprise Risk Management</w:t>
            </w:r>
          </w:p>
        </w:tc>
        <w:tc>
          <w:tcPr>
            <w:tcW w:w="1000" w:type="dxa"/>
            <w:vAlign w:val="bottom"/>
          </w:tcPr>
          <w:p>
            <w:pPr>
              <w:ind w:left="180"/>
              <w:spacing w:after="0"/>
              <w:rPr>
                <w:sz w:val="20"/>
                <w:szCs w:val="20"/>
                <w:color w:val="auto"/>
              </w:rPr>
            </w:pPr>
            <w:r>
              <w:rPr>
                <w:rFonts w:ascii="Arial" w:cs="Arial" w:eastAsia="Arial" w:hAnsi="Arial"/>
                <w:sz w:val="16"/>
                <w:szCs w:val="16"/>
                <w:b w:val="1"/>
                <w:bCs w:val="1"/>
                <w:color w:val="0A2299"/>
              </w:rPr>
              <w:t>S&amp;P</w:t>
            </w:r>
          </w:p>
        </w:tc>
        <w:tc>
          <w:tcPr>
            <w:tcW w:w="3980" w:type="dxa"/>
            <w:vAlign w:val="bottom"/>
          </w:tcPr>
          <w:p>
            <w:pPr>
              <w:ind w:left="160"/>
              <w:spacing w:after="0"/>
              <w:rPr>
                <w:sz w:val="20"/>
                <w:szCs w:val="20"/>
                <w:color w:val="auto"/>
              </w:rPr>
            </w:pPr>
            <w:r>
              <w:rPr>
                <w:rFonts w:ascii="Arial" w:cs="Arial" w:eastAsia="Arial" w:hAnsi="Arial"/>
                <w:sz w:val="16"/>
                <w:szCs w:val="16"/>
                <w:color w:val="auto"/>
              </w:rPr>
              <w:t>Standard &amp; Poor's Financial Services LLC</w:t>
            </w:r>
          </w:p>
        </w:tc>
      </w:tr>
      <w:tr>
        <w:trPr>
          <w:trHeight w:val="216"/>
        </w:trPr>
        <w:tc>
          <w:tcPr>
            <w:tcW w:w="700" w:type="dxa"/>
            <w:vAlign w:val="bottom"/>
          </w:tcPr>
          <w:p>
            <w:pPr>
              <w:spacing w:after="0"/>
              <w:rPr>
                <w:sz w:val="20"/>
                <w:szCs w:val="20"/>
                <w:color w:val="auto"/>
              </w:rPr>
            </w:pPr>
            <w:r>
              <w:rPr>
                <w:rFonts w:ascii="Arial" w:cs="Arial" w:eastAsia="Arial" w:hAnsi="Arial"/>
                <w:sz w:val="16"/>
                <w:szCs w:val="16"/>
                <w:b w:val="1"/>
                <w:bCs w:val="1"/>
                <w:color w:val="0A2299"/>
              </w:rPr>
              <w:t>FASB</w:t>
            </w:r>
          </w:p>
        </w:tc>
        <w:tc>
          <w:tcPr>
            <w:tcW w:w="4360" w:type="dxa"/>
            <w:vAlign w:val="bottom"/>
          </w:tcPr>
          <w:p>
            <w:pPr>
              <w:ind w:left="220"/>
              <w:spacing w:after="0"/>
              <w:rPr>
                <w:sz w:val="20"/>
                <w:szCs w:val="20"/>
                <w:color w:val="auto"/>
              </w:rPr>
            </w:pPr>
            <w:r>
              <w:rPr>
                <w:rFonts w:ascii="Arial" w:cs="Arial" w:eastAsia="Arial" w:hAnsi="Arial"/>
                <w:sz w:val="16"/>
                <w:szCs w:val="16"/>
                <w:color w:val="auto"/>
              </w:rPr>
              <w:t>Financial Accounting Standards Board</w:t>
            </w:r>
          </w:p>
        </w:tc>
        <w:tc>
          <w:tcPr>
            <w:tcW w:w="1000" w:type="dxa"/>
            <w:vAlign w:val="bottom"/>
          </w:tcPr>
          <w:p>
            <w:pPr>
              <w:ind w:left="180"/>
              <w:spacing w:after="0"/>
              <w:rPr>
                <w:sz w:val="20"/>
                <w:szCs w:val="20"/>
                <w:color w:val="auto"/>
              </w:rPr>
            </w:pPr>
            <w:r>
              <w:rPr>
                <w:rFonts w:ascii="Arial" w:cs="Arial" w:eastAsia="Arial" w:hAnsi="Arial"/>
                <w:sz w:val="16"/>
                <w:szCs w:val="16"/>
                <w:b w:val="1"/>
                <w:bCs w:val="1"/>
                <w:color w:val="0A2299"/>
              </w:rPr>
              <w:t>SEC</w:t>
            </w:r>
          </w:p>
        </w:tc>
        <w:tc>
          <w:tcPr>
            <w:tcW w:w="3980" w:type="dxa"/>
            <w:vAlign w:val="bottom"/>
          </w:tcPr>
          <w:p>
            <w:pPr>
              <w:ind w:left="160"/>
              <w:spacing w:after="0"/>
              <w:rPr>
                <w:sz w:val="20"/>
                <w:szCs w:val="20"/>
                <w:color w:val="auto"/>
              </w:rPr>
            </w:pPr>
            <w:r>
              <w:rPr>
                <w:rFonts w:ascii="Arial" w:cs="Arial" w:eastAsia="Arial" w:hAnsi="Arial"/>
                <w:sz w:val="16"/>
                <w:szCs w:val="16"/>
                <w:color w:val="auto"/>
              </w:rPr>
              <w:t>Securities and Exchange Commission</w:t>
            </w:r>
          </w:p>
        </w:tc>
      </w:tr>
      <w:tr>
        <w:trPr>
          <w:trHeight w:val="163"/>
        </w:trPr>
        <w:tc>
          <w:tcPr>
            <w:tcW w:w="700" w:type="dxa"/>
            <w:vAlign w:val="bottom"/>
          </w:tcPr>
          <w:p>
            <w:pPr>
              <w:spacing w:after="0" w:line="163" w:lineRule="exact"/>
              <w:rPr>
                <w:sz w:val="20"/>
                <w:szCs w:val="20"/>
                <w:color w:val="auto"/>
              </w:rPr>
            </w:pPr>
            <w:r>
              <w:rPr>
                <w:rFonts w:ascii="Arial" w:cs="Arial" w:eastAsia="Arial" w:hAnsi="Arial"/>
                <w:sz w:val="16"/>
                <w:szCs w:val="16"/>
                <w:b w:val="1"/>
                <w:bCs w:val="1"/>
                <w:color w:val="0A2299"/>
              </w:rPr>
              <w:t>GAAP</w:t>
            </w:r>
          </w:p>
        </w:tc>
        <w:tc>
          <w:tcPr>
            <w:tcW w:w="4360" w:type="dxa"/>
            <w:vAlign w:val="bottom"/>
          </w:tcPr>
          <w:p>
            <w:pPr>
              <w:ind w:left="220"/>
              <w:spacing w:after="0" w:line="163" w:lineRule="exact"/>
              <w:rPr>
                <w:sz w:val="20"/>
                <w:szCs w:val="20"/>
                <w:color w:val="auto"/>
              </w:rPr>
            </w:pPr>
            <w:r>
              <w:rPr>
                <w:rFonts w:ascii="Arial" w:cs="Arial" w:eastAsia="Arial" w:hAnsi="Arial"/>
                <w:sz w:val="16"/>
                <w:szCs w:val="16"/>
                <w:color w:val="auto"/>
              </w:rPr>
              <w:t>Accounting Principles Generally Accepted in the United</w:t>
            </w:r>
          </w:p>
        </w:tc>
        <w:tc>
          <w:tcPr>
            <w:tcW w:w="1000" w:type="dxa"/>
            <w:vAlign w:val="bottom"/>
          </w:tcPr>
          <w:p>
            <w:pPr>
              <w:ind w:left="180"/>
              <w:spacing w:after="0" w:line="163" w:lineRule="exact"/>
              <w:rPr>
                <w:sz w:val="20"/>
                <w:szCs w:val="20"/>
                <w:color w:val="auto"/>
              </w:rPr>
            </w:pPr>
            <w:r>
              <w:rPr>
                <w:rFonts w:ascii="Arial" w:cs="Arial" w:eastAsia="Arial" w:hAnsi="Arial"/>
                <w:sz w:val="16"/>
                <w:szCs w:val="16"/>
                <w:b w:val="1"/>
                <w:bCs w:val="1"/>
                <w:color w:val="0A2299"/>
              </w:rPr>
              <w:t>VIE</w:t>
            </w:r>
          </w:p>
        </w:tc>
        <w:tc>
          <w:tcPr>
            <w:tcW w:w="3980" w:type="dxa"/>
            <w:vAlign w:val="bottom"/>
          </w:tcPr>
          <w:p>
            <w:pPr>
              <w:ind w:left="160"/>
              <w:spacing w:after="0" w:line="163" w:lineRule="exact"/>
              <w:rPr>
                <w:sz w:val="20"/>
                <w:szCs w:val="20"/>
                <w:color w:val="auto"/>
              </w:rPr>
            </w:pPr>
            <w:r>
              <w:rPr>
                <w:rFonts w:ascii="Arial" w:cs="Arial" w:eastAsia="Arial" w:hAnsi="Arial"/>
                <w:sz w:val="16"/>
                <w:szCs w:val="16"/>
                <w:color w:val="auto"/>
              </w:rPr>
              <w:t>Variable Interest Entity</w:t>
            </w:r>
          </w:p>
        </w:tc>
      </w:tr>
      <w:tr>
        <w:trPr>
          <w:trHeight w:val="215"/>
        </w:trPr>
        <w:tc>
          <w:tcPr>
            <w:tcW w:w="70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6"/>
                <w:szCs w:val="16"/>
                <w:color w:val="auto"/>
              </w:rPr>
              <w:t>States of America</w:t>
            </w:r>
          </w:p>
        </w:tc>
        <w:tc>
          <w:tcPr>
            <w:tcW w:w="1000" w:type="dxa"/>
            <w:vAlign w:val="bottom"/>
          </w:tcPr>
          <w:p>
            <w:pPr>
              <w:spacing w:after="0"/>
              <w:rPr>
                <w:sz w:val="18"/>
                <w:szCs w:val="18"/>
                <w:color w:val="auto"/>
              </w:rPr>
            </w:pPr>
          </w:p>
        </w:tc>
        <w:tc>
          <w:tcPr>
            <w:tcW w:w="39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ITEM 3 | </w:t>
      </w:r>
      <w:r>
        <w:rPr>
          <w:rFonts w:ascii="Arial" w:cs="Arial" w:eastAsia="Arial" w:hAnsi="Arial"/>
          <w:sz w:val="32"/>
          <w:szCs w:val="32"/>
          <w:color w:val="001871"/>
        </w:rPr>
        <w:t>Quantitative and Qualitative Disclosures About Market Risk</w:t>
      </w:r>
    </w:p>
    <w:p>
      <w:pPr>
        <w:spacing w:after="0" w:line="348"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information required by this item is set forth in the Enterprise Risk Management section of Item 2. Management’s Discussion and Analysis of Financial Condition and Results of Operations and is incorporated herein by reference.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ITEM 4 | </w:t>
      </w:r>
      <w:r>
        <w:rPr>
          <w:rFonts w:ascii="Arial" w:cs="Arial" w:eastAsia="Arial" w:hAnsi="Arial"/>
          <w:sz w:val="32"/>
          <w:szCs w:val="32"/>
          <w:color w:val="001871"/>
        </w:rPr>
        <w:t>Controls and Procedures</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EVALUATION OF DISCLOSURE CONTROLS AND PROCEDURES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reports filed or submitted under the Securities Exchange Act of 1934, as amended (the Exchange Act), is recorded, processed, summarized and reported within the time periods specified in SEC rules and forms and that such information is accumulated and communicated to management, including the Chief Executive Officer and Chief Financial Officer, to allow timely decisions regarding required disclosures. In connection with the preparation of this Quarterly Report on Form 10-Q, an evaluation was carried out by American International Group, Inc. (AIG) management, with the participation of AIG’s Chief Executive Officer and Chief Financial Officer, of the effectiveness of our disclosure controls and procedures (as defined in Rules 13a-15(e) and 15d-15(e) under the Exchange Act), as of September 30, 2026. Based on this evaluation, AIG’s Chief Executive Officer and Chief Financial Officer concluded that our disclosure controls and procedures were effective as of September 30, 2026.</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CHANGES IN INTERNAL CONTROL OVER FINANCIAL REPORTING</w:t>
      </w:r>
    </w:p>
    <w:p>
      <w:pPr>
        <w:spacing w:after="0" w:line="117"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that have occurred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75</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47"/>
          <w:szCs w:val="47"/>
          <w:b w:val="1"/>
          <w:bCs w:val="1"/>
          <w:color w:val="1252DE"/>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ITEM 1 | </w:t>
      </w:r>
      <w:r>
        <w:rPr>
          <w:rFonts w:ascii="Arial" w:cs="Arial" w:eastAsia="Arial" w:hAnsi="Arial"/>
          <w:sz w:val="32"/>
          <w:szCs w:val="32"/>
          <w:color w:val="001770"/>
        </w:rPr>
        <w:t>Legal Proceedings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 discussion of legal proceedings, see Note 12 to the Condensed Consolidated Financial Statements, which is incorporated herein by reference.</w:t>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ITEM 1A | </w:t>
      </w:r>
      <w:r>
        <w:rPr>
          <w:rFonts w:ascii="Arial" w:cs="Arial" w:eastAsia="Arial" w:hAnsi="Arial"/>
          <w:sz w:val="32"/>
          <w:szCs w:val="32"/>
          <w:color w:val="001871"/>
        </w:rPr>
        <w:t>Risk Factors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addition to the other information set forth in this Quarterly Report on Form 10-Q, you should carefully consider the risk factors discussed in Part I, Item 1A.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 Factors in the 2025 Annual Report.</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ITEM 2 | </w:t>
      </w:r>
      <w:r>
        <w:rPr>
          <w:rFonts w:ascii="Arial" w:cs="Arial" w:eastAsia="Arial" w:hAnsi="Arial"/>
          <w:sz w:val="32"/>
          <w:szCs w:val="32"/>
          <w:color w:val="001871"/>
        </w:rPr>
        <w:t>Unregistered Sales of Equity Securities and Use of Proceeds</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The following table provides information about purchases made by or on behalf of AIG or any “affiliated purchaser” (as defined in Rule 10b-18(a)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1352DE"/>
        </w:rPr>
        <w:t>(3) under the Securities Exchange Act of 1934 (the Exchange Act)) of AIG Common Stock during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234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520" w:type="dxa"/>
            <w:vAlign w:val="bottom"/>
          </w:tcPr>
          <w:p>
            <w:pPr>
              <w:jc w:val="right"/>
              <w:ind w:right="468"/>
              <w:spacing w:after="0"/>
              <w:rPr>
                <w:sz w:val="20"/>
                <w:szCs w:val="20"/>
                <w:color w:val="auto"/>
              </w:rPr>
            </w:pPr>
            <w:r>
              <w:rPr>
                <w:rFonts w:ascii="Arial" w:cs="Arial" w:eastAsia="Arial" w:hAnsi="Arial"/>
                <w:sz w:val="14"/>
                <w:szCs w:val="14"/>
                <w:color w:val="1252DE"/>
              </w:rPr>
              <w:t>Total Number of Shares</w:t>
            </w:r>
          </w:p>
        </w:tc>
        <w:tc>
          <w:tcPr>
            <w:tcW w:w="2300" w:type="dxa"/>
            <w:vAlign w:val="bottom"/>
            <w:gridSpan w:val="2"/>
          </w:tcPr>
          <w:p>
            <w:pPr>
              <w:jc w:val="right"/>
              <w:spacing w:after="0"/>
              <w:rPr>
                <w:sz w:val="20"/>
                <w:szCs w:val="20"/>
                <w:color w:val="auto"/>
              </w:rPr>
            </w:pPr>
            <w:r>
              <w:rPr>
                <w:rFonts w:ascii="Arial" w:cs="Arial" w:eastAsia="Arial" w:hAnsi="Arial"/>
                <w:sz w:val="14"/>
                <w:szCs w:val="14"/>
                <w:color w:val="1252DE"/>
              </w:rPr>
              <w:t>Approximate Dollar Value</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200" w:type="dxa"/>
            <w:vAlign w:val="bottom"/>
          </w:tcPr>
          <w:p>
            <w:pPr>
              <w:jc w:val="right"/>
              <w:ind w:right="168"/>
              <w:spacing w:after="0"/>
              <w:rPr>
                <w:sz w:val="20"/>
                <w:szCs w:val="20"/>
                <w:color w:val="auto"/>
              </w:rPr>
            </w:pPr>
            <w:r>
              <w:rPr>
                <w:rFonts w:ascii="Arial" w:cs="Arial" w:eastAsia="Arial" w:hAnsi="Arial"/>
                <w:sz w:val="14"/>
                <w:szCs w:val="14"/>
                <w:color w:val="1252DE"/>
              </w:rPr>
              <w:t>Total Number</w:t>
            </w:r>
          </w:p>
        </w:tc>
        <w:tc>
          <w:tcPr>
            <w:tcW w:w="440" w:type="dxa"/>
            <w:vAlign w:val="bottom"/>
          </w:tcPr>
          <w:p>
            <w:pPr>
              <w:spacing w:after="0"/>
              <w:rPr>
                <w:sz w:val="15"/>
                <w:szCs w:val="15"/>
                <w:color w:val="auto"/>
              </w:rPr>
            </w:pPr>
          </w:p>
        </w:tc>
        <w:tc>
          <w:tcPr>
            <w:tcW w:w="1600" w:type="dxa"/>
            <w:vAlign w:val="bottom"/>
            <w:vMerge w:val="restart"/>
          </w:tcPr>
          <w:p>
            <w:pPr>
              <w:jc w:val="right"/>
              <w:ind w:right="388"/>
              <w:spacing w:after="0"/>
              <w:rPr>
                <w:sz w:val="20"/>
                <w:szCs w:val="20"/>
                <w:color w:val="auto"/>
              </w:rPr>
            </w:pPr>
            <w:r>
              <w:rPr>
                <w:rFonts w:ascii="Arial" w:cs="Arial" w:eastAsia="Arial" w:hAnsi="Arial"/>
                <w:sz w:val="14"/>
                <w:szCs w:val="14"/>
                <w:color w:val="1252DE"/>
              </w:rPr>
              <w:t>Average Price</w:t>
            </w:r>
          </w:p>
        </w:tc>
        <w:tc>
          <w:tcPr>
            <w:tcW w:w="2520" w:type="dxa"/>
            <w:vAlign w:val="bottom"/>
          </w:tcPr>
          <w:p>
            <w:pPr>
              <w:jc w:val="right"/>
              <w:ind w:right="468"/>
              <w:spacing w:after="0"/>
              <w:rPr>
                <w:sz w:val="20"/>
                <w:szCs w:val="20"/>
                <w:color w:val="auto"/>
              </w:rPr>
            </w:pPr>
            <w:r>
              <w:rPr>
                <w:rFonts w:ascii="Arial" w:cs="Arial" w:eastAsia="Arial" w:hAnsi="Arial"/>
                <w:sz w:val="14"/>
                <w:szCs w:val="14"/>
                <w:color w:val="1252DE"/>
              </w:rPr>
              <w:t>Purchased as Part of</w:t>
            </w:r>
          </w:p>
        </w:tc>
        <w:tc>
          <w:tcPr>
            <w:tcW w:w="2300" w:type="dxa"/>
            <w:vAlign w:val="bottom"/>
            <w:gridSpan w:val="2"/>
          </w:tcPr>
          <w:p>
            <w:pPr>
              <w:jc w:val="right"/>
              <w:spacing w:after="0"/>
              <w:rPr>
                <w:sz w:val="20"/>
                <w:szCs w:val="20"/>
                <w:color w:val="auto"/>
              </w:rPr>
            </w:pPr>
            <w:r>
              <w:rPr>
                <w:rFonts w:ascii="Arial" w:cs="Arial" w:eastAsia="Arial" w:hAnsi="Arial"/>
                <w:sz w:val="14"/>
                <w:szCs w:val="14"/>
                <w:color w:val="1252DE"/>
              </w:rPr>
              <w:t>of Shares that May Yet Be</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200" w:type="dxa"/>
            <w:vAlign w:val="bottom"/>
          </w:tcPr>
          <w:p>
            <w:pPr>
              <w:jc w:val="right"/>
              <w:ind w:right="168"/>
              <w:spacing w:after="0"/>
              <w:rPr>
                <w:sz w:val="20"/>
                <w:szCs w:val="20"/>
                <w:color w:val="auto"/>
              </w:rPr>
            </w:pPr>
            <w:r>
              <w:rPr>
                <w:rFonts w:ascii="Arial" w:cs="Arial" w:eastAsia="Arial" w:hAnsi="Arial"/>
                <w:sz w:val="14"/>
                <w:szCs w:val="14"/>
                <w:color w:val="1252DE"/>
              </w:rPr>
              <w:t>of Shares</w:t>
            </w:r>
          </w:p>
        </w:tc>
        <w:tc>
          <w:tcPr>
            <w:tcW w:w="4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2520" w:type="dxa"/>
            <w:vAlign w:val="bottom"/>
          </w:tcPr>
          <w:p>
            <w:pPr>
              <w:jc w:val="right"/>
              <w:ind w:right="468"/>
              <w:spacing w:after="0"/>
              <w:rPr>
                <w:sz w:val="20"/>
                <w:szCs w:val="20"/>
                <w:color w:val="auto"/>
              </w:rPr>
            </w:pPr>
            <w:r>
              <w:rPr>
                <w:rFonts w:ascii="Arial" w:cs="Arial" w:eastAsia="Arial" w:hAnsi="Arial"/>
                <w:sz w:val="14"/>
                <w:szCs w:val="14"/>
                <w:color w:val="1252DE"/>
              </w:rPr>
              <w:t>Publicly Announced</w:t>
            </w:r>
          </w:p>
        </w:tc>
        <w:tc>
          <w:tcPr>
            <w:tcW w:w="2300" w:type="dxa"/>
            <w:vAlign w:val="bottom"/>
            <w:gridSpan w:val="2"/>
          </w:tcPr>
          <w:p>
            <w:pPr>
              <w:jc w:val="right"/>
              <w:spacing w:after="0"/>
              <w:rPr>
                <w:sz w:val="20"/>
                <w:szCs w:val="20"/>
                <w:color w:val="auto"/>
              </w:rPr>
            </w:pPr>
            <w:r>
              <w:rPr>
                <w:rFonts w:ascii="Arial" w:cs="Arial" w:eastAsia="Arial" w:hAnsi="Arial"/>
                <w:sz w:val="14"/>
                <w:szCs w:val="14"/>
                <w:color w:val="1252DE"/>
              </w:rPr>
              <w:t>Purchased Under the Plans</w:t>
            </w:r>
          </w:p>
        </w:tc>
        <w:tc>
          <w:tcPr>
            <w:tcW w:w="0" w:type="dxa"/>
            <w:vAlign w:val="bottom"/>
          </w:tcPr>
          <w:p>
            <w:pPr>
              <w:spacing w:after="0"/>
              <w:rPr>
                <w:sz w:val="1"/>
                <w:szCs w:val="1"/>
                <w:color w:val="auto"/>
              </w:rPr>
            </w:pPr>
          </w:p>
        </w:tc>
      </w:tr>
      <w:tr>
        <w:trPr>
          <w:trHeight w:val="208"/>
        </w:trPr>
        <w:tc>
          <w:tcPr>
            <w:tcW w:w="216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3051F2"/>
              </w:rPr>
              <w:t>Period</w:t>
            </w:r>
          </w:p>
        </w:tc>
        <w:tc>
          <w:tcPr>
            <w:tcW w:w="2200" w:type="dxa"/>
            <w:vAlign w:val="bottom"/>
            <w:tcBorders>
              <w:bottom w:val="single" w:sz="8" w:color="1352DE"/>
            </w:tcBorders>
          </w:tcPr>
          <w:p>
            <w:pPr>
              <w:jc w:val="right"/>
              <w:ind w:right="168"/>
              <w:spacing w:after="0"/>
              <w:rPr>
                <w:sz w:val="20"/>
                <w:szCs w:val="20"/>
                <w:color w:val="auto"/>
              </w:rPr>
            </w:pPr>
            <w:r>
              <w:rPr>
                <w:rFonts w:ascii="Arial" w:cs="Arial" w:eastAsia="Arial" w:hAnsi="Arial"/>
                <w:sz w:val="14"/>
                <w:szCs w:val="14"/>
                <w:color w:val="1252DE"/>
              </w:rPr>
              <w:t>Repurchased</w:t>
            </w:r>
          </w:p>
        </w:tc>
        <w:tc>
          <w:tcPr>
            <w:tcW w:w="440" w:type="dxa"/>
            <w:vAlign w:val="bottom"/>
            <w:tcBorders>
              <w:bottom w:val="single" w:sz="8" w:color="1352DE"/>
            </w:tcBorders>
          </w:tcPr>
          <w:p>
            <w:pPr>
              <w:spacing w:after="0"/>
              <w:rPr>
                <w:sz w:val="18"/>
                <w:szCs w:val="18"/>
                <w:color w:val="auto"/>
              </w:rPr>
            </w:pPr>
          </w:p>
        </w:tc>
        <w:tc>
          <w:tcPr>
            <w:tcW w:w="1600" w:type="dxa"/>
            <w:vAlign w:val="bottom"/>
            <w:tcBorders>
              <w:bottom w:val="single" w:sz="8" w:color="1352DE"/>
            </w:tcBorders>
          </w:tcPr>
          <w:p>
            <w:pPr>
              <w:jc w:val="right"/>
              <w:ind w:right="388"/>
              <w:spacing w:after="0"/>
              <w:rPr>
                <w:sz w:val="20"/>
                <w:szCs w:val="20"/>
                <w:color w:val="auto"/>
              </w:rPr>
            </w:pPr>
            <w:r>
              <w:rPr>
                <w:rFonts w:ascii="Arial" w:cs="Arial" w:eastAsia="Arial" w:hAnsi="Arial"/>
                <w:sz w:val="14"/>
                <w:szCs w:val="14"/>
                <w:color w:val="1252DE"/>
              </w:rPr>
              <w:t>Paid per Share*</w:t>
            </w:r>
          </w:p>
        </w:tc>
        <w:tc>
          <w:tcPr>
            <w:tcW w:w="2520" w:type="dxa"/>
            <w:vAlign w:val="bottom"/>
            <w:tcBorders>
              <w:bottom w:val="single" w:sz="8" w:color="1352DE"/>
            </w:tcBorders>
          </w:tcPr>
          <w:p>
            <w:pPr>
              <w:jc w:val="right"/>
              <w:ind w:right="468"/>
              <w:spacing w:after="0"/>
              <w:rPr>
                <w:sz w:val="20"/>
                <w:szCs w:val="20"/>
                <w:color w:val="auto"/>
              </w:rPr>
            </w:pPr>
            <w:r>
              <w:rPr>
                <w:rFonts w:ascii="Arial" w:cs="Arial" w:eastAsia="Arial" w:hAnsi="Arial"/>
                <w:sz w:val="14"/>
                <w:szCs w:val="14"/>
                <w:color w:val="1252DE"/>
              </w:rPr>
              <w:t>Plans or Programs</w:t>
            </w:r>
          </w:p>
        </w:tc>
        <w:tc>
          <w:tcPr>
            <w:tcW w:w="2300" w:type="dxa"/>
            <w:vAlign w:val="bottom"/>
            <w:tcBorders>
              <w:bottom w:val="single" w:sz="8" w:color="1352DE"/>
            </w:tcBorders>
            <w:gridSpan w:val="2"/>
          </w:tcPr>
          <w:p>
            <w:pPr>
              <w:jc w:val="right"/>
              <w:spacing w:after="0"/>
              <w:rPr>
                <w:sz w:val="20"/>
                <w:szCs w:val="20"/>
                <w:color w:val="auto"/>
              </w:rPr>
            </w:pPr>
            <w:r>
              <w:rPr>
                <w:rFonts w:ascii="Arial" w:cs="Arial" w:eastAsia="Arial" w:hAnsi="Arial"/>
                <w:sz w:val="14"/>
                <w:szCs w:val="14"/>
                <w:color w:val="1252DE"/>
              </w:rPr>
              <w:t>or Programs (in millions)</w:t>
            </w:r>
          </w:p>
        </w:tc>
        <w:tc>
          <w:tcPr>
            <w:tcW w:w="0" w:type="dxa"/>
            <w:vAlign w:val="bottom"/>
          </w:tcPr>
          <w:p>
            <w:pPr>
              <w:spacing w:after="0"/>
              <w:rPr>
                <w:sz w:val="1"/>
                <w:szCs w:val="1"/>
                <w:color w:val="auto"/>
              </w:rPr>
            </w:pPr>
          </w:p>
        </w:tc>
      </w:tr>
      <w:tr>
        <w:trPr>
          <w:trHeight w:val="192"/>
        </w:trPr>
        <w:tc>
          <w:tcPr>
            <w:tcW w:w="2160" w:type="dxa"/>
            <w:vAlign w:val="bottom"/>
          </w:tcPr>
          <w:p>
            <w:pPr>
              <w:ind w:left="40"/>
              <w:spacing w:after="0"/>
              <w:rPr>
                <w:sz w:val="20"/>
                <w:szCs w:val="20"/>
                <w:color w:val="auto"/>
              </w:rPr>
            </w:pPr>
            <w:r>
              <w:rPr>
                <w:rFonts w:ascii="Arial" w:cs="Arial" w:eastAsia="Arial" w:hAnsi="Arial"/>
                <w:sz w:val="14"/>
                <w:szCs w:val="14"/>
                <w:color w:val="auto"/>
              </w:rPr>
              <w:t>July 1-31</w:t>
            </w:r>
          </w:p>
        </w:tc>
        <w:tc>
          <w:tcPr>
            <w:tcW w:w="2200" w:type="dxa"/>
            <w:vAlign w:val="bottom"/>
          </w:tcPr>
          <w:p>
            <w:pPr>
              <w:jc w:val="right"/>
              <w:ind w:right="208"/>
              <w:spacing w:after="0"/>
              <w:rPr>
                <w:sz w:val="20"/>
                <w:szCs w:val="20"/>
                <w:color w:val="auto"/>
              </w:rPr>
            </w:pPr>
            <w:r>
              <w:rPr>
                <w:rFonts w:ascii="Arial" w:cs="Arial" w:eastAsia="Arial" w:hAnsi="Arial"/>
                <w:sz w:val="14"/>
                <w:szCs w:val="14"/>
                <w:color w:val="auto"/>
              </w:rPr>
              <w:t>2,463,935</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79.21</w:t>
            </w:r>
          </w:p>
        </w:tc>
        <w:tc>
          <w:tcPr>
            <w:tcW w:w="2520" w:type="dxa"/>
            <w:vAlign w:val="bottom"/>
          </w:tcPr>
          <w:p>
            <w:pPr>
              <w:jc w:val="right"/>
              <w:ind w:right="508"/>
              <w:spacing w:after="0"/>
              <w:rPr>
                <w:sz w:val="20"/>
                <w:szCs w:val="20"/>
                <w:color w:val="auto"/>
              </w:rPr>
            </w:pPr>
            <w:r>
              <w:rPr>
                <w:rFonts w:ascii="Arial" w:cs="Arial" w:eastAsia="Arial" w:hAnsi="Arial"/>
                <w:sz w:val="14"/>
                <w:szCs w:val="14"/>
                <w:color w:val="auto"/>
              </w:rPr>
              <w:t>2,463,935</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Arial" w:cs="Arial" w:eastAsia="Arial" w:hAnsi="Arial"/>
                <w:sz w:val="14"/>
                <w:szCs w:val="14"/>
                <w:color w:val="auto"/>
              </w:rPr>
              <w:t>August 1-31</w:t>
            </w:r>
          </w:p>
        </w:tc>
        <w:tc>
          <w:tcPr>
            <w:tcW w:w="2200" w:type="dxa"/>
            <w:vAlign w:val="bottom"/>
          </w:tcPr>
          <w:p>
            <w:pPr>
              <w:jc w:val="right"/>
              <w:ind w:right="208"/>
              <w:spacing w:after="0"/>
              <w:rPr>
                <w:sz w:val="20"/>
                <w:szCs w:val="20"/>
                <w:color w:val="auto"/>
              </w:rPr>
            </w:pPr>
            <w:r>
              <w:rPr>
                <w:rFonts w:ascii="Arial" w:cs="Arial" w:eastAsia="Arial" w:hAnsi="Arial"/>
                <w:sz w:val="14"/>
                <w:szCs w:val="14"/>
                <w:color w:val="auto"/>
              </w:rPr>
              <w:t>2,182,145</w:t>
            </w:r>
          </w:p>
        </w:tc>
        <w:tc>
          <w:tcPr>
            <w:tcW w:w="440" w:type="dxa"/>
            <w:vAlign w:val="bottom"/>
          </w:tcPr>
          <w:p>
            <w:pPr>
              <w:spacing w:after="0"/>
              <w:rPr>
                <w:sz w:val="17"/>
                <w:szCs w:val="17"/>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77.30</w:t>
            </w:r>
          </w:p>
        </w:tc>
        <w:tc>
          <w:tcPr>
            <w:tcW w:w="2520" w:type="dxa"/>
            <w:vAlign w:val="bottom"/>
          </w:tcPr>
          <w:p>
            <w:pPr>
              <w:jc w:val="right"/>
              <w:ind w:right="508"/>
              <w:spacing w:after="0"/>
              <w:rPr>
                <w:sz w:val="20"/>
                <w:szCs w:val="20"/>
                <w:color w:val="auto"/>
              </w:rPr>
            </w:pPr>
            <w:r>
              <w:rPr>
                <w:rFonts w:ascii="Arial" w:cs="Arial" w:eastAsia="Arial" w:hAnsi="Arial"/>
                <w:sz w:val="14"/>
                <w:szCs w:val="14"/>
                <w:color w:val="auto"/>
              </w:rPr>
              <w:t>2,182,145</w:t>
            </w:r>
          </w:p>
        </w:tc>
        <w:tc>
          <w:tcPr>
            <w:tcW w:w="1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216"/>
        </w:trPr>
        <w:tc>
          <w:tcPr>
            <w:tcW w:w="2160" w:type="dxa"/>
            <w:vAlign w:val="bottom"/>
          </w:tcPr>
          <w:p>
            <w:pPr>
              <w:ind w:left="40"/>
              <w:spacing w:after="0"/>
              <w:rPr>
                <w:sz w:val="20"/>
                <w:szCs w:val="20"/>
                <w:color w:val="auto"/>
              </w:rPr>
            </w:pPr>
            <w:r>
              <w:rPr>
                <w:rFonts w:ascii="Arial" w:cs="Arial" w:eastAsia="Arial" w:hAnsi="Arial"/>
                <w:sz w:val="14"/>
                <w:szCs w:val="14"/>
                <w:color w:val="auto"/>
              </w:rPr>
              <w:t>September 1-30</w:t>
            </w:r>
          </w:p>
        </w:tc>
        <w:tc>
          <w:tcPr>
            <w:tcW w:w="2200" w:type="dxa"/>
            <w:vAlign w:val="bottom"/>
          </w:tcPr>
          <w:p>
            <w:pPr>
              <w:jc w:val="right"/>
              <w:ind w:right="208"/>
              <w:spacing w:after="0"/>
              <w:rPr>
                <w:sz w:val="20"/>
                <w:szCs w:val="20"/>
                <w:color w:val="auto"/>
              </w:rPr>
            </w:pPr>
            <w:r>
              <w:rPr>
                <w:rFonts w:ascii="Arial" w:cs="Arial" w:eastAsia="Arial" w:hAnsi="Arial"/>
                <w:sz w:val="14"/>
                <w:szCs w:val="14"/>
                <w:color w:val="auto"/>
              </w:rPr>
              <w:t>2,165,494</w:t>
            </w:r>
          </w:p>
        </w:tc>
        <w:tc>
          <w:tcPr>
            <w:tcW w:w="440" w:type="dxa"/>
            <w:vAlign w:val="bottom"/>
          </w:tcPr>
          <w:p>
            <w:pPr>
              <w:spacing w:after="0"/>
              <w:rPr>
                <w:sz w:val="18"/>
                <w:szCs w:val="18"/>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75.35</w:t>
            </w:r>
          </w:p>
        </w:tc>
        <w:tc>
          <w:tcPr>
            <w:tcW w:w="2520" w:type="dxa"/>
            <w:vAlign w:val="bottom"/>
          </w:tcPr>
          <w:p>
            <w:pPr>
              <w:jc w:val="right"/>
              <w:ind w:right="508"/>
              <w:spacing w:after="0"/>
              <w:rPr>
                <w:sz w:val="20"/>
                <w:szCs w:val="20"/>
                <w:color w:val="auto"/>
              </w:rPr>
            </w:pPr>
            <w:r>
              <w:rPr>
                <w:rFonts w:ascii="Arial" w:cs="Arial" w:eastAsia="Arial" w:hAnsi="Arial"/>
                <w:sz w:val="14"/>
                <w:szCs w:val="14"/>
                <w:color w:val="auto"/>
              </w:rPr>
              <w:t>2,165,494</w:t>
            </w:r>
          </w:p>
        </w:tc>
        <w:tc>
          <w:tcPr>
            <w:tcW w:w="1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22"/>
        </w:trPr>
        <w:tc>
          <w:tcPr>
            <w:tcW w:w="2160" w:type="dxa"/>
            <w:vAlign w:val="bottom"/>
            <w:tcBorders>
              <w:bottom w:val="single" w:sz="8" w:color="1352DE"/>
            </w:tcBorders>
          </w:tcPr>
          <w:p>
            <w:pPr>
              <w:spacing w:after="0" w:line="20" w:lineRule="exact"/>
              <w:rPr>
                <w:sz w:val="1"/>
                <w:szCs w:val="1"/>
                <w:color w:val="auto"/>
              </w:rPr>
            </w:pPr>
          </w:p>
        </w:tc>
        <w:tc>
          <w:tcPr>
            <w:tcW w:w="2200" w:type="dxa"/>
            <w:vAlign w:val="bottom"/>
            <w:tcBorders>
              <w:bottom w:val="single" w:sz="8" w:color="1352DE"/>
            </w:tcBorders>
          </w:tcPr>
          <w:p>
            <w:pPr>
              <w:spacing w:after="0" w:line="20" w:lineRule="exact"/>
              <w:rPr>
                <w:sz w:val="1"/>
                <w:szCs w:val="1"/>
                <w:color w:val="auto"/>
              </w:rPr>
            </w:pPr>
          </w:p>
        </w:tc>
        <w:tc>
          <w:tcPr>
            <w:tcW w:w="440" w:type="dxa"/>
            <w:vAlign w:val="bottom"/>
            <w:tcBorders>
              <w:bottom w:val="single" w:sz="8" w:color="1352DE"/>
            </w:tcBorders>
          </w:tcPr>
          <w:p>
            <w:pPr>
              <w:spacing w:after="0" w:line="20" w:lineRule="exact"/>
              <w:rPr>
                <w:sz w:val="1"/>
                <w:szCs w:val="1"/>
                <w:color w:val="auto"/>
              </w:rPr>
            </w:pPr>
          </w:p>
        </w:tc>
        <w:tc>
          <w:tcPr>
            <w:tcW w:w="1600" w:type="dxa"/>
            <w:vAlign w:val="bottom"/>
            <w:tcBorders>
              <w:bottom w:val="single" w:sz="8" w:color="1352DE"/>
            </w:tcBorders>
          </w:tcPr>
          <w:p>
            <w:pPr>
              <w:spacing w:after="0" w:line="20" w:lineRule="exact"/>
              <w:rPr>
                <w:sz w:val="1"/>
                <w:szCs w:val="1"/>
                <w:color w:val="auto"/>
              </w:rPr>
            </w:pPr>
          </w:p>
        </w:tc>
        <w:tc>
          <w:tcPr>
            <w:tcW w:w="2520" w:type="dxa"/>
            <w:vAlign w:val="bottom"/>
            <w:tcBorders>
              <w:bottom w:val="single" w:sz="8" w:color="1352DE"/>
            </w:tcBorders>
          </w:tcPr>
          <w:p>
            <w:pPr>
              <w:spacing w:after="0" w:line="20" w:lineRule="exact"/>
              <w:rPr>
                <w:sz w:val="1"/>
                <w:szCs w:val="1"/>
                <w:color w:val="auto"/>
              </w:rPr>
            </w:pPr>
          </w:p>
        </w:tc>
        <w:tc>
          <w:tcPr>
            <w:tcW w:w="1440" w:type="dxa"/>
            <w:vAlign w:val="bottom"/>
            <w:tcBorders>
              <w:bottom w:val="single" w:sz="8" w:color="1352DE"/>
            </w:tcBorders>
          </w:tcPr>
          <w:p>
            <w:pPr>
              <w:spacing w:after="0" w:line="20" w:lineRule="exact"/>
              <w:rPr>
                <w:sz w:val="1"/>
                <w:szCs w:val="1"/>
                <w:color w:val="auto"/>
              </w:rPr>
            </w:pPr>
          </w:p>
        </w:tc>
        <w:tc>
          <w:tcPr>
            <w:tcW w:w="860" w:type="dxa"/>
            <w:vAlign w:val="bottom"/>
            <w:tcBorders>
              <w:bottom w:val="single" w:sz="8" w:color="1352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160" w:type="dxa"/>
            <w:vAlign w:val="bottom"/>
            <w:tcBorders>
              <w:bottom w:val="single" w:sz="8" w:color="1352DE"/>
            </w:tcBorders>
          </w:tcPr>
          <w:p>
            <w:pPr>
              <w:ind w:left="40"/>
              <w:spacing w:after="0"/>
              <w:rPr>
                <w:sz w:val="20"/>
                <w:szCs w:val="20"/>
                <w:color w:val="auto"/>
              </w:rPr>
            </w:pPr>
            <w:r>
              <w:rPr>
                <w:rFonts w:ascii="Arial" w:cs="Arial" w:eastAsia="Arial" w:hAnsi="Arial"/>
                <w:sz w:val="14"/>
                <w:szCs w:val="14"/>
                <w:b w:val="1"/>
                <w:bCs w:val="1"/>
                <w:color w:val="1252DE"/>
              </w:rPr>
              <w:t>Total</w:t>
            </w:r>
          </w:p>
        </w:tc>
        <w:tc>
          <w:tcPr>
            <w:tcW w:w="2200" w:type="dxa"/>
            <w:vAlign w:val="bottom"/>
            <w:tcBorders>
              <w:bottom w:val="single" w:sz="8" w:color="1352DE"/>
            </w:tcBorders>
          </w:tcPr>
          <w:p>
            <w:pPr>
              <w:jc w:val="right"/>
              <w:ind w:right="208"/>
              <w:spacing w:after="0"/>
              <w:rPr>
                <w:sz w:val="20"/>
                <w:szCs w:val="20"/>
                <w:color w:val="auto"/>
              </w:rPr>
            </w:pPr>
            <w:r>
              <w:rPr>
                <w:rFonts w:ascii="Arial" w:cs="Arial" w:eastAsia="Arial" w:hAnsi="Arial"/>
                <w:sz w:val="14"/>
                <w:szCs w:val="14"/>
                <w:b w:val="1"/>
                <w:bCs w:val="1"/>
                <w:color w:val="1252DE"/>
              </w:rPr>
              <w:t>6,811,574</w:t>
            </w:r>
          </w:p>
        </w:tc>
        <w:tc>
          <w:tcPr>
            <w:tcW w:w="440" w:type="dxa"/>
            <w:vAlign w:val="bottom"/>
            <w:tcBorders>
              <w:bottom w:val="single" w:sz="8" w:color="1352DE"/>
            </w:tcBorders>
          </w:tcPr>
          <w:p>
            <w:pPr>
              <w:jc w:val="right"/>
              <w:ind w:right="48"/>
              <w:spacing w:after="0"/>
              <w:rPr>
                <w:sz w:val="20"/>
                <w:szCs w:val="20"/>
                <w:color w:val="auto"/>
              </w:rPr>
            </w:pPr>
            <w:r>
              <w:rPr>
                <w:rFonts w:ascii="Arial" w:cs="Arial" w:eastAsia="Arial" w:hAnsi="Arial"/>
                <w:sz w:val="14"/>
                <w:szCs w:val="14"/>
                <w:b w:val="1"/>
                <w:bCs w:val="1"/>
                <w:color w:val="1252DE"/>
              </w:rPr>
              <w:t>$</w:t>
            </w:r>
          </w:p>
        </w:tc>
        <w:tc>
          <w:tcPr>
            <w:tcW w:w="1600" w:type="dxa"/>
            <w:vAlign w:val="bottom"/>
            <w:tcBorders>
              <w:bottom w:val="single" w:sz="8" w:color="1352DE"/>
            </w:tcBorders>
          </w:tcPr>
          <w:p>
            <w:pPr>
              <w:jc w:val="right"/>
              <w:ind w:right="428"/>
              <w:spacing w:after="0"/>
              <w:rPr>
                <w:sz w:val="20"/>
                <w:szCs w:val="20"/>
                <w:color w:val="auto"/>
              </w:rPr>
            </w:pPr>
            <w:r>
              <w:rPr>
                <w:rFonts w:ascii="Arial" w:cs="Arial" w:eastAsia="Arial" w:hAnsi="Arial"/>
                <w:sz w:val="14"/>
                <w:szCs w:val="14"/>
                <w:b w:val="1"/>
                <w:bCs w:val="1"/>
                <w:color w:val="1252DE"/>
              </w:rPr>
              <w:t>77.37</w:t>
            </w:r>
          </w:p>
        </w:tc>
        <w:tc>
          <w:tcPr>
            <w:tcW w:w="2520" w:type="dxa"/>
            <w:vAlign w:val="bottom"/>
            <w:tcBorders>
              <w:bottom w:val="single" w:sz="8" w:color="1352DE"/>
            </w:tcBorders>
          </w:tcPr>
          <w:p>
            <w:pPr>
              <w:jc w:val="right"/>
              <w:ind w:right="508"/>
              <w:spacing w:after="0"/>
              <w:rPr>
                <w:sz w:val="20"/>
                <w:szCs w:val="20"/>
                <w:color w:val="auto"/>
              </w:rPr>
            </w:pPr>
            <w:r>
              <w:rPr>
                <w:rFonts w:ascii="Arial" w:cs="Arial" w:eastAsia="Arial" w:hAnsi="Arial"/>
                <w:sz w:val="14"/>
                <w:szCs w:val="14"/>
                <w:b w:val="1"/>
                <w:bCs w:val="1"/>
                <w:color w:val="1252DE"/>
              </w:rPr>
              <w:t>6,811,574</w:t>
            </w:r>
          </w:p>
        </w:tc>
        <w:tc>
          <w:tcPr>
            <w:tcW w:w="1440" w:type="dxa"/>
            <w:vAlign w:val="bottom"/>
            <w:tcBorders>
              <w:bottom w:val="single" w:sz="8" w:color="1352DE"/>
            </w:tcBorders>
          </w:tcPr>
          <w:p>
            <w:pPr>
              <w:jc w:val="right"/>
              <w:ind w:right="348"/>
              <w:spacing w:after="0"/>
              <w:rPr>
                <w:sz w:val="20"/>
                <w:szCs w:val="20"/>
                <w:color w:val="auto"/>
              </w:rPr>
            </w:pPr>
            <w:r>
              <w:rPr>
                <w:rFonts w:ascii="Arial" w:cs="Arial" w:eastAsia="Arial" w:hAnsi="Arial"/>
                <w:sz w:val="14"/>
                <w:szCs w:val="14"/>
                <w:b w:val="1"/>
                <w:bCs w:val="1"/>
                <w:color w:val="1252DE"/>
              </w:rPr>
              <w:t>$</w:t>
            </w:r>
          </w:p>
        </w:tc>
        <w:tc>
          <w:tcPr>
            <w:tcW w:w="860" w:type="dxa"/>
            <w:vAlign w:val="bottom"/>
            <w:tcBorders>
              <w:bottom w:val="single" w:sz="8" w:color="1352DE"/>
            </w:tcBorders>
          </w:tcPr>
          <w:p>
            <w:pPr>
              <w:jc w:val="right"/>
              <w:spacing w:after="0"/>
              <w:rPr>
                <w:sz w:val="20"/>
                <w:szCs w:val="20"/>
                <w:color w:val="auto"/>
              </w:rPr>
            </w:pPr>
            <w:r>
              <w:rPr>
                <w:rFonts w:ascii="Arial" w:cs="Arial" w:eastAsia="Arial" w:hAnsi="Arial"/>
                <w:sz w:val="14"/>
                <w:szCs w:val="14"/>
                <w:b w:val="1"/>
                <w:bCs w:val="1"/>
                <w:color w:val="1252DE"/>
              </w:rPr>
              <w:t>2,225</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Excludes excise tax of $5 million due to the Inflation Reduction Act of 2022 for the three months ended September 30, 2026.</w:t>
      </w:r>
    </w:p>
    <w:p>
      <w:pPr>
        <w:spacing w:after="0" w:line="178"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During the three months ended September 30, 2026, American International Group, Inc. repurchased approximately 7 million shares of AIG common stock, par value $2.50 per share (AIG Common Stock) for an aggregate purchase price of $0.5 billion. From October 1, 2026 to October 29, 2026, we repurchased approximately 1 million shares of AIG Common Stock for an aggregate purchase price of approximately $88 million.</w:t>
      </w:r>
    </w:p>
    <w:p>
      <w:pPr>
        <w:spacing w:after="0" w:line="64"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Shares may be repurchased from time to time in the open market, private purchases, through forward, derivative, accelerated repurchase or automatic repurchase transactions or otherwise. Certain of our share repurchases have been and may from time to time be effected through Rule 10b5-1 plans. The timing of any future share repurchases will depend on market conditions, our business and strategic plans, financial condition, results of operations, liquidity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ITEM 5 | </w:t>
      </w:r>
      <w:r>
        <w:rPr>
          <w:rFonts w:ascii="Arial" w:cs="Arial" w:eastAsia="Arial" w:hAnsi="Arial"/>
          <w:sz w:val="32"/>
          <w:szCs w:val="32"/>
          <w:color w:val="001871"/>
        </w:rPr>
        <w:t>Other Information</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24771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hanging="734"/>
        <w:spacing w:after="0"/>
        <w:tabs>
          <w:tab w:leader="none" w:pos="760" w:val="left"/>
        </w:tabs>
        <w:numPr>
          <w:ilvl w:val="0"/>
          <w:numId w:val="120"/>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4420" w:type="dxa"/>
            <w:vAlign w:val="bottom"/>
            <w:gridSpan w:val="2"/>
          </w:tcPr>
          <w:p>
            <w:pPr>
              <w:ind w:left="3000"/>
              <w:spacing w:after="0"/>
              <w:rPr>
                <w:sz w:val="20"/>
                <w:szCs w:val="20"/>
                <w:color w:val="auto"/>
              </w:rPr>
            </w:pPr>
            <w:r>
              <w:rPr>
                <w:rFonts w:ascii="Arial" w:cs="Arial" w:eastAsia="Arial" w:hAnsi="Arial"/>
                <w:sz w:val="13"/>
                <w:szCs w:val="13"/>
                <w:color w:val="0000FF"/>
              </w:rPr>
              <w:t>TABLE OF CONTENTS</w:t>
            </w:r>
          </w:p>
        </w:tc>
      </w:tr>
      <w:tr>
        <w:trPr>
          <w:trHeight w:val="1097"/>
        </w:trPr>
        <w:tc>
          <w:tcPr>
            <w:tcW w:w="6820" w:type="dxa"/>
            <w:vAlign w:val="bottom"/>
            <w:gridSpan w:val="2"/>
          </w:tcPr>
          <w:p>
            <w:pPr>
              <w:spacing w:after="0"/>
              <w:rPr>
                <w:sz w:val="20"/>
                <w:szCs w:val="20"/>
                <w:color w:val="auto"/>
              </w:rPr>
            </w:pPr>
            <w:r>
              <w:rPr>
                <w:rFonts w:ascii="Arial" w:cs="Arial" w:eastAsia="Arial" w:hAnsi="Arial"/>
                <w:sz w:val="32"/>
                <w:szCs w:val="32"/>
                <w:color w:val="auto"/>
              </w:rPr>
              <w:t xml:space="preserve">ITEM 6 | </w:t>
            </w:r>
            <w:r>
              <w:rPr>
                <w:rFonts w:ascii="Arial" w:cs="Arial" w:eastAsia="Arial" w:hAnsi="Arial"/>
                <w:sz w:val="32"/>
                <w:szCs w:val="32"/>
                <w:color w:val="001770"/>
              </w:rPr>
              <w:t>Exhibits</w:t>
            </w:r>
          </w:p>
        </w:tc>
        <w:tc>
          <w:tcPr>
            <w:tcW w:w="3000" w:type="dxa"/>
            <w:vAlign w:val="bottom"/>
          </w:tcPr>
          <w:p>
            <w:pPr>
              <w:spacing w:after="0"/>
              <w:rPr>
                <w:sz w:val="24"/>
                <w:szCs w:val="24"/>
                <w:color w:val="auto"/>
              </w:rPr>
            </w:pPr>
          </w:p>
        </w:tc>
        <w:tc>
          <w:tcPr>
            <w:tcW w:w="1420" w:type="dxa"/>
            <w:vAlign w:val="bottom"/>
            <w:tcBorders>
              <w:top w:val="single" w:sz="8" w:color="0000FF"/>
            </w:tcBorders>
          </w:tcPr>
          <w:p>
            <w:pPr>
              <w:spacing w:after="0"/>
              <w:rPr>
                <w:sz w:val="24"/>
                <w:szCs w:val="24"/>
                <w:color w:val="auto"/>
              </w:rPr>
            </w:pPr>
          </w:p>
        </w:tc>
      </w:tr>
      <w:tr>
        <w:trPr>
          <w:trHeight w:val="956"/>
        </w:trPr>
        <w:tc>
          <w:tcPr>
            <w:tcW w:w="6820" w:type="dxa"/>
            <w:vAlign w:val="bottom"/>
            <w:tcBorders>
              <w:bottom w:val="single" w:sz="8" w:color="1352DE"/>
            </w:tcBorders>
            <w:gridSpan w:val="2"/>
          </w:tcPr>
          <w:p>
            <w:pPr>
              <w:spacing w:after="0"/>
              <w:rPr>
                <w:sz w:val="20"/>
                <w:szCs w:val="20"/>
                <w:color w:val="auto"/>
              </w:rPr>
            </w:pPr>
            <w:r>
              <w:rPr>
                <w:rFonts w:ascii="Arial" w:cs="Arial" w:eastAsia="Arial" w:hAnsi="Arial"/>
                <w:sz w:val="47"/>
                <w:szCs w:val="47"/>
                <w:b w:val="1"/>
                <w:bCs w:val="1"/>
                <w:color w:val="1252DE"/>
              </w:rPr>
              <w:t>Exhibit Index</w:t>
            </w:r>
          </w:p>
        </w:tc>
        <w:tc>
          <w:tcPr>
            <w:tcW w:w="3000" w:type="dxa"/>
            <w:vAlign w:val="bottom"/>
            <w:tcBorders>
              <w:bottom w:val="single" w:sz="8" w:color="1352DE"/>
            </w:tcBorders>
          </w:tcPr>
          <w:p>
            <w:pPr>
              <w:spacing w:after="0"/>
              <w:rPr>
                <w:sz w:val="24"/>
                <w:szCs w:val="24"/>
                <w:color w:val="auto"/>
              </w:rPr>
            </w:pPr>
          </w:p>
        </w:tc>
        <w:tc>
          <w:tcPr>
            <w:tcW w:w="1420" w:type="dxa"/>
            <w:vAlign w:val="bottom"/>
            <w:tcBorders>
              <w:bottom w:val="single" w:sz="8" w:color="1352DE"/>
            </w:tcBorders>
          </w:tcPr>
          <w:p>
            <w:pPr>
              <w:spacing w:after="0"/>
              <w:rPr>
                <w:sz w:val="24"/>
                <w:szCs w:val="24"/>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3"/>
                <w:szCs w:val="13"/>
                <w:color w:val="1252DE"/>
              </w:rPr>
              <w:t>Exhibit</w:t>
            </w:r>
          </w:p>
        </w:tc>
        <w:tc>
          <w:tcPr>
            <w:tcW w:w="56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0"/>
        </w:trPr>
        <w:tc>
          <w:tcPr>
            <w:tcW w:w="114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1252DE"/>
              </w:rPr>
              <w:t>Number</w:t>
            </w:r>
          </w:p>
        </w:tc>
        <w:tc>
          <w:tcPr>
            <w:tcW w:w="5680" w:type="dxa"/>
            <w:vAlign w:val="bottom"/>
            <w:tcBorders>
              <w:bottom w:val="single" w:sz="8" w:color="1352DE"/>
            </w:tcBorders>
          </w:tcPr>
          <w:p>
            <w:pPr>
              <w:ind w:left="20"/>
              <w:spacing w:after="0"/>
              <w:rPr>
                <w:sz w:val="20"/>
                <w:szCs w:val="20"/>
                <w:color w:val="auto"/>
              </w:rPr>
            </w:pPr>
            <w:r>
              <w:rPr>
                <w:rFonts w:ascii="Arial" w:cs="Arial" w:eastAsia="Arial" w:hAnsi="Arial"/>
                <w:sz w:val="13"/>
                <w:szCs w:val="13"/>
                <w:color w:val="1252DE"/>
              </w:rPr>
              <w:t>Description</w:t>
            </w:r>
          </w:p>
        </w:tc>
        <w:tc>
          <w:tcPr>
            <w:tcW w:w="4420" w:type="dxa"/>
            <w:vAlign w:val="bottom"/>
            <w:tcBorders>
              <w:bottom w:val="single" w:sz="8" w:color="1352DE"/>
            </w:tcBorders>
            <w:gridSpan w:val="2"/>
          </w:tcPr>
          <w:p>
            <w:pPr>
              <w:ind w:left="60"/>
              <w:spacing w:after="0"/>
              <w:rPr>
                <w:sz w:val="20"/>
                <w:szCs w:val="20"/>
                <w:color w:val="auto"/>
              </w:rPr>
            </w:pPr>
            <w:r>
              <w:rPr>
                <w:rFonts w:ascii="Arial" w:cs="Arial" w:eastAsia="Arial" w:hAnsi="Arial"/>
                <w:sz w:val="13"/>
                <w:szCs w:val="13"/>
                <w:color w:val="1252DE"/>
              </w:rPr>
              <w:t>Location</w:t>
            </w:r>
          </w:p>
        </w:tc>
      </w:tr>
      <w:tr>
        <w:trPr>
          <w:trHeight w:val="153"/>
        </w:trPr>
        <w:tc>
          <w:tcPr>
            <w:tcW w:w="1140" w:type="dxa"/>
            <w:vAlign w:val="bottom"/>
          </w:tcPr>
          <w:p>
            <w:pPr>
              <w:ind w:left="80"/>
              <w:spacing w:after="0" w:line="153" w:lineRule="exact"/>
              <w:rPr>
                <w:sz w:val="20"/>
                <w:szCs w:val="20"/>
                <w:color w:val="auto"/>
              </w:rPr>
            </w:pPr>
            <w:r>
              <w:rPr>
                <w:rFonts w:ascii="Arial" w:cs="Arial" w:eastAsia="Arial" w:hAnsi="Arial"/>
                <w:sz w:val="14"/>
                <w:szCs w:val="14"/>
                <w:color w:val="242424"/>
              </w:rPr>
              <w:t>4</w:t>
            </w:r>
          </w:p>
        </w:tc>
        <w:tc>
          <w:tcPr>
            <w:tcW w:w="5680" w:type="dxa"/>
            <w:vAlign w:val="bottom"/>
          </w:tcPr>
          <w:p>
            <w:pPr>
              <w:ind w:left="20"/>
              <w:spacing w:after="0" w:line="153" w:lineRule="exact"/>
              <w:rPr>
                <w:rFonts w:ascii="Arial" w:cs="Arial" w:eastAsia="Arial" w:hAnsi="Arial"/>
                <w:sz w:val="14"/>
                <w:szCs w:val="14"/>
                <w:color w:val="242424"/>
              </w:rPr>
            </w:pPr>
            <w:hyperlink r:id="rId392">
              <w:r>
                <w:rPr>
                  <w:rFonts w:ascii="Arial" w:cs="Arial" w:eastAsia="Arial" w:hAnsi="Arial"/>
                  <w:sz w:val="14"/>
                  <w:szCs w:val="14"/>
                  <w:color w:val="242424"/>
                </w:rPr>
                <w:t>(1) Forty-Eighth Supplemental Indenture, dated September 24, 2026, between AIG and</w:t>
              </w:r>
            </w:hyperlink>
          </w:p>
        </w:tc>
        <w:tc>
          <w:tcPr>
            <w:tcW w:w="4420" w:type="dxa"/>
            <w:vAlign w:val="bottom"/>
            <w:gridSpan w:val="2"/>
          </w:tcPr>
          <w:p>
            <w:pPr>
              <w:ind w:left="60"/>
              <w:spacing w:after="0" w:line="153" w:lineRule="exact"/>
              <w:rPr>
                <w:sz w:val="20"/>
                <w:szCs w:val="20"/>
                <w:color w:val="auto"/>
              </w:rPr>
            </w:pPr>
            <w:r>
              <w:rPr>
                <w:rFonts w:ascii="Arial" w:cs="Arial" w:eastAsia="Arial" w:hAnsi="Arial"/>
                <w:sz w:val="14"/>
                <w:szCs w:val="14"/>
                <w:color w:val="242424"/>
              </w:rPr>
              <w:t>Incorporated by reference to Exhibit 4.1 to AIG’s Current Report on</w:t>
            </w:r>
          </w:p>
        </w:tc>
      </w:tr>
      <w:tr>
        <w:trPr>
          <w:trHeight w:val="148"/>
        </w:trPr>
        <w:tc>
          <w:tcPr>
            <w:tcW w:w="1140" w:type="dxa"/>
            <w:vAlign w:val="bottom"/>
          </w:tcPr>
          <w:p>
            <w:pPr>
              <w:spacing w:after="0"/>
              <w:rPr>
                <w:sz w:val="12"/>
                <w:szCs w:val="12"/>
                <w:color w:val="auto"/>
              </w:rPr>
            </w:pPr>
          </w:p>
        </w:tc>
        <w:tc>
          <w:tcPr>
            <w:tcW w:w="5680" w:type="dxa"/>
            <w:vAlign w:val="bottom"/>
          </w:tcPr>
          <w:p>
            <w:pPr>
              <w:ind w:left="20"/>
              <w:spacing w:after="0" w:line="149" w:lineRule="exact"/>
              <w:rPr>
                <w:rFonts w:ascii="Arial" w:cs="Arial" w:eastAsia="Arial" w:hAnsi="Arial"/>
                <w:sz w:val="14"/>
                <w:szCs w:val="14"/>
                <w:color w:val="242424"/>
              </w:rPr>
            </w:pPr>
            <w:hyperlink r:id="rId392">
              <w:r>
                <w:rPr>
                  <w:rFonts w:ascii="Arial" w:cs="Arial" w:eastAsia="Arial" w:hAnsi="Arial"/>
                  <w:sz w:val="14"/>
                  <w:szCs w:val="14"/>
                  <w:color w:val="242424"/>
                </w:rPr>
                <w:t>The Bank of New York Mellon, as Trustee, relating to the 4.250% Notes Due 2031</w:t>
              </w:r>
            </w:hyperlink>
          </w:p>
        </w:tc>
        <w:tc>
          <w:tcPr>
            <w:tcW w:w="4420" w:type="dxa"/>
            <w:vAlign w:val="bottom"/>
            <w:gridSpan w:val="2"/>
          </w:tcPr>
          <w:p>
            <w:pPr>
              <w:ind w:left="60"/>
              <w:spacing w:after="0" w:line="149" w:lineRule="exact"/>
              <w:rPr>
                <w:sz w:val="20"/>
                <w:szCs w:val="20"/>
                <w:color w:val="auto"/>
              </w:rPr>
            </w:pPr>
            <w:r>
              <w:rPr>
                <w:rFonts w:ascii="Arial" w:cs="Arial" w:eastAsia="Arial" w:hAnsi="Arial"/>
                <w:sz w:val="14"/>
                <w:szCs w:val="14"/>
                <w:color w:val="242424"/>
              </w:rPr>
              <w:t>Form 8-K, filed with the SEC on September 24, 2026 (File No. 1-</w:t>
            </w:r>
          </w:p>
        </w:tc>
      </w:tr>
      <w:tr>
        <w:trPr>
          <w:trHeight w:val="185"/>
        </w:trPr>
        <w:tc>
          <w:tcPr>
            <w:tcW w:w="1140" w:type="dxa"/>
            <w:vAlign w:val="bottom"/>
          </w:tcPr>
          <w:p>
            <w:pPr>
              <w:spacing w:after="0"/>
              <w:rPr>
                <w:sz w:val="16"/>
                <w:szCs w:val="16"/>
                <w:color w:val="auto"/>
              </w:rPr>
            </w:pPr>
          </w:p>
        </w:tc>
        <w:tc>
          <w:tcPr>
            <w:tcW w:w="5680" w:type="dxa"/>
            <w:vAlign w:val="bottom"/>
            <w:tcBorders>
              <w:bottom w:val="single" w:sz="8" w:color="1352DE"/>
            </w:tcBorders>
          </w:tcPr>
          <w:p>
            <w:pPr>
              <w:ind w:left="20"/>
              <w:spacing w:after="0"/>
              <w:rPr>
                <w:rFonts w:ascii="Arial" w:cs="Arial" w:eastAsia="Arial" w:hAnsi="Arial"/>
                <w:sz w:val="14"/>
                <w:szCs w:val="14"/>
                <w:color w:val="242424"/>
              </w:rPr>
            </w:pPr>
            <w:hyperlink r:id="rId392">
              <w:r>
                <w:rPr>
                  <w:rFonts w:ascii="Arial" w:cs="Arial" w:eastAsia="Arial" w:hAnsi="Arial"/>
                  <w:sz w:val="14"/>
                  <w:szCs w:val="14"/>
                  <w:color w:val="242424"/>
                </w:rPr>
                <w:t>(2031 Notes)</w:t>
              </w:r>
            </w:hyperlink>
          </w:p>
        </w:tc>
        <w:tc>
          <w:tcPr>
            <w:tcW w:w="3000" w:type="dxa"/>
            <w:vAlign w:val="bottom"/>
            <w:tcBorders>
              <w:bottom w:val="single" w:sz="8" w:color="1352DE"/>
            </w:tcBorders>
          </w:tcPr>
          <w:p>
            <w:pPr>
              <w:ind w:left="60"/>
              <w:spacing w:after="0"/>
              <w:rPr>
                <w:sz w:val="20"/>
                <w:szCs w:val="20"/>
                <w:color w:val="auto"/>
              </w:rPr>
            </w:pPr>
            <w:r>
              <w:rPr>
                <w:rFonts w:ascii="Arial" w:cs="Arial" w:eastAsia="Arial" w:hAnsi="Arial"/>
                <w:sz w:val="14"/>
                <w:szCs w:val="14"/>
                <w:color w:val="242424"/>
              </w:rPr>
              <w:t>8787).</w:t>
            </w:r>
          </w:p>
        </w:tc>
        <w:tc>
          <w:tcPr>
            <w:tcW w:w="1420" w:type="dxa"/>
            <w:vAlign w:val="bottom"/>
            <w:tcBorders>
              <w:bottom w:val="single" w:sz="8" w:color="1352DE"/>
            </w:tcBorders>
          </w:tcPr>
          <w:p>
            <w:pPr>
              <w:spacing w:after="0"/>
              <w:rPr>
                <w:sz w:val="16"/>
                <w:szCs w:val="16"/>
                <w:color w:val="auto"/>
              </w:rPr>
            </w:pPr>
          </w:p>
        </w:tc>
      </w:tr>
      <w:tr>
        <w:trPr>
          <w:trHeight w:val="146"/>
        </w:trPr>
        <w:tc>
          <w:tcPr>
            <w:tcW w:w="1140" w:type="dxa"/>
            <w:vAlign w:val="bottom"/>
          </w:tcPr>
          <w:p>
            <w:pPr>
              <w:spacing w:after="0"/>
              <w:rPr>
                <w:sz w:val="12"/>
                <w:szCs w:val="12"/>
                <w:color w:val="auto"/>
              </w:rPr>
            </w:pPr>
          </w:p>
        </w:tc>
        <w:tc>
          <w:tcPr>
            <w:tcW w:w="5680" w:type="dxa"/>
            <w:vAlign w:val="bottom"/>
          </w:tcPr>
          <w:p>
            <w:pPr>
              <w:ind w:left="20"/>
              <w:spacing w:after="0" w:line="147" w:lineRule="exact"/>
              <w:rPr>
                <w:rFonts w:ascii="Arial" w:cs="Arial" w:eastAsia="Arial" w:hAnsi="Arial"/>
                <w:sz w:val="14"/>
                <w:szCs w:val="14"/>
                <w:color w:val="242424"/>
              </w:rPr>
            </w:pPr>
            <w:hyperlink r:id="rId393">
              <w:r>
                <w:rPr>
                  <w:rFonts w:ascii="Arial" w:cs="Arial" w:eastAsia="Arial" w:hAnsi="Arial"/>
                  <w:sz w:val="14"/>
                  <w:szCs w:val="14"/>
                  <w:color w:val="242424"/>
                </w:rPr>
                <w:t>(2) Forty-Ninth Supplemental Indenture, dated September 24, 2026, between AIG and</w:t>
              </w:r>
            </w:hyperlink>
          </w:p>
        </w:tc>
        <w:tc>
          <w:tcPr>
            <w:tcW w:w="4420" w:type="dxa"/>
            <w:vAlign w:val="bottom"/>
            <w:gridSpan w:val="2"/>
          </w:tcPr>
          <w:p>
            <w:pPr>
              <w:ind w:left="60"/>
              <w:spacing w:after="0" w:line="147" w:lineRule="exact"/>
              <w:rPr>
                <w:sz w:val="20"/>
                <w:szCs w:val="20"/>
                <w:color w:val="auto"/>
              </w:rPr>
            </w:pPr>
            <w:r>
              <w:rPr>
                <w:rFonts w:ascii="Arial" w:cs="Arial" w:eastAsia="Arial" w:hAnsi="Arial"/>
                <w:sz w:val="14"/>
                <w:szCs w:val="14"/>
                <w:color w:val="242424"/>
              </w:rPr>
              <w:t>Incorporated by reference to Exhibit 4.2 to AIG’s Current Report on</w:t>
            </w:r>
          </w:p>
        </w:tc>
      </w:tr>
      <w:tr>
        <w:trPr>
          <w:trHeight w:val="148"/>
        </w:trPr>
        <w:tc>
          <w:tcPr>
            <w:tcW w:w="1140" w:type="dxa"/>
            <w:vAlign w:val="bottom"/>
          </w:tcPr>
          <w:p>
            <w:pPr>
              <w:spacing w:after="0"/>
              <w:rPr>
                <w:sz w:val="12"/>
                <w:szCs w:val="12"/>
                <w:color w:val="auto"/>
              </w:rPr>
            </w:pPr>
          </w:p>
        </w:tc>
        <w:tc>
          <w:tcPr>
            <w:tcW w:w="5680" w:type="dxa"/>
            <w:vAlign w:val="bottom"/>
          </w:tcPr>
          <w:p>
            <w:pPr>
              <w:ind w:left="20"/>
              <w:spacing w:after="0" w:line="149" w:lineRule="exact"/>
              <w:rPr>
                <w:rFonts w:ascii="Arial" w:cs="Arial" w:eastAsia="Arial" w:hAnsi="Arial"/>
                <w:sz w:val="14"/>
                <w:szCs w:val="14"/>
                <w:color w:val="242424"/>
              </w:rPr>
            </w:pPr>
            <w:hyperlink r:id="rId393">
              <w:r>
                <w:rPr>
                  <w:rFonts w:ascii="Arial" w:cs="Arial" w:eastAsia="Arial" w:hAnsi="Arial"/>
                  <w:sz w:val="14"/>
                  <w:szCs w:val="14"/>
                  <w:color w:val="242424"/>
                </w:rPr>
                <w:t>The Bank of New York Mellon, as Trustee, relating to the 4.750% Notes Due 2036</w:t>
              </w:r>
            </w:hyperlink>
          </w:p>
        </w:tc>
        <w:tc>
          <w:tcPr>
            <w:tcW w:w="4420" w:type="dxa"/>
            <w:vAlign w:val="bottom"/>
            <w:gridSpan w:val="2"/>
          </w:tcPr>
          <w:p>
            <w:pPr>
              <w:ind w:left="60"/>
              <w:spacing w:after="0" w:line="149" w:lineRule="exact"/>
              <w:rPr>
                <w:sz w:val="20"/>
                <w:szCs w:val="20"/>
                <w:color w:val="auto"/>
              </w:rPr>
            </w:pPr>
            <w:r>
              <w:rPr>
                <w:rFonts w:ascii="Arial" w:cs="Arial" w:eastAsia="Arial" w:hAnsi="Arial"/>
                <w:sz w:val="14"/>
                <w:szCs w:val="14"/>
                <w:color w:val="242424"/>
              </w:rPr>
              <w:t>Form 8-K, filed with the SEC on September 24, 2026 (File No. 1-</w:t>
            </w:r>
          </w:p>
        </w:tc>
      </w:tr>
      <w:tr>
        <w:trPr>
          <w:trHeight w:val="185"/>
        </w:trPr>
        <w:tc>
          <w:tcPr>
            <w:tcW w:w="1140" w:type="dxa"/>
            <w:vAlign w:val="bottom"/>
          </w:tcPr>
          <w:p>
            <w:pPr>
              <w:spacing w:after="0"/>
              <w:rPr>
                <w:sz w:val="16"/>
                <w:szCs w:val="16"/>
                <w:color w:val="auto"/>
              </w:rPr>
            </w:pPr>
          </w:p>
        </w:tc>
        <w:tc>
          <w:tcPr>
            <w:tcW w:w="5680" w:type="dxa"/>
            <w:vAlign w:val="bottom"/>
            <w:tcBorders>
              <w:bottom w:val="single" w:sz="8" w:color="1352DE"/>
            </w:tcBorders>
          </w:tcPr>
          <w:p>
            <w:pPr>
              <w:ind w:left="20"/>
              <w:spacing w:after="0"/>
              <w:rPr>
                <w:rFonts w:ascii="Arial" w:cs="Arial" w:eastAsia="Arial" w:hAnsi="Arial"/>
                <w:sz w:val="14"/>
                <w:szCs w:val="14"/>
                <w:color w:val="242424"/>
              </w:rPr>
            </w:pPr>
            <w:hyperlink r:id="rId393">
              <w:r>
                <w:rPr>
                  <w:rFonts w:ascii="Arial" w:cs="Arial" w:eastAsia="Arial" w:hAnsi="Arial"/>
                  <w:sz w:val="14"/>
                  <w:szCs w:val="14"/>
                  <w:color w:val="242424"/>
                </w:rPr>
                <w:t>(2036 Notes)</w:t>
              </w:r>
            </w:hyperlink>
          </w:p>
        </w:tc>
        <w:tc>
          <w:tcPr>
            <w:tcW w:w="3000" w:type="dxa"/>
            <w:vAlign w:val="bottom"/>
            <w:tcBorders>
              <w:bottom w:val="single" w:sz="8" w:color="1352DE"/>
            </w:tcBorders>
          </w:tcPr>
          <w:p>
            <w:pPr>
              <w:ind w:left="60"/>
              <w:spacing w:after="0"/>
              <w:rPr>
                <w:sz w:val="20"/>
                <w:szCs w:val="20"/>
                <w:color w:val="auto"/>
              </w:rPr>
            </w:pPr>
            <w:r>
              <w:rPr>
                <w:rFonts w:ascii="Arial" w:cs="Arial" w:eastAsia="Arial" w:hAnsi="Arial"/>
                <w:sz w:val="14"/>
                <w:szCs w:val="14"/>
                <w:color w:val="242424"/>
              </w:rPr>
              <w:t>8787).</w:t>
            </w:r>
          </w:p>
        </w:tc>
        <w:tc>
          <w:tcPr>
            <w:tcW w:w="1420" w:type="dxa"/>
            <w:vAlign w:val="bottom"/>
            <w:tcBorders>
              <w:bottom w:val="single" w:sz="8" w:color="1352DE"/>
            </w:tcBorders>
          </w:tcPr>
          <w:p>
            <w:pPr>
              <w:spacing w:after="0"/>
              <w:rPr>
                <w:sz w:val="16"/>
                <w:szCs w:val="16"/>
                <w:color w:val="auto"/>
              </w:rPr>
            </w:pPr>
          </w:p>
        </w:tc>
      </w:tr>
      <w:tr>
        <w:trPr>
          <w:trHeight w:val="146"/>
        </w:trPr>
        <w:tc>
          <w:tcPr>
            <w:tcW w:w="1140" w:type="dxa"/>
            <w:vAlign w:val="bottom"/>
          </w:tcPr>
          <w:p>
            <w:pPr>
              <w:spacing w:after="0"/>
              <w:rPr>
                <w:sz w:val="12"/>
                <w:szCs w:val="12"/>
                <w:color w:val="auto"/>
              </w:rPr>
            </w:pPr>
          </w:p>
        </w:tc>
        <w:tc>
          <w:tcPr>
            <w:tcW w:w="5680" w:type="dxa"/>
            <w:vAlign w:val="bottom"/>
          </w:tcPr>
          <w:p>
            <w:pPr>
              <w:ind w:left="20"/>
              <w:spacing w:after="0" w:line="147" w:lineRule="exact"/>
              <w:rPr>
                <w:rFonts w:ascii="Arial" w:cs="Arial" w:eastAsia="Arial" w:hAnsi="Arial"/>
                <w:sz w:val="14"/>
                <w:szCs w:val="14"/>
                <w:color w:val="242424"/>
              </w:rPr>
            </w:pPr>
            <w:hyperlink r:id="rId392">
              <w:r>
                <w:rPr>
                  <w:rFonts w:ascii="Arial" w:cs="Arial" w:eastAsia="Arial" w:hAnsi="Arial"/>
                  <w:sz w:val="14"/>
                  <w:szCs w:val="14"/>
                  <w:color w:val="242424"/>
                </w:rPr>
                <w:t>(3) Form of the 2031 Notes (included in Exhibit 4.1)</w:t>
              </w:r>
            </w:hyperlink>
          </w:p>
        </w:tc>
        <w:tc>
          <w:tcPr>
            <w:tcW w:w="4420" w:type="dxa"/>
            <w:vAlign w:val="bottom"/>
            <w:gridSpan w:val="2"/>
          </w:tcPr>
          <w:p>
            <w:pPr>
              <w:ind w:left="60"/>
              <w:spacing w:after="0" w:line="147" w:lineRule="exact"/>
              <w:rPr>
                <w:sz w:val="20"/>
                <w:szCs w:val="20"/>
                <w:color w:val="auto"/>
              </w:rPr>
            </w:pPr>
            <w:r>
              <w:rPr>
                <w:rFonts w:ascii="Arial" w:cs="Arial" w:eastAsia="Arial" w:hAnsi="Arial"/>
                <w:sz w:val="14"/>
                <w:szCs w:val="14"/>
                <w:color w:val="242424"/>
              </w:rPr>
              <w:t>Incorporated by reference to Exhibit 4.3 to AIG’s Current Report on</w:t>
            </w:r>
          </w:p>
        </w:tc>
      </w:tr>
      <w:tr>
        <w:trPr>
          <w:trHeight w:val="149"/>
        </w:trPr>
        <w:tc>
          <w:tcPr>
            <w:tcW w:w="11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420" w:type="dxa"/>
            <w:vAlign w:val="bottom"/>
            <w:gridSpan w:val="2"/>
          </w:tcPr>
          <w:p>
            <w:pPr>
              <w:ind w:left="60"/>
              <w:spacing w:after="0" w:line="149" w:lineRule="exact"/>
              <w:rPr>
                <w:sz w:val="20"/>
                <w:szCs w:val="20"/>
                <w:color w:val="auto"/>
              </w:rPr>
            </w:pPr>
            <w:r>
              <w:rPr>
                <w:rFonts w:ascii="Arial" w:cs="Arial" w:eastAsia="Arial" w:hAnsi="Arial"/>
                <w:sz w:val="14"/>
                <w:szCs w:val="14"/>
                <w:color w:val="242424"/>
              </w:rPr>
              <w:t>Form 8-K, filed with the SEC on September 24, 2026 (File No. 1-</w:t>
            </w:r>
          </w:p>
        </w:tc>
      </w:tr>
      <w:tr>
        <w:trPr>
          <w:trHeight w:val="185"/>
        </w:trPr>
        <w:tc>
          <w:tcPr>
            <w:tcW w:w="1140" w:type="dxa"/>
            <w:vAlign w:val="bottom"/>
          </w:tcPr>
          <w:p>
            <w:pPr>
              <w:spacing w:after="0"/>
              <w:rPr>
                <w:sz w:val="16"/>
                <w:szCs w:val="16"/>
                <w:color w:val="auto"/>
              </w:rPr>
            </w:pPr>
          </w:p>
        </w:tc>
        <w:tc>
          <w:tcPr>
            <w:tcW w:w="5680" w:type="dxa"/>
            <w:vAlign w:val="bottom"/>
            <w:tcBorders>
              <w:bottom w:val="single" w:sz="8" w:color="1352DE"/>
            </w:tcBorders>
          </w:tcPr>
          <w:p>
            <w:pPr>
              <w:spacing w:after="0"/>
              <w:rPr>
                <w:sz w:val="16"/>
                <w:szCs w:val="16"/>
                <w:color w:val="auto"/>
              </w:rPr>
            </w:pPr>
          </w:p>
        </w:tc>
        <w:tc>
          <w:tcPr>
            <w:tcW w:w="3000" w:type="dxa"/>
            <w:vAlign w:val="bottom"/>
            <w:tcBorders>
              <w:bottom w:val="single" w:sz="8" w:color="1352DE"/>
            </w:tcBorders>
          </w:tcPr>
          <w:p>
            <w:pPr>
              <w:ind w:left="60"/>
              <w:spacing w:after="0"/>
              <w:rPr>
                <w:sz w:val="20"/>
                <w:szCs w:val="20"/>
                <w:color w:val="auto"/>
              </w:rPr>
            </w:pPr>
            <w:r>
              <w:rPr>
                <w:rFonts w:ascii="Arial" w:cs="Arial" w:eastAsia="Arial" w:hAnsi="Arial"/>
                <w:sz w:val="14"/>
                <w:szCs w:val="14"/>
                <w:color w:val="242424"/>
              </w:rPr>
              <w:t>8787).</w:t>
            </w:r>
          </w:p>
        </w:tc>
        <w:tc>
          <w:tcPr>
            <w:tcW w:w="1420" w:type="dxa"/>
            <w:vAlign w:val="bottom"/>
            <w:tcBorders>
              <w:bottom w:val="single" w:sz="8" w:color="1352DE"/>
            </w:tcBorders>
          </w:tcPr>
          <w:p>
            <w:pPr>
              <w:spacing w:after="0"/>
              <w:rPr>
                <w:sz w:val="16"/>
                <w:szCs w:val="16"/>
                <w:color w:val="auto"/>
              </w:rPr>
            </w:pPr>
          </w:p>
        </w:tc>
      </w:tr>
      <w:tr>
        <w:trPr>
          <w:trHeight w:val="146"/>
        </w:trPr>
        <w:tc>
          <w:tcPr>
            <w:tcW w:w="1140" w:type="dxa"/>
            <w:vAlign w:val="bottom"/>
          </w:tcPr>
          <w:p>
            <w:pPr>
              <w:spacing w:after="0"/>
              <w:rPr>
                <w:sz w:val="12"/>
                <w:szCs w:val="12"/>
                <w:color w:val="auto"/>
              </w:rPr>
            </w:pPr>
          </w:p>
        </w:tc>
        <w:tc>
          <w:tcPr>
            <w:tcW w:w="5680" w:type="dxa"/>
            <w:vAlign w:val="bottom"/>
          </w:tcPr>
          <w:p>
            <w:pPr>
              <w:ind w:left="20"/>
              <w:spacing w:after="0" w:line="147" w:lineRule="exact"/>
              <w:rPr>
                <w:rFonts w:ascii="Arial" w:cs="Arial" w:eastAsia="Arial" w:hAnsi="Arial"/>
                <w:sz w:val="14"/>
                <w:szCs w:val="14"/>
                <w:color w:val="242424"/>
              </w:rPr>
            </w:pPr>
            <w:hyperlink r:id="rId393">
              <w:r>
                <w:rPr>
                  <w:rFonts w:ascii="Arial" w:cs="Arial" w:eastAsia="Arial" w:hAnsi="Arial"/>
                  <w:sz w:val="14"/>
                  <w:szCs w:val="14"/>
                  <w:color w:val="242424"/>
                </w:rPr>
                <w:t>(4) Form of the 2036 Notes (included in Exhibit 4.2)</w:t>
              </w:r>
            </w:hyperlink>
          </w:p>
        </w:tc>
        <w:tc>
          <w:tcPr>
            <w:tcW w:w="4420" w:type="dxa"/>
            <w:vAlign w:val="bottom"/>
            <w:gridSpan w:val="2"/>
          </w:tcPr>
          <w:p>
            <w:pPr>
              <w:ind w:left="60"/>
              <w:spacing w:after="0" w:line="147" w:lineRule="exact"/>
              <w:rPr>
                <w:sz w:val="20"/>
                <w:szCs w:val="20"/>
                <w:color w:val="auto"/>
              </w:rPr>
            </w:pPr>
            <w:r>
              <w:rPr>
                <w:rFonts w:ascii="Arial" w:cs="Arial" w:eastAsia="Arial" w:hAnsi="Arial"/>
                <w:sz w:val="14"/>
                <w:szCs w:val="14"/>
                <w:color w:val="242424"/>
              </w:rPr>
              <w:t>Incorporated by reference to Exhibit 4.4 to AIG’s Current Report on</w:t>
            </w:r>
          </w:p>
        </w:tc>
      </w:tr>
      <w:tr>
        <w:trPr>
          <w:trHeight w:val="148"/>
        </w:trPr>
        <w:tc>
          <w:tcPr>
            <w:tcW w:w="11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420" w:type="dxa"/>
            <w:vAlign w:val="bottom"/>
            <w:gridSpan w:val="2"/>
          </w:tcPr>
          <w:p>
            <w:pPr>
              <w:ind w:left="60"/>
              <w:spacing w:after="0" w:line="149" w:lineRule="exact"/>
              <w:rPr>
                <w:sz w:val="20"/>
                <w:szCs w:val="20"/>
                <w:color w:val="auto"/>
              </w:rPr>
            </w:pPr>
            <w:r>
              <w:rPr>
                <w:rFonts w:ascii="Arial" w:cs="Arial" w:eastAsia="Arial" w:hAnsi="Arial"/>
                <w:sz w:val="14"/>
                <w:szCs w:val="14"/>
                <w:color w:val="242424"/>
              </w:rPr>
              <w:t>Form 8-K, filed with the SEC on September 24, 2026 (File No. 1-</w:t>
            </w:r>
          </w:p>
        </w:tc>
      </w:tr>
      <w:tr>
        <w:trPr>
          <w:trHeight w:val="185"/>
        </w:trPr>
        <w:tc>
          <w:tcPr>
            <w:tcW w:w="1140" w:type="dxa"/>
            <w:vAlign w:val="bottom"/>
            <w:tcBorders>
              <w:bottom w:val="single" w:sz="8" w:color="1352DE"/>
            </w:tcBorders>
          </w:tcPr>
          <w:p>
            <w:pPr>
              <w:spacing w:after="0"/>
              <w:rPr>
                <w:sz w:val="16"/>
                <w:szCs w:val="16"/>
                <w:color w:val="auto"/>
              </w:rPr>
            </w:pPr>
          </w:p>
        </w:tc>
        <w:tc>
          <w:tcPr>
            <w:tcW w:w="5680" w:type="dxa"/>
            <w:vAlign w:val="bottom"/>
            <w:tcBorders>
              <w:bottom w:val="single" w:sz="8" w:color="1352DE"/>
            </w:tcBorders>
          </w:tcPr>
          <w:p>
            <w:pPr>
              <w:spacing w:after="0"/>
              <w:rPr>
                <w:sz w:val="16"/>
                <w:szCs w:val="16"/>
                <w:color w:val="auto"/>
              </w:rPr>
            </w:pPr>
          </w:p>
        </w:tc>
        <w:tc>
          <w:tcPr>
            <w:tcW w:w="3000" w:type="dxa"/>
            <w:vAlign w:val="bottom"/>
            <w:tcBorders>
              <w:bottom w:val="single" w:sz="8" w:color="1352DE"/>
            </w:tcBorders>
          </w:tcPr>
          <w:p>
            <w:pPr>
              <w:ind w:left="60"/>
              <w:spacing w:after="0"/>
              <w:rPr>
                <w:sz w:val="20"/>
                <w:szCs w:val="20"/>
                <w:color w:val="auto"/>
              </w:rPr>
            </w:pPr>
            <w:r>
              <w:rPr>
                <w:rFonts w:ascii="Arial" w:cs="Arial" w:eastAsia="Arial" w:hAnsi="Arial"/>
                <w:sz w:val="14"/>
                <w:szCs w:val="14"/>
                <w:color w:val="242424"/>
              </w:rPr>
              <w:t>8787).</w:t>
            </w:r>
          </w:p>
        </w:tc>
        <w:tc>
          <w:tcPr>
            <w:tcW w:w="1420" w:type="dxa"/>
            <w:vAlign w:val="bottom"/>
            <w:tcBorders>
              <w:bottom w:val="single" w:sz="8" w:color="1352DE"/>
            </w:tcBorders>
          </w:tcPr>
          <w:p>
            <w:pPr>
              <w:spacing w:after="0"/>
              <w:rPr>
                <w:sz w:val="16"/>
                <w:szCs w:val="16"/>
                <w:color w:val="auto"/>
              </w:rPr>
            </w:pPr>
          </w:p>
        </w:tc>
      </w:tr>
      <w:tr>
        <w:trPr>
          <w:trHeight w:val="146"/>
        </w:trPr>
        <w:tc>
          <w:tcPr>
            <w:tcW w:w="1140" w:type="dxa"/>
            <w:vAlign w:val="bottom"/>
          </w:tcPr>
          <w:p>
            <w:pPr>
              <w:ind w:left="80"/>
              <w:spacing w:after="0" w:line="147" w:lineRule="exact"/>
              <w:rPr>
                <w:sz w:val="20"/>
                <w:szCs w:val="20"/>
                <w:color w:val="auto"/>
              </w:rPr>
            </w:pPr>
            <w:r>
              <w:rPr>
                <w:rFonts w:ascii="Arial" w:cs="Arial" w:eastAsia="Arial" w:hAnsi="Arial"/>
                <w:sz w:val="14"/>
                <w:szCs w:val="14"/>
                <w:color w:val="242424"/>
              </w:rPr>
              <w:t>10</w:t>
            </w:r>
          </w:p>
        </w:tc>
        <w:tc>
          <w:tcPr>
            <w:tcW w:w="5680" w:type="dxa"/>
            <w:vAlign w:val="bottom"/>
          </w:tcPr>
          <w:p>
            <w:pPr>
              <w:ind w:left="20"/>
              <w:spacing w:after="0" w:line="147" w:lineRule="exact"/>
              <w:rPr>
                <w:sz w:val="20"/>
                <w:szCs w:val="20"/>
                <w:color w:val="auto"/>
              </w:rPr>
            </w:pPr>
            <w:r>
              <w:rPr>
                <w:rFonts w:ascii="Arial" w:cs="Arial" w:eastAsia="Arial" w:hAnsi="Arial"/>
                <w:sz w:val="14"/>
                <w:szCs w:val="14"/>
                <w:color w:val="242424"/>
              </w:rPr>
              <w:t>(1) Amendment to Employment Agreement, dated September 1, 2026, between AIG</w:t>
            </w:r>
          </w:p>
        </w:tc>
        <w:tc>
          <w:tcPr>
            <w:tcW w:w="4420" w:type="dxa"/>
            <w:vAlign w:val="bottom"/>
            <w:gridSpan w:val="2"/>
          </w:tcPr>
          <w:p>
            <w:pPr>
              <w:ind w:left="60"/>
              <w:spacing w:after="0" w:line="147" w:lineRule="exact"/>
              <w:rPr>
                <w:sz w:val="20"/>
                <w:szCs w:val="20"/>
                <w:color w:val="auto"/>
              </w:rPr>
            </w:pPr>
            <w:r>
              <w:rPr>
                <w:rFonts w:ascii="Arial" w:cs="Arial" w:eastAsia="Arial" w:hAnsi="Arial"/>
                <w:sz w:val="14"/>
                <w:szCs w:val="14"/>
                <w:color w:val="242424"/>
              </w:rPr>
              <w:t>Filed herewith.</w:t>
            </w:r>
          </w:p>
        </w:tc>
      </w:tr>
      <w:tr>
        <w:trPr>
          <w:trHeight w:val="185"/>
        </w:trPr>
        <w:tc>
          <w:tcPr>
            <w:tcW w:w="1140" w:type="dxa"/>
            <w:vAlign w:val="bottom"/>
            <w:tcBorders>
              <w:bottom w:val="single" w:sz="8" w:color="1352DE"/>
            </w:tcBorders>
          </w:tcPr>
          <w:p>
            <w:pPr>
              <w:spacing w:after="0"/>
              <w:rPr>
                <w:sz w:val="16"/>
                <w:szCs w:val="16"/>
                <w:color w:val="auto"/>
              </w:rPr>
            </w:pPr>
          </w:p>
        </w:tc>
        <w:tc>
          <w:tcPr>
            <w:tcW w:w="56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242424"/>
              </w:rPr>
              <w:t>and Peter Zaffino*</w:t>
            </w:r>
          </w:p>
        </w:tc>
        <w:tc>
          <w:tcPr>
            <w:tcW w:w="3000" w:type="dxa"/>
            <w:vAlign w:val="bottom"/>
            <w:tcBorders>
              <w:bottom w:val="single" w:sz="8" w:color="1352DE"/>
            </w:tcBorders>
          </w:tcPr>
          <w:p>
            <w:pPr>
              <w:spacing w:after="0"/>
              <w:rPr>
                <w:sz w:val="16"/>
                <w:szCs w:val="16"/>
                <w:color w:val="auto"/>
              </w:rPr>
            </w:pPr>
          </w:p>
        </w:tc>
        <w:tc>
          <w:tcPr>
            <w:tcW w:w="1420" w:type="dxa"/>
            <w:vAlign w:val="bottom"/>
            <w:tcBorders>
              <w:bottom w:val="single" w:sz="8" w:color="1352DE"/>
            </w:tcBorders>
          </w:tcPr>
          <w:p>
            <w:pPr>
              <w:spacing w:after="0"/>
              <w:rPr>
                <w:sz w:val="16"/>
                <w:szCs w:val="16"/>
                <w:color w:val="auto"/>
              </w:rPr>
            </w:pPr>
          </w:p>
        </w:tc>
      </w:tr>
      <w:tr>
        <w:trPr>
          <w:trHeight w:val="192"/>
        </w:trPr>
        <w:tc>
          <w:tcPr>
            <w:tcW w:w="1140" w:type="dxa"/>
            <w:vAlign w:val="bottom"/>
            <w:tcBorders>
              <w:bottom w:val="single" w:sz="8" w:color="1352DE"/>
            </w:tcBorders>
          </w:tcPr>
          <w:p>
            <w:pPr>
              <w:ind w:left="80"/>
              <w:spacing w:after="0"/>
              <w:rPr>
                <w:sz w:val="20"/>
                <w:szCs w:val="20"/>
                <w:color w:val="auto"/>
              </w:rPr>
            </w:pPr>
            <w:r>
              <w:rPr>
                <w:rFonts w:ascii="Arial" w:cs="Arial" w:eastAsia="Arial" w:hAnsi="Arial"/>
                <w:sz w:val="14"/>
                <w:szCs w:val="14"/>
                <w:color w:val="242424"/>
              </w:rPr>
              <w:t>22</w:t>
            </w:r>
          </w:p>
        </w:tc>
        <w:tc>
          <w:tcPr>
            <w:tcW w:w="56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242424"/>
              </w:rPr>
              <w:t>Guaranteed Securities</w:t>
            </w:r>
          </w:p>
        </w:tc>
        <w:tc>
          <w:tcPr>
            <w:tcW w:w="4420" w:type="dxa"/>
            <w:vAlign w:val="bottom"/>
            <w:tcBorders>
              <w:bottom w:val="single" w:sz="8" w:color="1352DE"/>
            </w:tcBorders>
            <w:gridSpan w:val="2"/>
          </w:tcPr>
          <w:p>
            <w:pPr>
              <w:ind w:left="60"/>
              <w:spacing w:after="0"/>
              <w:rPr>
                <w:sz w:val="20"/>
                <w:szCs w:val="20"/>
                <w:color w:val="auto"/>
              </w:rPr>
            </w:pPr>
            <w:r>
              <w:rPr>
                <w:rFonts w:ascii="Arial" w:cs="Arial" w:eastAsia="Arial" w:hAnsi="Arial"/>
                <w:sz w:val="14"/>
                <w:szCs w:val="14"/>
                <w:color w:val="242424"/>
              </w:rPr>
              <w:t>None.</w:t>
            </w:r>
          </w:p>
        </w:tc>
      </w:tr>
      <w:tr>
        <w:trPr>
          <w:trHeight w:val="196"/>
        </w:trPr>
        <w:tc>
          <w:tcPr>
            <w:tcW w:w="1140" w:type="dxa"/>
            <w:vAlign w:val="bottom"/>
            <w:tcBorders>
              <w:bottom w:val="single" w:sz="8" w:color="1352DE"/>
            </w:tcBorders>
          </w:tcPr>
          <w:p>
            <w:pPr>
              <w:ind w:left="80"/>
              <w:spacing w:after="0"/>
              <w:rPr>
                <w:sz w:val="20"/>
                <w:szCs w:val="20"/>
                <w:color w:val="auto"/>
              </w:rPr>
            </w:pPr>
            <w:r>
              <w:rPr>
                <w:rFonts w:ascii="Arial" w:cs="Arial" w:eastAsia="Arial" w:hAnsi="Arial"/>
                <w:sz w:val="14"/>
                <w:szCs w:val="14"/>
                <w:color w:val="242424"/>
              </w:rPr>
              <w:t>31</w:t>
            </w:r>
          </w:p>
        </w:tc>
        <w:tc>
          <w:tcPr>
            <w:tcW w:w="56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242424"/>
              </w:rPr>
              <w:t>Rule 13a-14(a)/15d-14(a) Certifications</w:t>
            </w:r>
          </w:p>
        </w:tc>
        <w:tc>
          <w:tcPr>
            <w:tcW w:w="4420" w:type="dxa"/>
            <w:vAlign w:val="bottom"/>
            <w:tcBorders>
              <w:bottom w:val="single" w:sz="8" w:color="1352DE"/>
            </w:tcBorders>
            <w:gridSpan w:val="2"/>
          </w:tcPr>
          <w:p>
            <w:pPr>
              <w:ind w:left="60"/>
              <w:spacing w:after="0"/>
              <w:rPr>
                <w:sz w:val="20"/>
                <w:szCs w:val="20"/>
                <w:color w:val="auto"/>
              </w:rPr>
            </w:pPr>
            <w:r>
              <w:rPr>
                <w:rFonts w:ascii="Arial" w:cs="Arial" w:eastAsia="Arial" w:hAnsi="Arial"/>
                <w:sz w:val="14"/>
                <w:szCs w:val="14"/>
                <w:color w:val="242424"/>
              </w:rPr>
              <w:t>Filed herewith.</w:t>
            </w:r>
          </w:p>
        </w:tc>
      </w:tr>
      <w:tr>
        <w:trPr>
          <w:trHeight w:val="196"/>
        </w:trPr>
        <w:tc>
          <w:tcPr>
            <w:tcW w:w="1140" w:type="dxa"/>
            <w:vAlign w:val="bottom"/>
            <w:tcBorders>
              <w:bottom w:val="single" w:sz="8" w:color="1352DE"/>
            </w:tcBorders>
          </w:tcPr>
          <w:p>
            <w:pPr>
              <w:ind w:left="80"/>
              <w:spacing w:after="0"/>
              <w:rPr>
                <w:sz w:val="20"/>
                <w:szCs w:val="20"/>
                <w:color w:val="auto"/>
              </w:rPr>
            </w:pPr>
            <w:r>
              <w:rPr>
                <w:rFonts w:ascii="Arial" w:cs="Arial" w:eastAsia="Arial" w:hAnsi="Arial"/>
                <w:sz w:val="14"/>
                <w:szCs w:val="14"/>
                <w:color w:val="242424"/>
              </w:rPr>
              <w:t>32</w:t>
            </w:r>
          </w:p>
        </w:tc>
        <w:tc>
          <w:tcPr>
            <w:tcW w:w="5680" w:type="dxa"/>
            <w:vAlign w:val="bottom"/>
            <w:tcBorders>
              <w:bottom w:val="single" w:sz="8" w:color="1352DE"/>
            </w:tcBorders>
          </w:tcPr>
          <w:p>
            <w:pPr>
              <w:ind w:left="20"/>
              <w:spacing w:after="0"/>
              <w:rPr>
                <w:sz w:val="20"/>
                <w:szCs w:val="20"/>
                <w:color w:val="auto"/>
              </w:rPr>
            </w:pPr>
            <w:r>
              <w:rPr>
                <w:rFonts w:ascii="Arial" w:cs="Arial" w:eastAsia="Arial" w:hAnsi="Arial"/>
                <w:sz w:val="14"/>
                <w:szCs w:val="14"/>
                <w:color w:val="242424"/>
              </w:rPr>
              <w:t>Section 1350 Certifications**</w:t>
            </w:r>
          </w:p>
        </w:tc>
        <w:tc>
          <w:tcPr>
            <w:tcW w:w="4420" w:type="dxa"/>
            <w:vAlign w:val="bottom"/>
            <w:tcBorders>
              <w:bottom w:val="single" w:sz="8" w:color="1352DE"/>
            </w:tcBorders>
            <w:gridSpan w:val="2"/>
          </w:tcPr>
          <w:p>
            <w:pPr>
              <w:ind w:left="60"/>
              <w:spacing w:after="0"/>
              <w:rPr>
                <w:sz w:val="20"/>
                <w:szCs w:val="20"/>
                <w:color w:val="auto"/>
              </w:rPr>
            </w:pPr>
            <w:r>
              <w:rPr>
                <w:rFonts w:ascii="Arial" w:cs="Arial" w:eastAsia="Arial" w:hAnsi="Arial"/>
                <w:sz w:val="14"/>
                <w:szCs w:val="14"/>
                <w:color w:val="242424"/>
              </w:rPr>
              <w:t>Furnished herewith.</w:t>
            </w:r>
          </w:p>
        </w:tc>
      </w:tr>
      <w:tr>
        <w:trPr>
          <w:trHeight w:val="191"/>
        </w:trPr>
        <w:tc>
          <w:tcPr>
            <w:tcW w:w="1140" w:type="dxa"/>
            <w:vAlign w:val="bottom"/>
          </w:tcPr>
          <w:p>
            <w:pPr>
              <w:ind w:left="80"/>
              <w:spacing w:after="0"/>
              <w:rPr>
                <w:sz w:val="20"/>
                <w:szCs w:val="20"/>
                <w:color w:val="auto"/>
              </w:rPr>
            </w:pPr>
            <w:r>
              <w:rPr>
                <w:rFonts w:ascii="Arial" w:cs="Arial" w:eastAsia="Arial" w:hAnsi="Arial"/>
                <w:sz w:val="14"/>
                <w:szCs w:val="14"/>
                <w:color w:val="242424"/>
              </w:rPr>
              <w:t>101</w:t>
            </w:r>
          </w:p>
        </w:tc>
        <w:tc>
          <w:tcPr>
            <w:tcW w:w="5680" w:type="dxa"/>
            <w:vAlign w:val="bottom"/>
          </w:tcPr>
          <w:p>
            <w:pPr>
              <w:ind w:left="20"/>
              <w:spacing w:after="0"/>
              <w:rPr>
                <w:sz w:val="20"/>
                <w:szCs w:val="20"/>
                <w:color w:val="auto"/>
              </w:rPr>
            </w:pPr>
            <w:r>
              <w:rPr>
                <w:rFonts w:ascii="Arial" w:cs="Arial" w:eastAsia="Arial" w:hAnsi="Arial"/>
                <w:sz w:val="14"/>
                <w:szCs w:val="14"/>
                <w:color w:val="242424"/>
              </w:rPr>
              <w:t>Interactive data files pursuant to Rule 405 of Regulation S-T formatted in iXBRL (Inline</w:t>
            </w:r>
          </w:p>
        </w:tc>
        <w:tc>
          <w:tcPr>
            <w:tcW w:w="4420" w:type="dxa"/>
            <w:vAlign w:val="bottom"/>
            <w:gridSpan w:val="2"/>
          </w:tcPr>
          <w:p>
            <w:pPr>
              <w:ind w:left="60"/>
              <w:spacing w:after="0"/>
              <w:rPr>
                <w:sz w:val="20"/>
                <w:szCs w:val="20"/>
                <w:color w:val="auto"/>
              </w:rPr>
            </w:pPr>
            <w:r>
              <w:rPr>
                <w:rFonts w:ascii="Arial" w:cs="Arial" w:eastAsia="Arial" w:hAnsi="Arial"/>
                <w:sz w:val="14"/>
                <w:szCs w:val="14"/>
                <w:color w:val="242424"/>
              </w:rPr>
              <w:t>Filed herewith.</w:t>
            </w:r>
          </w:p>
        </w:tc>
      </w:tr>
      <w:tr>
        <w:trPr>
          <w:trHeight w:val="176"/>
        </w:trPr>
        <w:tc>
          <w:tcPr>
            <w:tcW w:w="1140" w:type="dxa"/>
            <w:vAlign w:val="bottom"/>
          </w:tcPr>
          <w:p>
            <w:pPr>
              <w:spacing w:after="0"/>
              <w:rPr>
                <w:sz w:val="15"/>
                <w:szCs w:val="15"/>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eXtensible Business Reporting Language): (i) the Condensed Consolidated Balance</w:t>
            </w:r>
          </w:p>
        </w:tc>
        <w:tc>
          <w:tcPr>
            <w:tcW w:w="3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Sheets as of September 30, 2026 and December 31, 2025, (ii) the Condensed</w:t>
            </w:r>
          </w:p>
        </w:tc>
        <w:tc>
          <w:tcPr>
            <w:tcW w:w="3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Consolidated Statements of Income (Loss) for the three and nine months ended</w:t>
            </w:r>
          </w:p>
        </w:tc>
        <w:tc>
          <w:tcPr>
            <w:tcW w:w="3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1140" w:type="dxa"/>
            <w:vAlign w:val="bottom"/>
          </w:tcPr>
          <w:p>
            <w:pPr>
              <w:spacing w:after="0"/>
              <w:rPr>
                <w:sz w:val="14"/>
                <w:szCs w:val="14"/>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September 30, 2026 and 2025, (iii) the Condensed Consolidated Statements of Equity</w:t>
            </w:r>
          </w:p>
        </w:tc>
        <w:tc>
          <w:tcPr>
            <w:tcW w:w="30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5"/>
        </w:trPr>
        <w:tc>
          <w:tcPr>
            <w:tcW w:w="1140" w:type="dxa"/>
            <w:vAlign w:val="bottom"/>
          </w:tcPr>
          <w:p>
            <w:pPr>
              <w:spacing w:after="0"/>
              <w:rPr>
                <w:sz w:val="15"/>
                <w:szCs w:val="15"/>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for the three and nine months ended September 30, 2026 and 2025, (iv) the Condensed</w:t>
            </w:r>
          </w:p>
        </w:tc>
        <w:tc>
          <w:tcPr>
            <w:tcW w:w="3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Consolidated Statements of Cash Flows for the nine months ended September 30,</w:t>
            </w:r>
          </w:p>
        </w:tc>
        <w:tc>
          <w:tcPr>
            <w:tcW w:w="3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2026 and 2025, (v) the Condensed Consolidated Statements of Comprehensive Income</w:t>
            </w:r>
          </w:p>
        </w:tc>
        <w:tc>
          <w:tcPr>
            <w:tcW w:w="3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1140" w:type="dxa"/>
            <w:vAlign w:val="bottom"/>
          </w:tcPr>
          <w:p>
            <w:pPr>
              <w:spacing w:after="0"/>
              <w:rPr>
                <w:sz w:val="14"/>
                <w:szCs w:val="14"/>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(Loss) for the three and nine months ended September 30, 2026 and 2025 and (vi) the</w:t>
            </w:r>
          </w:p>
        </w:tc>
        <w:tc>
          <w:tcPr>
            <w:tcW w:w="30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Notes to the Condensed Consolidated Financial Statements</w:t>
            </w:r>
          </w:p>
        </w:tc>
        <w:tc>
          <w:tcPr>
            <w:tcW w:w="3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2"/>
        </w:trPr>
        <w:tc>
          <w:tcPr>
            <w:tcW w:w="1140" w:type="dxa"/>
            <w:vAlign w:val="bottom"/>
            <w:tcBorders>
              <w:bottom w:val="single" w:sz="8" w:color="1352DE"/>
            </w:tcBorders>
          </w:tcPr>
          <w:p>
            <w:pPr>
              <w:spacing w:after="0" w:line="20" w:lineRule="exact"/>
              <w:rPr>
                <w:sz w:val="1"/>
                <w:szCs w:val="1"/>
                <w:color w:val="auto"/>
              </w:rPr>
            </w:pPr>
          </w:p>
        </w:tc>
        <w:tc>
          <w:tcPr>
            <w:tcW w:w="5680" w:type="dxa"/>
            <w:vAlign w:val="bottom"/>
            <w:tcBorders>
              <w:bottom w:val="single" w:sz="8" w:color="1352DE"/>
            </w:tcBorders>
          </w:tcPr>
          <w:p>
            <w:pPr>
              <w:spacing w:after="0" w:line="20" w:lineRule="exact"/>
              <w:rPr>
                <w:sz w:val="1"/>
                <w:szCs w:val="1"/>
                <w:color w:val="auto"/>
              </w:rPr>
            </w:pPr>
          </w:p>
        </w:tc>
        <w:tc>
          <w:tcPr>
            <w:tcW w:w="4420" w:type="dxa"/>
            <w:vAlign w:val="bottom"/>
            <w:tcBorders>
              <w:bottom w:val="single" w:sz="8" w:color="1352DE"/>
            </w:tcBorders>
            <w:gridSpan w:val="2"/>
          </w:tcPr>
          <w:p>
            <w:pPr>
              <w:spacing w:after="0" w:line="20" w:lineRule="exact"/>
              <w:rPr>
                <w:sz w:val="1"/>
                <w:szCs w:val="1"/>
                <w:color w:val="auto"/>
              </w:rPr>
            </w:pPr>
          </w:p>
        </w:tc>
      </w:tr>
      <w:tr>
        <w:trPr>
          <w:trHeight w:val="187"/>
        </w:trPr>
        <w:tc>
          <w:tcPr>
            <w:tcW w:w="1140" w:type="dxa"/>
            <w:vAlign w:val="bottom"/>
          </w:tcPr>
          <w:p>
            <w:pPr>
              <w:ind w:left="80"/>
              <w:spacing w:after="0"/>
              <w:rPr>
                <w:sz w:val="20"/>
                <w:szCs w:val="20"/>
                <w:color w:val="auto"/>
              </w:rPr>
            </w:pPr>
            <w:r>
              <w:rPr>
                <w:rFonts w:ascii="Arial" w:cs="Arial" w:eastAsia="Arial" w:hAnsi="Arial"/>
                <w:sz w:val="14"/>
                <w:szCs w:val="14"/>
                <w:color w:val="242424"/>
              </w:rPr>
              <w:t>104</w:t>
            </w:r>
          </w:p>
        </w:tc>
        <w:tc>
          <w:tcPr>
            <w:tcW w:w="5680" w:type="dxa"/>
            <w:vAlign w:val="bottom"/>
          </w:tcPr>
          <w:p>
            <w:pPr>
              <w:ind w:left="20"/>
              <w:spacing w:after="0"/>
              <w:rPr>
                <w:sz w:val="20"/>
                <w:szCs w:val="20"/>
                <w:color w:val="auto"/>
              </w:rPr>
            </w:pPr>
            <w:r>
              <w:rPr>
                <w:rFonts w:ascii="Arial" w:cs="Arial" w:eastAsia="Arial" w:hAnsi="Arial"/>
                <w:sz w:val="14"/>
                <w:szCs w:val="14"/>
                <w:color w:val="242424"/>
              </w:rPr>
              <w:t>Cover Page Interactive Data File (formatted as inline XBRL with applicable taxonomy</w:t>
            </w:r>
          </w:p>
        </w:tc>
        <w:tc>
          <w:tcPr>
            <w:tcW w:w="4420" w:type="dxa"/>
            <w:vAlign w:val="bottom"/>
            <w:gridSpan w:val="2"/>
          </w:tcPr>
          <w:p>
            <w:pPr>
              <w:ind w:left="60"/>
              <w:spacing w:after="0"/>
              <w:rPr>
                <w:sz w:val="20"/>
                <w:szCs w:val="20"/>
                <w:color w:val="auto"/>
              </w:rPr>
            </w:pPr>
            <w:r>
              <w:rPr>
                <w:rFonts w:ascii="Arial" w:cs="Arial" w:eastAsia="Arial" w:hAnsi="Arial"/>
                <w:sz w:val="14"/>
                <w:szCs w:val="14"/>
                <w:color w:val="242424"/>
              </w:rPr>
              <w:t>Filed herewith.</w:t>
            </w:r>
          </w:p>
        </w:tc>
      </w:tr>
      <w:tr>
        <w:trPr>
          <w:trHeight w:val="190"/>
        </w:trPr>
        <w:tc>
          <w:tcPr>
            <w:tcW w:w="1140" w:type="dxa"/>
            <w:vAlign w:val="bottom"/>
          </w:tcPr>
          <w:p>
            <w:pPr>
              <w:spacing w:after="0"/>
              <w:rPr>
                <w:sz w:val="16"/>
                <w:szCs w:val="16"/>
                <w:color w:val="auto"/>
              </w:rPr>
            </w:pPr>
          </w:p>
        </w:tc>
        <w:tc>
          <w:tcPr>
            <w:tcW w:w="5680" w:type="dxa"/>
            <w:vAlign w:val="bottom"/>
          </w:tcPr>
          <w:p>
            <w:pPr>
              <w:ind w:left="20"/>
              <w:spacing w:after="0"/>
              <w:rPr>
                <w:sz w:val="20"/>
                <w:szCs w:val="20"/>
                <w:color w:val="auto"/>
              </w:rPr>
            </w:pPr>
            <w:r>
              <w:rPr>
                <w:rFonts w:ascii="Arial" w:cs="Arial" w:eastAsia="Arial" w:hAnsi="Arial"/>
                <w:sz w:val="14"/>
                <w:szCs w:val="14"/>
                <w:color w:val="242424"/>
              </w:rPr>
              <w:t>extension information contained in Exhibits 101)</w:t>
            </w:r>
          </w:p>
        </w:tc>
        <w:tc>
          <w:tcPr>
            <w:tcW w:w="3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2"/>
        </w:trPr>
        <w:tc>
          <w:tcPr>
            <w:tcW w:w="1140" w:type="dxa"/>
            <w:vAlign w:val="bottom"/>
            <w:tcBorders>
              <w:bottom w:val="single" w:sz="8" w:color="1352DE"/>
            </w:tcBorders>
          </w:tcPr>
          <w:p>
            <w:pPr>
              <w:spacing w:after="0" w:line="20" w:lineRule="exact"/>
              <w:rPr>
                <w:sz w:val="1"/>
                <w:szCs w:val="1"/>
                <w:color w:val="auto"/>
              </w:rPr>
            </w:pPr>
          </w:p>
        </w:tc>
        <w:tc>
          <w:tcPr>
            <w:tcW w:w="5680" w:type="dxa"/>
            <w:vAlign w:val="bottom"/>
            <w:tcBorders>
              <w:bottom w:val="single" w:sz="8" w:color="1352DE"/>
            </w:tcBorders>
          </w:tcPr>
          <w:p>
            <w:pPr>
              <w:spacing w:after="0" w:line="20" w:lineRule="exact"/>
              <w:rPr>
                <w:sz w:val="1"/>
                <w:szCs w:val="1"/>
                <w:color w:val="auto"/>
              </w:rPr>
            </w:pPr>
          </w:p>
        </w:tc>
        <w:tc>
          <w:tcPr>
            <w:tcW w:w="3000" w:type="dxa"/>
            <w:vAlign w:val="bottom"/>
            <w:tcBorders>
              <w:bottom w:val="single" w:sz="8" w:color="1352DE"/>
            </w:tcBorders>
          </w:tcPr>
          <w:p>
            <w:pPr>
              <w:spacing w:after="0" w:line="20" w:lineRule="exact"/>
              <w:rPr>
                <w:sz w:val="1"/>
                <w:szCs w:val="1"/>
                <w:color w:val="auto"/>
              </w:rPr>
            </w:pPr>
          </w:p>
        </w:tc>
        <w:tc>
          <w:tcPr>
            <w:tcW w:w="1420" w:type="dxa"/>
            <w:vAlign w:val="bottom"/>
            <w:tcBorders>
              <w:bottom w:val="single" w:sz="8" w:color="1352DE"/>
            </w:tcBorders>
          </w:tcPr>
          <w:p>
            <w:pPr>
              <w:spacing w:after="0" w:line="20" w:lineRule="exact"/>
              <w:rPr>
                <w:sz w:val="1"/>
                <w:szCs w:val="1"/>
                <w:color w:val="auto"/>
              </w:rPr>
            </w:pPr>
          </w:p>
        </w:tc>
      </w:tr>
    </w:tbl>
    <w:p>
      <w:pPr>
        <w:spacing w:after="0" w:line="144" w:lineRule="exact"/>
        <w:rPr>
          <w:sz w:val="20"/>
          <w:szCs w:val="20"/>
          <w:color w:val="auto"/>
        </w:rPr>
      </w:pPr>
    </w:p>
    <w:p>
      <w:pPr>
        <w:ind w:left="220" w:hanging="212"/>
        <w:spacing w:after="0"/>
        <w:tabs>
          <w:tab w:leader="none" w:pos="2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This exhibit is a management contract or a compensatory plan or arrangement.</w:t>
      </w:r>
    </w:p>
    <w:p>
      <w:pPr>
        <w:spacing w:after="0" w:line="80"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240" w:type="dxa"/>
            <w:vAlign w:val="bottom"/>
            <w:tcBorders>
              <w:top w:val="single" w:sz="8" w:color="001770"/>
            </w:tcBorders>
          </w:tcPr>
          <w:p>
            <w:pPr>
              <w:ind w:left="1080"/>
              <w:spacing w:after="0"/>
              <w:rPr>
                <w:sz w:val="20"/>
                <w:szCs w:val="20"/>
                <w:color w:val="auto"/>
              </w:rPr>
            </w:pPr>
            <w:r>
              <w:rPr>
                <w:rFonts w:ascii="Arial" w:cs="Arial" w:eastAsia="Arial" w:hAnsi="Arial"/>
                <w:sz w:val="12"/>
                <w:szCs w:val="12"/>
                <w:color w:val="auto"/>
              </w:rPr>
              <w:t>AIG | Third Quarter 2026 Form 10-Q</w:t>
            </w:r>
          </w:p>
        </w:tc>
        <w:tc>
          <w:tcPr>
            <w:tcW w:w="440" w:type="dxa"/>
            <w:vAlign w:val="bottom"/>
            <w:tcBorders>
              <w:top w:val="single" w:sz="8" w:color="001770"/>
            </w:tcBorders>
          </w:tcPr>
          <w:p>
            <w:pPr>
              <w:jc w:val="right"/>
              <w:spacing w:after="0"/>
              <w:rPr>
                <w:sz w:val="20"/>
                <w:szCs w:val="20"/>
                <w:color w:val="auto"/>
              </w:rPr>
            </w:pPr>
            <w:r>
              <w:rPr>
                <w:rFonts w:ascii="Arial" w:cs="Arial" w:eastAsia="Arial" w:hAnsi="Arial"/>
                <w:sz w:val="12"/>
                <w:szCs w:val="12"/>
                <w:b w:val="1"/>
                <w:bCs w:val="1"/>
                <w:color w:val="auto"/>
              </w:rPr>
              <w:t>77</w:t>
            </w:r>
          </w:p>
        </w:tc>
      </w:tr>
      <w:tr>
        <w:trPr>
          <w:trHeight w:val="221"/>
        </w:trPr>
        <w:tc>
          <w:tcPr>
            <w:tcW w:w="7560" w:type="dxa"/>
            <w:vAlign w:val="bottom"/>
            <w:tcBorders>
              <w:bottom w:val="single" w:sz="8" w:color="9A9A9A"/>
            </w:tcBorders>
          </w:tcPr>
          <w:p>
            <w:pPr>
              <w:spacing w:after="0"/>
              <w:rPr>
                <w:sz w:val="19"/>
                <w:szCs w:val="19"/>
                <w:color w:val="auto"/>
              </w:rPr>
            </w:pPr>
          </w:p>
        </w:tc>
        <w:tc>
          <w:tcPr>
            <w:tcW w:w="32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47"/>
          <w:szCs w:val="47"/>
          <w:b w:val="1"/>
          <w:bCs w:val="1"/>
          <w:color w:val="1252DE"/>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23430"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23430" cy="26035"/>
                    </a:xfrm>
                    <a:prstGeom prst="rect">
                      <a:avLst/>
                    </a:prstGeom>
                    <a:noFill/>
                  </pic:spPr>
                </pic:pic>
              </a:graphicData>
            </a:graphic>
          </wp:anchor>
        </w:drawing>
      </w:r>
    </w:p>
    <w:p>
      <w:pPr>
        <w:spacing w:after="0" w:line="261"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jc w:val="center"/>
        <w:ind w:left="6560"/>
        <w:spacing w:after="0"/>
        <w:rPr>
          <w:sz w:val="20"/>
          <w:szCs w:val="20"/>
          <w:color w:val="auto"/>
        </w:rPr>
      </w:pPr>
      <w:r>
        <w:rPr>
          <w:rFonts w:ascii="Arial" w:cs="Arial" w:eastAsia="Arial" w:hAnsi="Arial"/>
          <w:sz w:val="16"/>
          <w:szCs w:val="16"/>
          <w:b w:val="1"/>
          <w:bCs w:val="1"/>
          <w:color w:val="auto"/>
        </w:rPr>
        <w:t>AMERICAN INTERNATIONAL GROUP, INC.</w:t>
      </w:r>
    </w:p>
    <w:p>
      <w:pPr>
        <w:spacing w:after="0" w:line="39"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(Registrant)</w:t>
      </w:r>
    </w:p>
    <w:p>
      <w:pPr>
        <w:spacing w:after="0" w:line="25"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/S/ KEITH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29210</wp:posOffset>
            </wp:positionV>
            <wp:extent cx="29571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9"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Keith Walsh</w:t>
      </w:r>
    </w:p>
    <w:p>
      <w:pPr>
        <w:spacing w:after="0" w:line="46"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Executive Vice President and</w:t>
      </w:r>
    </w:p>
    <w:p>
      <w:pPr>
        <w:spacing w:after="0" w:line="46"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Chief Financial Officer</w:t>
      </w:r>
    </w:p>
    <w:p>
      <w:pPr>
        <w:spacing w:after="0" w:line="46"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/S/ KATHLEEN CARBONE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29210</wp:posOffset>
            </wp:positionV>
            <wp:extent cx="29571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9"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Kathleen Carbone</w:t>
      </w:r>
    </w:p>
    <w:p>
      <w:pPr>
        <w:spacing w:after="0" w:line="46"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Vice President and</w:t>
      </w:r>
    </w:p>
    <w:p>
      <w:pPr>
        <w:spacing w:after="0" w:line="46"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Chief Accounting Officer</w:t>
      </w:r>
    </w:p>
    <w:p>
      <w:pPr>
        <w:spacing w:after="0" w:line="46"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24771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60" w:hanging="734"/>
        <w:spacing w:after="0"/>
        <w:tabs>
          <w:tab w:leader="none" w:pos="760" w:val="left"/>
        </w:tabs>
        <w:numPr>
          <w:ilvl w:val="0"/>
          <w:numId w:val="122"/>
        </w:numPr>
        <w:rPr>
          <w:rFonts w:ascii="Arial" w:cs="Arial" w:eastAsia="Arial" w:hAnsi="Arial"/>
          <w:sz w:val="12"/>
          <w:szCs w:val="12"/>
          <w:b w:val="1"/>
          <w:bCs w:val="1"/>
          <w:color w:val="auto"/>
        </w:rPr>
      </w:pPr>
      <w:r>
        <w:rPr>
          <w:rFonts w:ascii="Arial" w:cs="Arial" w:eastAsia="Arial" w:hAnsi="Arial"/>
          <w:sz w:val="12"/>
          <w:szCs w:val="12"/>
          <w:color w:val="auto"/>
        </w:rPr>
        <w:t>AIG | Third Quarter 2026 Form 10-Q</w:t>
      </w:r>
    </w:p>
    <w:p>
      <w:pPr>
        <w:sectPr>
          <w:pgSz w:w="11900" w:h="16838" w:orient="portrait"/>
          <w:cols w:equalWidth="0" w:num="1">
            <w:col w:w="11240"/>
          </w:cols>
          <w:pgMar w:left="320" w:top="11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10.1</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 2026</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Zaffino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on file with the Company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Appointment as Senior Advisor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Peter:</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letter confirms the acceptance by the AIG Board of Directors of your resignation as Executive Chair and member of the Board and your appointment as Senior Advisor to the Chief Executive Officer of the Company, each effective as of September 15, 2026. As Senior Advisor you will remain a full-time non-executive employee of the Company, providing assistance and advice to the Chief Executive Officer pursuant to your Employment Agreement, dated as of November 10, 2022 and amended January 3, 2026 (as so amended, your “</w:t>
      </w:r>
      <w:r>
        <w:rPr>
          <w:rFonts w:ascii="Times New Roman" w:cs="Times New Roman" w:eastAsia="Times New Roman" w:hAnsi="Times New Roman"/>
          <w:sz w:val="20"/>
          <w:szCs w:val="20"/>
          <w:i w:val="1"/>
          <w:iCs w:val="1"/>
          <w:color w:val="auto"/>
        </w:rPr>
        <w:t>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For the avoidance of doubt, you and the Company agree that none of your appointment, change in duties, title, reporting line, authorities and responsibilities or resignation from the Board as set forth in this letter nor any appointment of a new Chair of the Board will result in any changes to your compensation pursuant to and in accordance with the Employment Agreement, constitute a termination without Cause or termination for Good Reason for purposes Sections 7(d) or 7(e) of your Employment Agreement. This letter constitutes an amendment of your Employment Agreement, and, except as forth in this letter, all other terms and conditions set forth in your Employment Agreement remain in full force and effect. Nothing in this letter alters the employment-at-will relationship between the Company and you or alters any notice provided by you to the Company under Section 7(g) of the Employment Agreement, and the notice periods in Sections 7(d) and 7(f) of your Employment Agreement are hereby waived. Capitalized terms used but not defined in this letter are used with the meanings assigned in your Employment Agreement.</w:t>
      </w:r>
    </w:p>
    <w:p>
      <w:pPr>
        <w:spacing w:after="0" w:line="20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On behalf of AIG, I again express deep appreciation for your continued assistance in our leadership transition and many contributions since joining the Company in 2017.</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Sincerely,</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AMERICAN INTERNATIONAL GROUP, INC.</w:t>
      </w:r>
    </w:p>
    <w:p>
      <w:pPr>
        <w:spacing w:after="0" w:line="29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Rose Marie Glazer</w:t>
      </w:r>
    </w:p>
    <w:p>
      <w:pPr>
        <w:spacing w:after="0" w:line="2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Name: Rose Marie Glazer</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 agree with and accept this Amendment.</w:t>
      </w:r>
    </w:p>
    <w:p>
      <w:pPr>
        <w:spacing w:after="0" w:line="200" w:lineRule="exact"/>
        <w:rPr>
          <w:sz w:val="20"/>
          <w:szCs w:val="20"/>
          <w:color w:val="auto"/>
        </w:rPr>
      </w:pPr>
    </w:p>
    <w:p>
      <w:pPr>
        <w:spacing w:after="0" w:line="29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u w:val="single" w:color="auto"/>
          <w:color w:val="auto"/>
        </w:rPr>
        <w:t>/s/ Peter Zaffino</w:t>
      </w:r>
    </w:p>
    <w:p>
      <w:pPr>
        <w:spacing w:after="0" w:line="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Peter Zaffino</w:t>
      </w:r>
    </w:p>
    <w:p>
      <w:pPr>
        <w:sectPr>
          <w:pgSz w:w="11900" w:h="16838" w:orient="portrait"/>
          <w:cols w:equalWidth="0" w:num="1">
            <w:col w:w="11240"/>
          </w:cols>
          <w:pgMar w:left="320" w:top="36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31</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 Eric Andersen, certify that:</w:t>
      </w:r>
    </w:p>
    <w:p>
      <w:pPr>
        <w:spacing w:after="0" w:line="140"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International Group, Inc.;</w:t>
      </w:r>
    </w:p>
    <w:p>
      <w:pPr>
        <w:spacing w:after="0" w:line="140" w:lineRule="exact"/>
        <w:rPr>
          <w:rFonts w:ascii="Arial" w:cs="Arial" w:eastAsia="Arial" w:hAnsi="Arial"/>
          <w:sz w:val="16"/>
          <w:szCs w:val="16"/>
          <w:color w:val="auto"/>
        </w:rPr>
      </w:pPr>
    </w:p>
    <w:p>
      <w:pPr>
        <w:ind w:right="280" w:firstLine="8"/>
        <w:spacing w:after="0" w:line="321" w:lineRule="auto"/>
        <w:tabs>
          <w:tab w:leader="none" w:pos="1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right="60" w:firstLine="8"/>
        <w:spacing w:after="0" w:line="321" w:lineRule="auto"/>
        <w:tabs>
          <w:tab w:leader="none" w:pos="1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ind w:right="40" w:firstLine="8"/>
        <w:spacing w:after="0" w:line="301" w:lineRule="auto"/>
        <w:tabs>
          <w:tab w:leader="none" w:pos="17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Arial" w:cs="Arial" w:eastAsia="Arial" w:hAnsi="Arial"/>
          <w:sz w:val="16"/>
          <w:szCs w:val="16"/>
          <w:color w:val="auto"/>
        </w:rPr>
      </w:pPr>
    </w:p>
    <w:p>
      <w:pPr>
        <w:jc w:val="both"/>
        <w:ind w:left="400" w:right="240" w:hanging="3"/>
        <w:spacing w:after="0" w:line="301" w:lineRule="auto"/>
        <w:tabs>
          <w:tab w:leader="none" w:pos="64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400" w:hanging="3"/>
        <w:spacing w:after="0" w:line="301" w:lineRule="auto"/>
        <w:tabs>
          <w:tab w:leader="none" w:pos="64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400" w:right="880" w:hanging="3"/>
        <w:spacing w:after="0" w:line="321" w:lineRule="auto"/>
        <w:tabs>
          <w:tab w:leader="none" w:pos="63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jc w:val="both"/>
        <w:ind w:left="400" w:right="120" w:hanging="3"/>
        <w:spacing w:after="0" w:line="301" w:lineRule="auto"/>
        <w:tabs>
          <w:tab w:leader="none" w:pos="64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660" w:firstLine="8"/>
        <w:spacing w:after="0" w:line="321" w:lineRule="auto"/>
        <w:tabs>
          <w:tab w:leader="none" w:pos="17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400" w:right="80" w:hanging="3"/>
        <w:spacing w:after="0" w:line="321" w:lineRule="auto"/>
        <w:tabs>
          <w:tab w:leader="none" w:pos="63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400" w:right="60" w:hanging="3"/>
        <w:spacing w:after="0" w:line="321" w:lineRule="auto"/>
        <w:tabs>
          <w:tab w:leader="none" w:pos="63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2026</w:t>
      </w:r>
    </w:p>
    <w:p>
      <w:pPr>
        <w:spacing w:after="0" w:line="200" w:lineRule="exact"/>
        <w:rPr>
          <w:sz w:val="20"/>
          <w:szCs w:val="20"/>
          <w:color w:val="auto"/>
        </w:rPr>
      </w:pPr>
    </w:p>
    <w:p>
      <w:pPr>
        <w:spacing w:after="0" w:line="332"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/S/ ERIC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20955</wp:posOffset>
            </wp:positionV>
            <wp:extent cx="23488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Eric Andersen</w:t>
      </w:r>
    </w:p>
    <w:p>
      <w:pPr>
        <w:spacing w:after="0" w:line="32"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1352DE"/>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 Keith Walsh, certify that:</w:t>
      </w:r>
    </w:p>
    <w:p>
      <w:pPr>
        <w:spacing w:after="0" w:line="140" w:lineRule="exact"/>
        <w:rPr>
          <w:sz w:val="20"/>
          <w:szCs w:val="20"/>
          <w:color w:val="auto"/>
        </w:rPr>
      </w:pPr>
    </w:p>
    <w:p>
      <w:pPr>
        <w:ind w:left="180" w:hanging="172"/>
        <w:spacing w:after="0"/>
        <w:tabs>
          <w:tab w:leader="none" w:pos="1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International Group, Inc.;</w:t>
      </w:r>
    </w:p>
    <w:p>
      <w:pPr>
        <w:spacing w:after="0" w:line="140" w:lineRule="exact"/>
        <w:rPr>
          <w:rFonts w:ascii="Arial" w:cs="Arial" w:eastAsia="Arial" w:hAnsi="Arial"/>
          <w:sz w:val="16"/>
          <w:szCs w:val="16"/>
          <w:color w:val="auto"/>
        </w:rPr>
      </w:pPr>
    </w:p>
    <w:p>
      <w:pPr>
        <w:ind w:right="280" w:firstLine="8"/>
        <w:spacing w:after="0" w:line="321" w:lineRule="auto"/>
        <w:tabs>
          <w:tab w:leader="none" w:pos="1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right="60" w:firstLine="8"/>
        <w:spacing w:after="0" w:line="321" w:lineRule="auto"/>
        <w:tabs>
          <w:tab w:leader="none" w:pos="1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ind w:right="40" w:firstLine="8"/>
        <w:spacing w:after="0" w:line="301" w:lineRule="auto"/>
        <w:tabs>
          <w:tab w:leader="none" w:pos="17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Arial" w:cs="Arial" w:eastAsia="Arial" w:hAnsi="Arial"/>
          <w:sz w:val="16"/>
          <w:szCs w:val="16"/>
          <w:color w:val="auto"/>
        </w:rPr>
      </w:pPr>
    </w:p>
    <w:p>
      <w:pPr>
        <w:jc w:val="both"/>
        <w:ind w:left="400" w:right="240" w:hanging="3"/>
        <w:spacing w:after="0" w:line="301" w:lineRule="auto"/>
        <w:tabs>
          <w:tab w:leader="none" w:pos="64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400" w:hanging="3"/>
        <w:spacing w:after="0" w:line="301" w:lineRule="auto"/>
        <w:tabs>
          <w:tab w:leader="none" w:pos="64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400" w:right="880" w:hanging="3"/>
        <w:spacing w:after="0" w:line="321" w:lineRule="auto"/>
        <w:tabs>
          <w:tab w:leader="none" w:pos="63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jc w:val="both"/>
        <w:ind w:left="400" w:right="120" w:hanging="3"/>
        <w:spacing w:after="0" w:line="301" w:lineRule="auto"/>
        <w:tabs>
          <w:tab w:leader="none" w:pos="64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660" w:firstLine="8"/>
        <w:spacing w:after="0" w:line="321" w:lineRule="auto"/>
        <w:tabs>
          <w:tab w:leader="none" w:pos="17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400" w:right="80" w:hanging="3"/>
        <w:spacing w:after="0" w:line="321" w:lineRule="auto"/>
        <w:tabs>
          <w:tab w:leader="none" w:pos="63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400" w:right="60" w:hanging="3"/>
        <w:spacing w:after="0" w:line="321" w:lineRule="auto"/>
        <w:tabs>
          <w:tab w:leader="none" w:pos="63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2026</w:t>
      </w:r>
    </w:p>
    <w:p>
      <w:pPr>
        <w:spacing w:after="0" w:line="200" w:lineRule="exact"/>
        <w:rPr>
          <w:sz w:val="20"/>
          <w:szCs w:val="20"/>
          <w:color w:val="auto"/>
        </w:rPr>
      </w:pPr>
    </w:p>
    <w:p>
      <w:pPr>
        <w:spacing w:after="0" w:line="332"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/S/ KEITH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20955</wp:posOffset>
            </wp:positionV>
            <wp:extent cx="22891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6"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Keith Walsh</w:t>
      </w:r>
    </w:p>
    <w:p>
      <w:pPr>
        <w:spacing w:after="0" w:line="32" w:lineRule="exact"/>
        <w:rPr>
          <w:sz w:val="20"/>
          <w:szCs w:val="20"/>
          <w:color w:val="auto"/>
        </w:rPr>
      </w:pPr>
    </w:p>
    <w:p>
      <w:pPr>
        <w:jc w:val="center"/>
        <w:ind w:left="7600"/>
        <w:spacing w:after="0"/>
        <w:rPr>
          <w:sz w:val="20"/>
          <w:szCs w:val="20"/>
          <w:color w:val="auto"/>
        </w:rPr>
      </w:pPr>
      <w:r>
        <w:rPr>
          <w:rFonts w:ascii="Arial" w:cs="Arial" w:eastAsia="Arial" w:hAnsi="Arial"/>
          <w:sz w:val="16"/>
          <w:szCs w:val="16"/>
          <w:color w:val="auto"/>
        </w:rPr>
        <w:t>Executive Vice President and</w:t>
      </w:r>
    </w:p>
    <w:p>
      <w:pPr>
        <w:spacing w:after="0" w:line="32" w:lineRule="exact"/>
        <w:rPr>
          <w:sz w:val="20"/>
          <w:szCs w:val="20"/>
          <w:color w:val="auto"/>
        </w:rPr>
      </w:pPr>
    </w:p>
    <w:p>
      <w:pPr>
        <w:jc w:val="center"/>
        <w:ind w:left="76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11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32</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1352DE"/>
        </w:rPr>
        <w:t>CERTIFICATION</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connection with this Quarterly Report on Form 10-Q of American International Group, Inc. (the “Company”) for the quarter ended September 30, 2026, as filed with the Securities and Exchange Commission on the date hereof (the “Report”), I, Eric Andersen, President and Chief Executive Officer of the Company, certify, pursuant to 18 U.S.C. Section 1350, that to my knowledge:</w:t>
      </w:r>
    </w:p>
    <w:p>
      <w:pPr>
        <w:spacing w:after="0" w:line="64" w:lineRule="exact"/>
        <w:rPr>
          <w:sz w:val="20"/>
          <w:szCs w:val="20"/>
          <w:color w:val="auto"/>
        </w:rPr>
      </w:pPr>
    </w:p>
    <w:p>
      <w:pPr>
        <w:ind w:left="240" w:hanging="232"/>
        <w:spacing w:after="0"/>
        <w:tabs>
          <w:tab w:leader="none" w:pos="2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40" w:lineRule="exact"/>
        <w:rPr>
          <w:rFonts w:ascii="Arial" w:cs="Arial" w:eastAsia="Arial" w:hAnsi="Arial"/>
          <w:sz w:val="16"/>
          <w:szCs w:val="16"/>
          <w:color w:val="auto"/>
        </w:rPr>
      </w:pPr>
    </w:p>
    <w:p>
      <w:pPr>
        <w:ind w:right="700" w:firstLine="8"/>
        <w:spacing w:after="0" w:line="462" w:lineRule="auto"/>
        <w:tabs>
          <w:tab w:leader="none" w:pos="2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November 4, 2026</w:t>
      </w:r>
    </w:p>
    <w:p>
      <w:pPr>
        <w:spacing w:after="0" w:line="331"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/S/ ERIC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20955</wp:posOffset>
            </wp:positionV>
            <wp:extent cx="234886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6"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Eric Andersen</w:t>
      </w:r>
    </w:p>
    <w:p>
      <w:pPr>
        <w:spacing w:after="0" w:line="32"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908" w:right="339" w:bottom="1440" w:gutter="0" w:footer="0" w:header="0"/>
        </w:sectPr>
      </w:pPr>
    </w:p>
    <w:bookmarkStart w:id="83" w:name="page84"/>
    <w:bookmarkEnd w:id="83"/>
    <w:p>
      <w:pPr>
        <w:spacing w:after="0"/>
        <w:rPr>
          <w:sz w:val="20"/>
          <w:szCs w:val="20"/>
          <w:color w:val="auto"/>
        </w:rPr>
      </w:pPr>
      <w:r>
        <w:rPr>
          <w:rFonts w:ascii="Arial" w:cs="Arial" w:eastAsia="Arial" w:hAnsi="Arial"/>
          <w:sz w:val="20"/>
          <w:szCs w:val="20"/>
          <w:b w:val="1"/>
          <w:bCs w:val="1"/>
          <w:color w:val="1352DE"/>
        </w:rPr>
        <w:t>CERTIFICATION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this Quarterly Report on Form 10-Q of American International Group, Inc. (the “Company”) for the quarter ended September 30, 2026, as filed with the Securities and Exchange Commission on the date hereof (the “Report”), I, Keith Walsh, Executive Vice President and Chief Financial Officer of the Company, certify, pursuant to 18 U.S.C. Section 1350, that to my knowledge:</w:t>
      </w:r>
    </w:p>
    <w:p>
      <w:pPr>
        <w:spacing w:after="0" w:line="64" w:lineRule="exact"/>
        <w:rPr>
          <w:sz w:val="20"/>
          <w:szCs w:val="20"/>
          <w:color w:val="auto"/>
        </w:rPr>
      </w:pPr>
    </w:p>
    <w:p>
      <w:pPr>
        <w:ind w:left="240" w:hanging="232"/>
        <w:spacing w:after="0"/>
        <w:tabs>
          <w:tab w:leader="none" w:pos="2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40" w:lineRule="exact"/>
        <w:rPr>
          <w:rFonts w:ascii="Arial" w:cs="Arial" w:eastAsia="Arial" w:hAnsi="Arial"/>
          <w:sz w:val="16"/>
          <w:szCs w:val="16"/>
          <w:color w:val="auto"/>
        </w:rPr>
      </w:pPr>
    </w:p>
    <w:p>
      <w:pPr>
        <w:ind w:right="620" w:firstLine="8"/>
        <w:spacing w:after="0" w:line="462" w:lineRule="auto"/>
        <w:tabs>
          <w:tab w:leader="none" w:pos="2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November 4, 2026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800"/>
        <w:spacing w:after="0"/>
        <w:rPr>
          <w:sz w:val="20"/>
          <w:szCs w:val="20"/>
          <w:color w:val="auto"/>
        </w:rPr>
      </w:pPr>
      <w:r>
        <w:rPr>
          <w:rFonts w:ascii="Arial" w:cs="Arial" w:eastAsia="Arial" w:hAnsi="Arial"/>
          <w:sz w:val="16"/>
          <w:szCs w:val="16"/>
          <w:color w:val="auto"/>
        </w:rPr>
        <w:t>/S/ KEITH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20955</wp:posOffset>
            </wp:positionV>
            <wp:extent cx="22288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6"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Keith Walsh</w:t>
      </w:r>
    </w:p>
    <w:p>
      <w:pPr>
        <w:spacing w:after="0" w:line="32" w:lineRule="exact"/>
        <w:rPr>
          <w:sz w:val="20"/>
          <w:szCs w:val="20"/>
          <w:color w:val="auto"/>
        </w:rPr>
      </w:pPr>
    </w:p>
    <w:p>
      <w:pPr>
        <w:jc w:val="center"/>
        <w:ind w:left="7700"/>
        <w:spacing w:after="0"/>
        <w:rPr>
          <w:sz w:val="20"/>
          <w:szCs w:val="20"/>
          <w:color w:val="auto"/>
        </w:rPr>
      </w:pPr>
      <w:r>
        <w:rPr>
          <w:rFonts w:ascii="Arial" w:cs="Arial" w:eastAsia="Arial" w:hAnsi="Arial"/>
          <w:sz w:val="16"/>
          <w:szCs w:val="16"/>
          <w:color w:val="auto"/>
        </w:rPr>
        <w:t>Executive Vice President and</w:t>
      </w:r>
    </w:p>
    <w:p>
      <w:pPr>
        <w:spacing w:after="0" w:line="32" w:lineRule="exact"/>
        <w:rPr>
          <w:sz w:val="20"/>
          <w:szCs w:val="20"/>
          <w:color w:val="auto"/>
        </w:rPr>
      </w:pPr>
    </w:p>
    <w:p>
      <w:pPr>
        <w:jc w:val="center"/>
        <w:ind w:left="7700"/>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160"/>
      </w:cols>
      <w:pgMar w:left="320" w:top="111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2"/>
      <w:numFmt w:val="bullet"/>
      <w:start w:val="1"/>
    </w:lvl>
  </w:abstractNum>
  <w:abstractNum w:abstractNumId="3">
    <w:nsid w:val="2F305DEF"/>
    <w:multiLevelType w:val="hybridMultilevel"/>
    <w:lvl w:ilvl="0">
      <w:lvlJc w:val="left"/>
      <w:lvlText w:val="4"/>
      <w:numFmt w:val="bullet"/>
      <w:start w:val="1"/>
    </w:lvl>
  </w:abstractNum>
  <w:abstractNum w:abstractNumId="4">
    <w:nsid w:val="25A70BF7"/>
    <w:multiLevelType w:val="hybridMultilevel"/>
    <w:lvl w:ilvl="0">
      <w:lvlJc w:val="left"/>
      <w:lvlText w:val="6"/>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8"/>
      <w:numFmt w:val="bullet"/>
      <w:start w:val="1"/>
    </w:lvl>
  </w:abstractNum>
  <w:abstractNum w:abstractNumId="8">
    <w:nsid w:val="1381823A"/>
    <w:multiLevelType w:val="hybridMultilevel"/>
    <w:lvl w:ilvl="0">
      <w:lvlJc w:val="left"/>
      <w:lvlText w:val="\endash "/>
      <w:numFmt w:val="bullet"/>
      <w:start w:val="1"/>
    </w:lvl>
  </w:abstractNum>
  <w:abstractNum w:abstractNumId="9">
    <w:nsid w:val="5DB70AE5"/>
    <w:multiLevelType w:val="hybridMultilevel"/>
    <w:lvl w:ilvl="0">
      <w:lvlJc w:val="left"/>
      <w:lvlText w:val="%1"/>
      <w:numFmt w:val="decimal"/>
      <w:start w:val="10"/>
    </w:lvl>
  </w:abstractNum>
  <w:abstractNum w:abstractNumId="10">
    <w:nsid w:val="100F8FCA"/>
    <w:multiLevelType w:val="hybridMultilevel"/>
    <w:lvl w:ilvl="0">
      <w:lvlJc w:val="left"/>
      <w:lvlText w:val="(%1)"/>
      <w:numFmt w:val="lowerLetter"/>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1"/>
      <w:numFmt w:val="decimal"/>
      <w:start w:val="12"/>
    </w:lvl>
  </w:abstractNum>
  <w:abstractNum w:abstractNumId="13">
    <w:nsid w:val="5F5E7FD0"/>
    <w:multiLevelType w:val="hybridMultilevel"/>
    <w:lvl w:ilvl="0">
      <w:lvlJc w:val="left"/>
      <w:lvlText w:val="(%1)"/>
      <w:numFmt w:val="lowerLetter"/>
      <w:start w:val="1"/>
    </w:lvl>
  </w:abstractNum>
  <w:abstractNum w:abstractNumId="14">
    <w:nsid w:val="98A3148"/>
    <w:multiLevelType w:val="hybridMultilevel"/>
    <w:lvl w:ilvl="0">
      <w:lvlJc w:val="left"/>
      <w:lvlText w:val="%1"/>
      <w:numFmt w:val="decimal"/>
      <w:start w:val="14"/>
    </w:lvl>
  </w:abstractNum>
  <w:abstractNum w:abstractNumId="15">
    <w:nsid w:val="799D0247"/>
    <w:multiLevelType w:val="hybridMultilevel"/>
    <w:lvl w:ilvl="0">
      <w:lvlJc w:val="left"/>
      <w:lvlText w:val="(%1)"/>
      <w:numFmt w:val="lowerLetter"/>
      <w:start w:val="1"/>
    </w:lvl>
  </w:abstractNum>
  <w:abstractNum w:abstractNumId="16">
    <w:nsid w:val="6B94764"/>
    <w:multiLevelType w:val="hybridMultilevel"/>
    <w:lvl w:ilvl="0">
      <w:lvlJc w:val="left"/>
      <w:lvlText w:val="%1"/>
      <w:numFmt w:val="decimal"/>
      <w:start w:val="16"/>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1)"/>
      <w:numFmt w:val="lowerLetter"/>
      <w:start w:val="1"/>
    </w:lvl>
  </w:abstractNum>
  <w:abstractNum w:abstractNumId="19">
    <w:nsid w:val="1EBA5D23"/>
    <w:multiLevelType w:val="hybridMultilevel"/>
    <w:lvl w:ilvl="0">
      <w:lvlJc w:val="left"/>
      <w:lvlText w:val="%1"/>
      <w:numFmt w:val="decimal"/>
      <w:start w:val="18"/>
    </w:lvl>
  </w:abstractNum>
  <w:abstractNum w:abstractNumId="20">
    <w:nsid w:val="661E3F1E"/>
    <w:multiLevelType w:val="hybridMultilevel"/>
    <w:lvl w:ilvl="0">
      <w:lvlJc w:val="left"/>
      <w:lvlText w:val="(%1)"/>
      <w:numFmt w:val="lowerLetter"/>
      <w:start w:val="1"/>
    </w:lvl>
  </w:abstractNum>
  <w:abstractNum w:abstractNumId="21">
    <w:nsid w:val="5DC79EA8"/>
    <w:multiLevelType w:val="hybridMultilevel"/>
    <w:lvl w:ilvl="0">
      <w:lvlJc w:val="left"/>
      <w:lvlText w:val="%1"/>
      <w:numFmt w:val="decimal"/>
      <w:start w:val="20"/>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1)"/>
      <w:numFmt w:val="lowerLetter"/>
      <w:start w:val="1"/>
    </w:lvl>
  </w:abstractNum>
  <w:abstractNum w:abstractNumId="24">
    <w:nsid w:val="51D9C564"/>
    <w:multiLevelType w:val="hybridMultilevel"/>
    <w:lvl w:ilvl="0">
      <w:lvlJc w:val="left"/>
      <w:lvlText w:val="(%1)"/>
      <w:numFmt w:val="lowerLetter"/>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1"/>
      <w:numFmt w:val="decimal"/>
      <w:start w:val="22"/>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1"/>
      <w:numFmt w:val="decimal"/>
      <w:start w:val="24"/>
    </w:lvl>
  </w:abstractNum>
  <w:abstractNum w:abstractNumId="30">
    <w:nsid w:val="8F2B15E"/>
    <w:multiLevelType w:val="hybridMultilevel"/>
    <w:lvl w:ilvl="0">
      <w:lvlJc w:val="left"/>
      <w:lvlText w:val="(%1)"/>
      <w:numFmt w:val="lowerLetter"/>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1)"/>
      <w:numFmt w:val="lowerLetter"/>
      <w:start w:val="1"/>
    </w:lvl>
  </w:abstractNum>
  <w:abstractNum w:abstractNumId="34">
    <w:nsid w:val="4962813B"/>
    <w:multiLevelType w:val="hybridMultilevel"/>
    <w:lvl w:ilvl="0">
      <w:lvlJc w:val="left"/>
      <w:lvlText w:val="%1"/>
      <w:numFmt w:val="decimal"/>
      <w:start w:val="26"/>
    </w:lvl>
  </w:abstractNum>
  <w:abstractNum w:abstractNumId="35">
    <w:nsid w:val="60B6DF70"/>
    <w:multiLevelType w:val="hybridMultilevel"/>
    <w:lvl w:ilvl="0">
      <w:lvlJc w:val="left"/>
      <w:lvlText w:val="(%1)"/>
      <w:numFmt w:val="lowerLetter"/>
      <w:start w:val="1"/>
    </w:lvl>
  </w:abstractNum>
  <w:abstractNum w:abstractNumId="36">
    <w:nsid w:val="6A5EE64"/>
    <w:multiLevelType w:val="hybridMultilevel"/>
    <w:lvl w:ilvl="0">
      <w:lvlJc w:val="left"/>
      <w:lvlText w:val="(%1)"/>
      <w:numFmt w:val="lowerRoman"/>
      <w:start w:val="1"/>
    </w:lvl>
  </w:abstractNum>
  <w:abstractNum w:abstractNumId="37">
    <w:nsid w:val="14330624"/>
    <w:multiLevelType w:val="hybridMultilevel"/>
    <w:lvl w:ilvl="0">
      <w:lvlJc w:val="left"/>
      <w:lvlText w:val="%1"/>
      <w:numFmt w:val="decimal"/>
      <w:start w:val="28"/>
    </w:lvl>
  </w:abstractNum>
  <w:abstractNum w:abstractNumId="38">
    <w:nsid w:val="7FFFCA11"/>
    <w:multiLevelType w:val="hybridMultilevel"/>
    <w:lvl w:ilvl="0">
      <w:lvlJc w:val="left"/>
      <w:lvlText w:val="(%1)"/>
      <w:numFmt w:val="lowerLetter"/>
      <w:start w:val="1"/>
    </w:lvl>
  </w:abstractNum>
  <w:abstractNum w:abstractNumId="39">
    <w:nsid w:val="1A27709E"/>
    <w:multiLevelType w:val="hybridMultilevel"/>
    <w:lvl w:ilvl="0">
      <w:lvlJc w:val="left"/>
      <w:lvlText w:val="(%1)"/>
      <w:numFmt w:val="lowerLetter"/>
      <w:start w:val="1"/>
    </w:lvl>
  </w:abstractNum>
  <w:abstractNum w:abstractNumId="40">
    <w:nsid w:val="71EA1109"/>
    <w:multiLevelType w:val="hybridMultilevel"/>
    <w:lvl w:ilvl="0">
      <w:lvlJc w:val="left"/>
      <w:lvlText w:val="%1"/>
      <w:numFmt w:val="decimal"/>
      <w:start w:val="30"/>
    </w:lvl>
  </w:abstractNum>
  <w:abstractNum w:abstractNumId="41">
    <w:nsid w:val="100F59DC"/>
    <w:multiLevelType w:val="hybridMultilevel"/>
    <w:lvl w:ilvl="0">
      <w:lvlJc w:val="left"/>
      <w:lvlText w:val="(%1)"/>
      <w:numFmt w:val="lowerLetter"/>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1"/>
      <w:numFmt w:val="upperLetter"/>
      <w:start w:val="54"/>
    </w:lvl>
  </w:abstractNum>
  <w:abstractNum w:abstractNumId="44">
    <w:nsid w:val="6F6DD9AC"/>
    <w:multiLevelType w:val="hybridMultilevel"/>
    <w:lvl w:ilvl="0">
      <w:lvlJc w:val="left"/>
      <w:lvlText w:val="%1"/>
      <w:numFmt w:val="decimal"/>
      <w:start w:val="32"/>
    </w:lvl>
  </w:abstractNum>
  <w:abstractNum w:abstractNumId="45">
    <w:nsid w:val="94211F2"/>
    <w:multiLevelType w:val="hybridMultilevel"/>
    <w:lvl w:ilvl="0">
      <w:lvlJc w:val="left"/>
      <w:lvlText w:val="(%1)"/>
      <w:numFmt w:val="lowerLetter"/>
      <w:start w:val="1"/>
    </w:lvl>
  </w:abstractNum>
  <w:abstractNum w:abstractNumId="46">
    <w:nsid w:val="885E1B"/>
    <w:multiLevelType w:val="hybridMultilevel"/>
    <w:lvl w:ilvl="0">
      <w:lvlJc w:val="left"/>
      <w:lvlText w:val="•"/>
      <w:numFmt w:val="bullet"/>
      <w:start w:val="1"/>
    </w:lvl>
    <w:lvl w:ilvl="1">
      <w:lvlJc w:val="left"/>
      <w:lvlText w:val="\endash "/>
      <w:numFmt w:val="bullet"/>
      <w:start w:val="1"/>
    </w:lvl>
  </w:abstractNum>
  <w:abstractNum w:abstractNumId="47">
    <w:nsid w:val="76272110"/>
    <w:multiLevelType w:val="hybridMultilevel"/>
    <w:lvl w:ilvl="0">
      <w:lvlJc w:val="left"/>
      <w:lvlText w:val="(%1)"/>
      <w:numFmt w:val="lowerLetter"/>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decimal"/>
      <w:start w:val="34"/>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1"/>
      <w:numFmt w:val="decimal"/>
      <w:start w:val="36"/>
    </w:lvl>
  </w:abstractNum>
  <w:abstractNum w:abstractNumId="52">
    <w:nsid w:val="74DE0EE3"/>
    <w:multiLevelType w:val="hybridMultilevel"/>
    <w:lvl w:ilvl="0">
      <w:lvlJc w:val="left"/>
      <w:lvlText w:val="(%1)"/>
      <w:numFmt w:val="lowerLetter"/>
      <w:start w:val="1"/>
    </w:lvl>
  </w:abstractNum>
  <w:abstractNum w:abstractNumId="53">
    <w:nsid w:val="68EBC550"/>
    <w:multiLevelType w:val="hybridMultilevel"/>
    <w:lvl w:ilvl="0">
      <w:lvlJc w:val="left"/>
      <w:lvlText w:val="%1"/>
      <w:numFmt w:val="decimal"/>
      <w:start w:val="38"/>
    </w:lvl>
  </w:abstractNum>
  <w:abstractNum w:abstractNumId="54">
    <w:nsid w:val="2DF6D648"/>
    <w:multiLevelType w:val="hybridMultilevel"/>
    <w:lvl w:ilvl="0">
      <w:lvlJc w:val="left"/>
      <w:lvlText w:val="(%1)"/>
      <w:numFmt w:val="lowerLetter"/>
      <w:start w:val="1"/>
    </w:lvl>
  </w:abstractNum>
  <w:abstractNum w:abstractNumId="55">
    <w:nsid w:val="46B7D447"/>
    <w:multiLevelType w:val="hybridMultilevel"/>
    <w:lvl w:ilvl="0">
      <w:lvlJc w:val="left"/>
      <w:lvlText w:val="%1"/>
      <w:numFmt w:val="decimal"/>
      <w:start w:val="40"/>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1"/>
      <w:numFmt w:val="decimal"/>
      <w:start w:val="42"/>
    </w:lvl>
  </w:abstractNum>
  <w:abstractNum w:abstractNumId="61">
    <w:nsid w:val="60EF0119"/>
    <w:multiLevelType w:val="hybridMultilevel"/>
    <w:lvl w:ilvl="0">
      <w:lvlJc w:val="left"/>
      <w:lvlText w:val="%1"/>
      <w:numFmt w:val="decimal"/>
      <w:start w:val="44"/>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1"/>
      <w:numFmt w:val="decimal"/>
      <w:start w:val="46"/>
    </w:lvl>
  </w:abstractNum>
  <w:abstractNum w:abstractNumId="66">
    <w:nsid w:val="5FB8370B"/>
    <w:multiLevelType w:val="hybridMultilevel"/>
    <w:lvl w:ilvl="0">
      <w:lvlJc w:val="left"/>
      <w:lvlText w:val="(%1)"/>
      <w:numFmt w:val="lowerLetter"/>
      <w:start w:val="1"/>
    </w:lvl>
  </w:abstractNum>
  <w:abstractNum w:abstractNumId="67">
    <w:nsid w:val="50801EE1"/>
    <w:multiLevelType w:val="hybridMultilevel"/>
    <w:lvl w:ilvl="0">
      <w:lvlJc w:val="left"/>
      <w:lvlText w:val="(%1)"/>
      <w:numFmt w:val="lowerLetter"/>
      <w:start w:val="1"/>
    </w:lvl>
  </w:abstractNum>
  <w:abstractNum w:abstractNumId="68">
    <w:nsid w:val="488AC1A"/>
    <w:multiLevelType w:val="hybridMultilevel"/>
    <w:lvl w:ilvl="0">
      <w:lvlJc w:val="left"/>
      <w:lvlText w:val="(%1)"/>
      <w:numFmt w:val="lowerLetter"/>
      <w:start w:val="1"/>
    </w:lvl>
  </w:abstractNum>
  <w:abstractNum w:abstractNumId="69">
    <w:nsid w:val="5FB8011C"/>
    <w:multiLevelType w:val="hybridMultilevel"/>
    <w:lvl w:ilvl="0">
      <w:lvlJc w:val="left"/>
      <w:lvlText w:val="%1"/>
      <w:numFmt w:val="decimal"/>
      <w:start w:val="48"/>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1"/>
      <w:numFmt w:val="decimal"/>
      <w:start w:val="50"/>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1"/>
      <w:numFmt w:val="decimal"/>
      <w:start w:val="52"/>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1)"/>
      <w:numFmt w:val="lowerLetter"/>
      <w:start w:val="1"/>
    </w:lvl>
  </w:abstractNum>
  <w:abstractNum w:abstractNumId="84">
    <w:nsid w:val="53299938"/>
    <w:multiLevelType w:val="hybridMultilevel"/>
    <w:lvl w:ilvl="0">
      <w:lvlJc w:val="left"/>
      <w:lvlText w:val="%1"/>
      <w:numFmt w:val="decimal"/>
      <w:start w:val="54"/>
    </w:lvl>
  </w:abstractNum>
  <w:abstractNum w:abstractNumId="85">
    <w:nsid w:val="1FBFE8E0"/>
    <w:multiLevelType w:val="hybridMultilevel"/>
    <w:lvl w:ilvl="0">
      <w:lvlJc w:val="left"/>
      <w:lvlText w:val="(%1)"/>
      <w:numFmt w:val="lowerLetter"/>
      <w:start w:val="1"/>
    </w:lvl>
  </w:abstractNum>
  <w:abstractNum w:abstractNumId="86">
    <w:nsid w:val="5092CA79"/>
    <w:multiLevelType w:val="hybridMultilevel"/>
    <w:lvl w:ilvl="0">
      <w:lvlJc w:val="left"/>
      <w:lvlText w:val="%1"/>
      <w:numFmt w:val="decimal"/>
      <w:start w:val="56"/>
    </w:lvl>
  </w:abstractNum>
  <w:abstractNum w:abstractNumId="87">
    <w:nsid w:val="1D545C4D"/>
    <w:multiLevelType w:val="hybridMultilevel"/>
    <w:lvl w:ilvl="0">
      <w:lvlJc w:val="left"/>
      <w:lvlText w:val="•"/>
      <w:numFmt w:val="bullet"/>
      <w:start w:val="1"/>
    </w:lvl>
    <w:lvl w:ilvl="1">
      <w:lvlJc w:val="left"/>
      <w:lvlText w:val="\endash "/>
      <w:numFmt w:val="bullet"/>
      <w:start w:val="1"/>
    </w:lvl>
  </w:abstractNum>
  <w:abstractNum w:abstractNumId="88">
    <w:nsid w:val="59ADEA3D"/>
    <w:multiLevelType w:val="hybridMultilevel"/>
    <w:lvl w:ilvl="0">
      <w:lvlJc w:val="left"/>
      <w:lvlText w:val="%1"/>
      <w:numFmt w:val="decimal"/>
      <w:start w:val="58"/>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1"/>
      <w:numFmt w:val="decimal"/>
      <w:start w:val="60"/>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1"/>
      <w:numFmt w:val="decimal"/>
      <w:start w:val="62"/>
    </w:lvl>
  </w:abstractNum>
  <w:abstractNum w:abstractNumId="95">
    <w:nsid w:val="53584BCB"/>
    <w:multiLevelType w:val="hybridMultilevel"/>
    <w:lvl w:ilvl="0">
      <w:lvlJc w:val="left"/>
      <w:lvlText w:val="(%1)"/>
      <w:numFmt w:val="lowerLetter"/>
      <w:start w:val="1"/>
    </w:lvl>
  </w:abstractNum>
  <w:abstractNum w:abstractNumId="96">
    <w:nsid w:val="415E286C"/>
    <w:multiLevelType w:val="hybridMultilevel"/>
    <w:lvl w:ilvl="0">
      <w:lvlJc w:val="left"/>
      <w:lvlText w:val="%1"/>
      <w:numFmt w:val="decimal"/>
      <w:start w:val="64"/>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1"/>
      <w:numFmt w:val="decimal"/>
      <w:start w:val="66"/>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1)"/>
      <w:numFmt w:val="lowerLetter"/>
      <w:start w:val="1"/>
    </w:lvl>
  </w:abstractNum>
  <w:abstractNum w:abstractNumId="110">
    <w:nsid w:val="2C27173B"/>
    <w:multiLevelType w:val="hybridMultilevel"/>
    <w:lvl w:ilvl="0">
      <w:lvlJc w:val="left"/>
      <w:lvlText w:val="%1"/>
      <w:numFmt w:val="decimal"/>
      <w:start w:val="68"/>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1"/>
      <w:numFmt w:val="decimal"/>
      <w:start w:val="70"/>
    </w:lvl>
  </w:abstractNum>
  <w:abstractNum w:abstractNumId="114">
    <w:nsid w:val="5675FF36"/>
    <w:multiLevelType w:val="hybridMultilevel"/>
    <w:lvl w:ilvl="0">
      <w:lvlJc w:val="left"/>
      <w:lvlText w:val="*"/>
      <w:numFmt w:val="bullet"/>
      <w:start w:val="1"/>
    </w:lvl>
  </w:abstractNum>
  <w:abstractNum w:abstractNumId="115">
    <w:nsid w:val="3DD15094"/>
    <w:multiLevelType w:val="hybridMultilevel"/>
    <w:lvl w:ilvl="0">
      <w:lvlJc w:val="left"/>
      <w:lvlText w:val="(%1)"/>
      <w:numFmt w:val="lowerLetter"/>
      <w:start w:val="1"/>
    </w:lvl>
  </w:abstractNum>
  <w:abstractNum w:abstractNumId="116">
    <w:nsid w:val="3DB012B3"/>
    <w:multiLevelType w:val="hybridMultilevel"/>
    <w:lvl w:ilvl="0">
      <w:lvlJc w:val="left"/>
      <w:lvlText w:val="%1"/>
      <w:numFmt w:val="decimal"/>
      <w:start w:val="72"/>
    </w:lvl>
  </w:abstractNum>
  <w:abstractNum w:abstractNumId="117">
    <w:nsid w:val="2708C9AF"/>
    <w:multiLevelType w:val="hybridMultilevel"/>
    <w:lvl w:ilvl="0">
      <w:lvlJc w:val="left"/>
      <w:lvlText w:val="%1"/>
      <w:numFmt w:val="decimal"/>
      <w:start w:val="74"/>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1"/>
      <w:numFmt w:val="decimal"/>
      <w:start w:val="76"/>
    </w:lvl>
  </w:abstractNum>
  <w:abstractNum w:abstractNumId="120">
    <w:nsid w:val="4F97E3E4"/>
    <w:multiLevelType w:val="hybridMultilevel"/>
    <w:lvl w:ilvl="0">
      <w:lvlJc w:val="left"/>
      <w:lvlText w:val="*"/>
      <w:numFmt w:val="bullet"/>
      <w:start w:val="1"/>
    </w:lvl>
  </w:abstractNum>
  <w:abstractNum w:abstractNumId="121">
    <w:nsid w:val="53B0A9E"/>
    <w:multiLevelType w:val="hybridMultilevel"/>
    <w:lvl w:ilvl="0">
      <w:lvlJc w:val="left"/>
      <w:lvlText w:val="%1"/>
      <w:numFmt w:val="decimal"/>
      <w:start w:val="78"/>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392" Type="http://schemas.openxmlformats.org/officeDocument/2006/relationships/hyperlink" Target="https://www.sec.gov/Archives/edgar/data/0000005272/000110465926110438/tm2625844d1_ex4-1.htm" TargetMode="External"/><Relationship Id="rId393" Type="http://schemas.openxmlformats.org/officeDocument/2006/relationships/hyperlink" Target="https://www.sec.gov/Archives/edgar/data/0000005272/000110465926110438/tm2625844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2026-11-04T11:27:56Z</dcterms:created>
  <dcterms:modified xsi:type="dcterms:W3CDTF">2026-11-04T11:27:56Z</dcterms:modified>
</cp:coreProperties>
</file>