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790918.xml.htm"/>
      <w:bookmarkStart w:id="1" w:name="kswkform4_17787909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Leimkuhler Courtney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INTERNATIONAL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1271 AVE OF THE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10020-1304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INTERNATIONAL GROUP, INC.</w:t>
              </w:r>
            </w:hyperlink>
            <w:r>
              <w:rPr/>
              <w:t xml:space="preserve"> [ </w:t>
            </w:r>
            <w:r>
              <w:rPr>
                <w:rFonts w:ascii="Times;serif" w:hAnsi="Times;serif"/>
                <w:color w:val="0000FF"/>
                <w:sz w:val="24"/>
                <w:shd w:fill="FFFFFF" w:val="clear"/>
              </w:rPr>
              <w:t>AIG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34"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2,441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6,075</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deferred stock units ("DSUs") were awarded as non-employee director compensation. The DSUs will be settled in shares of AIG common stock on a 1-to-1 basis on the last trading day of the month in which the director's service on the Board of Directors ends, unless the director has elected to defer the vesting date. This award includes dividend equivalent rights that accrue during the vesting period in the form of DSUs.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DSUs previously granted as compensation for service as a non-employee director.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B. Kalayjian, by POA from Courtney Leimkuhler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9121" TargetMode="External"/><Relationship Id="rId5" Type="http://schemas.openxmlformats.org/officeDocument/2006/relationships/hyperlink" Target="http://www.sec.gov/cgi-bin/browse-edgar?action=getcompany&amp;CIK=00000052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662</Words>
  <Characters>3573</Characters>
  <CharactersWithSpaces>4171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