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952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MILLS LINDA A</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380" w:type="dxa"/>
            <w:vAlign w:val="bottom"/>
            <w:gridSpan w:val="15"/>
          </w:tcPr>
          <w:p>
            <w:pPr>
              <w:spacing w:after="0" w:line="182"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AMERICAN INTERNATIONAL GROUP,  </w:t>
              </w:r>
            </w:hyperlink>
            <w:r>
              <w:rPr>
                <w:rFonts w:ascii="Arial" w:cs="Arial" w:eastAsia="Arial" w:hAnsi="Arial"/>
                <w:sz w:val="21"/>
                <w:szCs w:val="21"/>
                <w:color w:val="000000"/>
                <w:vertAlign w:val="superscript"/>
              </w:rPr>
              <w:t>(Check</w:t>
            </w:r>
            <w:r>
              <w:rPr>
                <w:rFonts w:ascii="Times New Roman" w:cs="Times New Roman" w:eastAsia="Times New Roman" w:hAnsi="Times New Roman"/>
                <w:sz w:val="17"/>
                <w:szCs w:val="17"/>
                <w:color w:val="0000EE"/>
              </w:rPr>
              <w:t xml:space="preserve"> </w:t>
            </w:r>
            <w:r>
              <w:rPr>
                <w:rFonts w:ascii="Arial" w:cs="Arial" w:eastAsia="Arial" w:hAnsi="Arial"/>
                <w:sz w:val="21"/>
                <w:szCs w:val="21"/>
                <w:color w:val="000000"/>
                <w:vertAlign w:val="superscript"/>
              </w:rPr>
              <w:t>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3"/>
            <w:vMerge w:val="restart"/>
          </w:tcPr>
          <w:p>
            <w:pPr>
              <w:spacing w:after="0" w:line="215"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880" w:type="dxa"/>
            <w:vAlign w:val="bottom"/>
            <w:tcBorders>
              <w:bottom w:val="single" w:sz="8" w:color="9A9A9A"/>
            </w:tcBorders>
          </w:tcPr>
          <w:p>
            <w:pPr>
              <w:spacing w:after="0" w:line="20" w:lineRule="exact"/>
              <w:rPr>
                <w:sz w:val="1"/>
                <w:szCs w:val="1"/>
                <w:color w:val="auto"/>
              </w:rPr>
            </w:pPr>
          </w:p>
        </w:tc>
        <w:tc>
          <w:tcPr>
            <w:tcW w:w="116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AMERICAN INTERNATIONAL GROUP,</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1271 AVE OF THE AMERICAS</w:t>
            </w: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2420" w:type="dxa"/>
            <w:vAlign w:val="bottom"/>
            <w:gridSpan w:val="5"/>
            <w:vMerge w:val="continue"/>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00" w:type="dxa"/>
            <w:vAlign w:val="bottom"/>
            <w:gridSpan w:val="8"/>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10020-1304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12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120" w:type="dxa"/>
            <w:vAlign w:val="bottom"/>
            <w:tcBorders>
              <w:bottom w:val="single" w:sz="8" w:color="2C2C2C"/>
            </w:tcBorders>
            <w:gridSpan w:val="5"/>
          </w:tcPr>
          <w:p>
            <w:pPr>
              <w:spacing w:after="0"/>
              <w:rPr>
                <w:sz w:val="7"/>
                <w:szCs w:val="7"/>
                <w:color w:val="auto"/>
              </w:rPr>
            </w:pPr>
          </w:p>
        </w:tc>
        <w:tc>
          <w:tcPr>
            <w:tcW w:w="40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9"/>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4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3"/>
                <w:szCs w:val="13"/>
                <w:color w:val="0000FF"/>
              </w:rPr>
              <w:t>07/01/2026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505</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0000FF"/>
              </w:rPr>
              <w:t>505</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47,849</w:t>
            </w:r>
            <w:r>
              <w:rPr>
                <w:rFonts w:ascii="Times New Roman" w:cs="Times New Roman" w:eastAsia="Times New Roman" w:hAnsi="Times New Roman"/>
                <w:sz w:val="21"/>
                <w:szCs w:val="21"/>
                <w:color w:val="008000"/>
                <w:vertAlign w:val="superscript"/>
              </w:rPr>
              <w:t>(2)</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3"/>
                <w:szCs w:val="13"/>
                <w:color w:val="0000FF"/>
              </w:rPr>
              <w:t>07/01/2026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290</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0000FF"/>
              </w:rPr>
              <w:t>290</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48,139</w:t>
            </w:r>
            <w:r>
              <w:rPr>
                <w:rFonts w:ascii="Times New Roman" w:cs="Times New Roman" w:eastAsia="Times New Roman" w:hAnsi="Times New Roman"/>
                <w:sz w:val="21"/>
                <w:szCs w:val="21"/>
                <w:color w:val="008000"/>
                <w:vertAlign w:val="superscript"/>
              </w:rPr>
              <w:t>(2)</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-2287270</wp:posOffset>
            </wp:positionV>
            <wp:extent cx="29210" cy="2292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923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DSUs previously granted as compensation for service as a non-employee director.</w:t>
      </w:r>
    </w:p>
    <w:p>
      <w:pPr>
        <w:spacing w:after="0" w:line="45" w:lineRule="exact"/>
        <w:rPr>
          <w:rFonts w:ascii="Times New Roman" w:cs="Times New Roman" w:eastAsia="Times New Roman" w:hAnsi="Times New Roman"/>
          <w:sz w:val="13"/>
          <w:szCs w:val="13"/>
          <w:color w:val="008000"/>
        </w:rPr>
      </w:pPr>
    </w:p>
    <w:p>
      <w:pPr>
        <w:ind w:left="40" w:right="1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reports the accrual of dividend equivalents on DSUs previously granted to the reporting person as non-employee director compensation in the form of additional DSUs. All DSUs will be settled in shares of AIG common stock on a 1-to-1 basis on the last trading day of the month in which the director's service on the Board of Directors ends, unless the director has elected to defer the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Linda B. Kalayjian, by POA </w:t>
      </w:r>
      <w:r>
        <w:rPr>
          <w:rFonts w:ascii="Times New Roman" w:cs="Times New Roman" w:eastAsia="Times New Roman" w:hAnsi="Times New Roman"/>
          <w:sz w:val="33"/>
          <w:szCs w:val="33"/>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from Linda A.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872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724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25725" TargetMode="External"/><Relationship Id="rId14" Type="http://schemas.openxmlformats.org/officeDocument/2006/relationships/hyperlink" Target="http://www.sec.gov/cgi-bin/browse-edgar?action=getcompany&amp;CIK=00000052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2026-07-02T15:40:36Z</dcterms:created>
  <dcterms:modified xsi:type="dcterms:W3CDTF">2026-07-02T15:40:36Z</dcterms:modified>
</cp:coreProperties>
</file>