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6992620" cy="5066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66030"/>
                    </a:xfrm>
                    <a:prstGeom prst="rect">
                      <a:avLst/>
                    </a:prstGeom>
                    <a:noFill/>
                  </pic:spPr>
                </pic:pic>
              </a:graphicData>
            </a:graphic>
          </wp:anchor>
        </w:drawing>
      </w:r>
    </w:p>
    <w:p>
      <w:pPr>
        <w:spacing w:after="0" w:line="1190"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Porrino Peter R</w:t>
              </w:r>
            </w:hyperlink>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0" w:type="dxa"/>
            <w:vAlign w:val="bottom"/>
            <w:gridSpan w:val="16"/>
          </w:tcPr>
          <w:p>
            <w:pPr>
              <w:spacing w:after="0" w:line="181" w:lineRule="exact"/>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color w:val="0000EE"/>
                </w:rPr>
                <w:t xml:space="preserve">AMERICAN INTERNATIONAL GROUP,  </w:t>
              </w:r>
            </w:hyperlink>
            <w:r>
              <w:rPr>
                <w:rFonts w:ascii="Arial" w:cs="Arial" w:eastAsia="Arial" w:hAnsi="Arial"/>
                <w:sz w:val="20"/>
                <w:szCs w:val="20"/>
                <w:color w:val="000000"/>
                <w:vertAlign w:val="superscript"/>
              </w:rPr>
              <w:t>(Check</w:t>
            </w:r>
            <w:r>
              <w:rPr>
                <w:rFonts w:ascii="Times New Roman" w:cs="Times New Roman" w:eastAsia="Times New Roman" w:hAnsi="Times New Roman"/>
                <w:sz w:val="17"/>
                <w:szCs w:val="17"/>
                <w:color w:val="0000EE"/>
              </w:rPr>
              <w:t xml:space="preserve"> </w:t>
            </w:r>
            <w:r>
              <w:rPr>
                <w:rFonts w:ascii="Arial" w:cs="Arial" w:eastAsia="Arial" w:hAnsi="Arial"/>
                <w:sz w:val="20"/>
                <w:szCs w:val="20"/>
                <w:color w:val="000000"/>
                <w:vertAlign w:val="superscript"/>
              </w:rPr>
              <w:t>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060" w:type="dxa"/>
            <w:vAlign w:val="bottom"/>
            <w:tcBorders>
              <w:top w:val="single" w:sz="8" w:color="0000EE"/>
            </w:tcBorders>
            <w:gridSpan w:val="3"/>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AIG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60" w:type="dxa"/>
            <w:vAlign w:val="bottom"/>
            <w:tcBorders>
              <w:top w:val="single" w:sz="8" w:color="0000EE"/>
            </w:tcBorders>
            <w:gridSpan w:val="3"/>
            <w:vMerge w:val="continue"/>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58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C/O AMERICAN INTERNATIONAL GROUP,</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20" w:type="dxa"/>
            <w:vAlign w:val="bottom"/>
            <w:gridSpan w:val="9"/>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INC.</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6"/>
          </w:tcPr>
          <w:p>
            <w:pPr>
              <w:ind w:left="220"/>
              <w:spacing w:after="0"/>
              <w:rPr>
                <w:sz w:val="20"/>
                <w:szCs w:val="20"/>
                <w:color w:val="auto"/>
              </w:rPr>
            </w:pPr>
            <w:r>
              <w:rPr>
                <w:rFonts w:ascii="Times New Roman" w:cs="Times New Roman" w:eastAsia="Times New Roman" w:hAnsi="Times New Roman"/>
                <w:sz w:val="17"/>
                <w:szCs w:val="17"/>
                <w:color w:val="0000FF"/>
              </w:rPr>
              <w:t>10/01/2025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1271 AVE OF THE AMERICAS</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6"/>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10"/>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6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10020-1304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4"/>
          </w:tcPr>
          <w:p>
            <w:pPr>
              <w:spacing w:after="0"/>
              <w:rPr>
                <w:sz w:val="10"/>
                <w:szCs w:val="10"/>
                <w:color w:val="auto"/>
              </w:rPr>
            </w:pPr>
          </w:p>
        </w:tc>
        <w:tc>
          <w:tcPr>
            <w:tcW w:w="210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6"/>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100" w:type="dxa"/>
            <w:vAlign w:val="bottom"/>
          </w:tcPr>
          <w:p>
            <w:pPr>
              <w:spacing w:after="0"/>
              <w:rPr>
                <w:sz w:val="11"/>
                <w:szCs w:val="11"/>
                <w:color w:val="auto"/>
              </w:rPr>
            </w:pPr>
          </w:p>
        </w:tc>
        <w:tc>
          <w:tcPr>
            <w:tcW w:w="46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100" w:type="dxa"/>
            <w:vAlign w:val="bottom"/>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5"/>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gridSpan w:val="4"/>
          </w:tcPr>
          <w:p>
            <w:pPr>
              <w:spacing w:after="0"/>
              <w:rPr>
                <w:sz w:val="7"/>
                <w:szCs w:val="7"/>
                <w:color w:val="auto"/>
              </w:rPr>
            </w:pPr>
          </w:p>
        </w:tc>
        <w:tc>
          <w:tcPr>
            <w:tcW w:w="2100" w:type="dxa"/>
            <w:vAlign w:val="bottom"/>
            <w:tcBorders>
              <w:bottom w:val="single" w:sz="8" w:color="2C2C2C"/>
            </w:tcBorders>
            <w:gridSpan w:val="5"/>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20"/>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7"/>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12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10/01/2025</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25"/>
                <w:szCs w:val="25"/>
                <w:color w:val="0000FF"/>
                <w:vertAlign w:val="subscript"/>
              </w:rPr>
              <w:t>517</w:t>
            </w:r>
            <w:r>
              <w:rPr>
                <w:rFonts w:ascii="Times New Roman" w:cs="Times New Roman" w:eastAsia="Times New Roman" w:hAnsi="Times New Roman"/>
                <w:sz w:val="11"/>
                <w:szCs w:val="11"/>
                <w:color w:val="008000"/>
              </w:rPr>
              <w:t>(1)</w:t>
            </w:r>
          </w:p>
        </w:tc>
        <w:tc>
          <w:tcPr>
            <w:tcW w:w="3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517</w:t>
            </w:r>
          </w:p>
        </w:tc>
        <w:tc>
          <w:tcPr>
            <w:tcW w:w="2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48,917</w:t>
            </w:r>
            <w:r>
              <w:rPr>
                <w:rFonts w:ascii="Times New Roman" w:cs="Times New Roman" w:eastAsia="Times New Roman" w:hAnsi="Times New Roman"/>
                <w:sz w:val="21"/>
                <w:szCs w:val="21"/>
                <w:color w:val="008000"/>
                <w:vertAlign w:val="superscript"/>
              </w:rPr>
              <w:t>(2)</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10/01/2025</w:t>
            </w: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267</w:t>
            </w:r>
            <w:r>
              <w:rPr>
                <w:rFonts w:ascii="Times New Roman" w:cs="Times New Roman" w:eastAsia="Times New Roman" w:hAnsi="Times New Roman"/>
                <w:sz w:val="21"/>
                <w:szCs w:val="21"/>
                <w:color w:val="008000"/>
                <w:vertAlign w:val="superscript"/>
              </w:rPr>
              <w:t>(3)</w:t>
            </w:r>
          </w:p>
        </w:tc>
        <w:tc>
          <w:tcPr>
            <w:tcW w:w="32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267</w:t>
            </w:r>
          </w:p>
        </w:tc>
        <w:tc>
          <w:tcPr>
            <w:tcW w:w="20" w:type="dxa"/>
            <w:vAlign w:val="bottom"/>
          </w:tcPr>
          <w:p>
            <w:pPr>
              <w:spacing w:after="0"/>
              <w:rPr>
                <w:sz w:val="15"/>
                <w:szCs w:val="15"/>
                <w:color w:val="auto"/>
              </w:rPr>
            </w:pPr>
          </w:p>
        </w:tc>
        <w:tc>
          <w:tcPr>
            <w:tcW w:w="7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49,184</w:t>
            </w:r>
            <w:r>
              <w:rPr>
                <w:rFonts w:ascii="Times New Roman" w:cs="Times New Roman" w:eastAsia="Times New Roman" w:hAnsi="Times New Roman"/>
                <w:sz w:val="21"/>
                <w:szCs w:val="21"/>
                <w:color w:val="008000"/>
                <w:vertAlign w:val="superscript"/>
              </w:rPr>
              <w:t>(2)</w:t>
            </w: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4"/>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-2277110</wp:posOffset>
            </wp:positionV>
            <wp:extent cx="29210" cy="2282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821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stock units ("DSUs") were awarded pursuant to the American International Group, Inc. ("AIG") 2021 Omnibus Incentive Plan (the "2021 Plan") in connection with the reporting person's annual compensation for service as a non-employee director. Under such plan and the related award agreements, these DSUs will be settled in shares of AIG common stock on a 1-to-1 basis on the last trading day of the month in which the director's service on the Board of Directors ends, unless the director has elected to defer the vesting date. This award includes dividend equivalent rights that accrue during the vesting period in the form of DSUs.</w:t>
      </w:r>
    </w:p>
    <w:p>
      <w:pPr>
        <w:spacing w:after="0" w:line="27"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DSUs previously granted pursuant to the AIG 2013 Omnibus Incentive Plan ("2013 Plan") and the 2021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award represents dividend equivalent rights in the form of DSUs that are related to the DSUs previously awarded to the reporting person under the 2013 Plan and the 2021 Plan as compensation for service as a non-employee director. Under such plans and the related award agreements, these DSUs -- along with the underlying previously awarded DSUs -- will be settled in shares of AIG common stock on a 1-to-1 basis on the last trading day of the month in which the director's service on the Board of Directors ends, unless the director has elected to defer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Linda B. Kalayjian, by POA </w:t>
      </w:r>
      <w:r>
        <w:rPr>
          <w:rFonts w:ascii="Times New Roman" w:cs="Times New Roman" w:eastAsia="Times New Roman" w:hAnsi="Times New Roman"/>
          <w:sz w:val="32"/>
          <w:szCs w:val="32"/>
          <w:color w:val="0000FF"/>
          <w:vertAlign w:val="subscript"/>
        </w:rPr>
        <w:t>10/03/2025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-27305</wp:posOffset>
            </wp:positionV>
            <wp:extent cx="134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68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from Peter R. Porrino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-19685</wp:posOffset>
            </wp:positionV>
            <wp:extent cx="927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27735" cy="825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-85725</wp:posOffset>
            </wp:positionV>
            <wp:extent cx="487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8881" TargetMode="External"/><Relationship Id="rId14" Type="http://schemas.openxmlformats.org/officeDocument/2006/relationships/hyperlink" Target="http://www.sec.gov/cgi-bin/browse-edgar?action=getcompany&amp;CIK=00000052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2025-10-03T15:21:58Z</dcterms:created>
  <dcterms:modified xsi:type="dcterms:W3CDTF">2025-10-03T15:21:58Z</dcterms:modified>
</cp:coreProperties>
</file>